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57329E">
      <w:pPr>
        <w:spacing w:line="580" w:lineRule="exact"/>
        <w:jc w:val="left"/>
        <w:rPr>
          <w:rFonts w:eastAsia="黑体"/>
          <w:sz w:val="32"/>
          <w:szCs w:val="32"/>
          <w:highlight w:val="none"/>
        </w:rPr>
      </w:pPr>
      <w:r>
        <w:rPr>
          <w:rFonts w:eastAsia="黑体"/>
          <w:sz w:val="32"/>
          <w:szCs w:val="32"/>
          <w:highlight w:val="none"/>
        </w:rPr>
        <w:t>附件1</w:t>
      </w:r>
    </w:p>
    <w:p w14:paraId="2F3DC1CC">
      <w:pPr>
        <w:spacing w:line="580" w:lineRule="exact"/>
        <w:jc w:val="left"/>
        <w:rPr>
          <w:rFonts w:eastAsia="黑体"/>
          <w:sz w:val="32"/>
          <w:szCs w:val="32"/>
          <w:highlight w:val="none"/>
        </w:rPr>
      </w:pPr>
    </w:p>
    <w:p w14:paraId="0840B1FF">
      <w:pPr>
        <w:spacing w:line="580" w:lineRule="exact"/>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广州市建筑业联合会质量管理小组活动</w:t>
      </w:r>
    </w:p>
    <w:p w14:paraId="6F408640">
      <w:pPr>
        <w:spacing w:line="580" w:lineRule="exact"/>
        <w:jc w:val="center"/>
        <w:rPr>
          <w:rFonts w:eastAsia="方正小标宋_GBK"/>
          <w:sz w:val="44"/>
          <w:szCs w:val="44"/>
          <w:highlight w:val="none"/>
        </w:rPr>
      </w:pPr>
      <w:r>
        <w:rPr>
          <w:rFonts w:hint="eastAsia" w:ascii="方正小标宋简体" w:hAnsi="方正小标宋简体" w:eastAsia="方正小标宋简体" w:cs="方正小标宋简体"/>
          <w:sz w:val="44"/>
          <w:szCs w:val="44"/>
          <w:highlight w:val="none"/>
        </w:rPr>
        <w:t>工作委员会管理办法（草案）</w:t>
      </w:r>
    </w:p>
    <w:p w14:paraId="196B289C">
      <w:pPr>
        <w:pStyle w:val="2"/>
        <w:widowControl/>
        <w:shd w:val="clear" w:color="auto" w:fill="FFFFFF"/>
        <w:spacing w:beforeAutospacing="0" w:after="0" w:afterAutospacing="0" w:line="560" w:lineRule="exact"/>
        <w:ind w:firstLine="643" w:firstLineChars="200"/>
        <w:rPr>
          <w:rFonts w:hint="default" w:ascii="Times New Roman" w:hAnsi="Times New Roman" w:eastAsia="仿宋_GB2312" w:cs="Times New Roman"/>
          <w:bCs/>
          <w:color w:val="0D0D0D"/>
          <w:sz w:val="32"/>
          <w:szCs w:val="32"/>
          <w:highlight w:val="none"/>
          <w:shd w:val="clear" w:color="auto" w:fill="FFFFFF"/>
        </w:rPr>
      </w:pPr>
    </w:p>
    <w:p w14:paraId="3F0196C1">
      <w:pPr>
        <w:pStyle w:val="2"/>
        <w:widowControl/>
        <w:shd w:val="clear" w:color="auto" w:fill="FFFFFF"/>
        <w:spacing w:beforeAutospacing="0" w:after="0" w:afterAutospacing="0" w:line="560" w:lineRule="exact"/>
        <w:jc w:val="center"/>
        <w:rPr>
          <w:rFonts w:hint="default" w:ascii="Times New Roman" w:hAnsi="Times New Roman" w:eastAsia="仿宋_GB2312" w:cs="Times New Roman"/>
          <w:bCs/>
          <w:color w:val="0D0D0D"/>
          <w:sz w:val="32"/>
          <w:szCs w:val="32"/>
          <w:highlight w:val="none"/>
          <w:shd w:val="clear" w:color="auto" w:fill="FFFFFF"/>
        </w:rPr>
      </w:pPr>
      <w:r>
        <w:rPr>
          <w:rFonts w:hint="default" w:ascii="Times New Roman" w:hAnsi="Times New Roman" w:eastAsia="仿宋_GB2312" w:cs="Times New Roman"/>
          <w:bCs/>
          <w:color w:val="0D0D0D"/>
          <w:sz w:val="32"/>
          <w:szCs w:val="32"/>
          <w:highlight w:val="none"/>
          <w:shd w:val="clear" w:color="auto" w:fill="FFFFFF"/>
        </w:rPr>
        <w:t>第一章</w:t>
      </w:r>
      <w:r>
        <w:rPr>
          <w:rFonts w:ascii="Times New Roman" w:hAnsi="Times New Roman" w:eastAsia="仿宋_GB2312" w:cs="Times New Roman"/>
          <w:bCs/>
          <w:color w:val="0D0D0D"/>
          <w:sz w:val="32"/>
          <w:szCs w:val="32"/>
          <w:highlight w:val="none"/>
          <w:shd w:val="clear" w:color="auto" w:fill="FFFFFF"/>
        </w:rPr>
        <w:t xml:space="preserve"> </w:t>
      </w:r>
      <w:r>
        <w:rPr>
          <w:rFonts w:hint="default" w:ascii="Times New Roman" w:hAnsi="Times New Roman" w:eastAsia="仿宋_GB2312" w:cs="Times New Roman"/>
          <w:bCs/>
          <w:color w:val="0D0D0D"/>
          <w:sz w:val="32"/>
          <w:szCs w:val="32"/>
          <w:highlight w:val="none"/>
          <w:shd w:val="clear" w:color="auto" w:fill="FFFFFF"/>
        </w:rPr>
        <w:t>总则</w:t>
      </w:r>
    </w:p>
    <w:p w14:paraId="3B0138CA">
      <w:pPr>
        <w:pStyle w:val="2"/>
        <w:widowControl/>
        <w:shd w:val="clear" w:color="auto" w:fill="FFFFFF"/>
        <w:spacing w:beforeAutospacing="0" w:after="0" w:afterAutospacing="0" w:line="560" w:lineRule="exact"/>
        <w:ind w:firstLine="723" w:firstLineChars="200"/>
        <w:rPr>
          <w:rFonts w:hint="default" w:ascii="Times New Roman" w:hAnsi="Times New Roman" w:cs="Times New Roman"/>
          <w:highlight w:val="none"/>
        </w:rPr>
      </w:pPr>
    </w:p>
    <w:p w14:paraId="38EC6C95">
      <w:pPr>
        <w:pStyle w:val="5"/>
        <w:shd w:val="clear" w:color="auto" w:fill="FFFFFF"/>
        <w:spacing w:beforeAutospacing="0" w:after="0" w:afterAutospacing="0" w:line="560" w:lineRule="exact"/>
        <w:ind w:firstLine="643" w:firstLineChars="200"/>
        <w:rPr>
          <w:rFonts w:hint="eastAsia" w:ascii="仿宋_GB2312" w:hAnsi="仿宋_GB2312" w:eastAsia="仿宋_GB2312" w:cs="仿宋_GB2312"/>
          <w:color w:val="0D0D0D"/>
          <w:sz w:val="32"/>
          <w:szCs w:val="32"/>
          <w:highlight w:val="none"/>
        </w:rPr>
      </w:pPr>
      <w:r>
        <w:rPr>
          <w:rFonts w:ascii="Times New Roman" w:hAnsi="Times New Roman" w:eastAsia="仿宋_GB2312" w:cs="Times New Roman"/>
          <w:b/>
          <w:bCs/>
          <w:color w:val="0D0D0D"/>
          <w:sz w:val="32"/>
          <w:szCs w:val="32"/>
          <w:highlight w:val="none"/>
          <w:shd w:val="clear" w:color="auto" w:fill="FFFFFF"/>
        </w:rPr>
        <w:t>第一条</w:t>
      </w:r>
      <w:r>
        <w:rPr>
          <w:rFonts w:hint="eastAsia" w:ascii="Times New Roman" w:hAnsi="Times New Roman" w:eastAsia="仿宋_GB2312" w:cs="Times New Roman"/>
          <w:b/>
          <w:bCs/>
          <w:color w:val="0D0D0D"/>
          <w:sz w:val="32"/>
          <w:szCs w:val="32"/>
          <w:highlight w:val="none"/>
          <w:shd w:val="clear" w:color="auto" w:fill="FFFFFF"/>
        </w:rPr>
        <w:t xml:space="preserve"> </w:t>
      </w:r>
      <w:r>
        <w:rPr>
          <w:rFonts w:hint="eastAsia" w:ascii="仿宋_GB2312" w:hAnsi="仿宋_GB2312" w:eastAsia="仿宋_GB2312" w:cs="仿宋_GB2312"/>
          <w:color w:val="0D0D0D"/>
          <w:sz w:val="32"/>
          <w:szCs w:val="32"/>
          <w:highlight w:val="none"/>
          <w:shd w:val="clear" w:color="auto" w:fill="FFFFFF"/>
        </w:rPr>
        <w:t>广州市建筑业联合会</w:t>
      </w:r>
      <w:r>
        <w:rPr>
          <w:rFonts w:hint="eastAsia" w:ascii="仿宋_GB2312" w:hAnsi="仿宋_GB2312" w:eastAsia="仿宋_GB2312" w:cs="仿宋_GB2312"/>
          <w:color w:val="0D0D0D"/>
          <w:spacing w:val="7"/>
          <w:sz w:val="32"/>
          <w:szCs w:val="32"/>
          <w:highlight w:val="none"/>
        </w:rPr>
        <w:t>质量管理小组活动工作委员会</w:t>
      </w:r>
      <w:r>
        <w:rPr>
          <w:rFonts w:hint="eastAsia" w:ascii="仿宋_GB2312" w:hAnsi="仿宋_GB2312" w:eastAsia="仿宋_GB2312" w:cs="仿宋_GB2312"/>
          <w:color w:val="0D0D0D"/>
          <w:sz w:val="32"/>
          <w:szCs w:val="32"/>
          <w:highlight w:val="none"/>
          <w:shd w:val="clear" w:color="auto" w:fill="FFFFFF"/>
        </w:rPr>
        <w:t>（以下简称“</w:t>
      </w:r>
      <w:r>
        <w:rPr>
          <w:rFonts w:hint="eastAsia" w:ascii="仿宋_GB2312" w:hAnsi="仿宋_GB2312" w:eastAsia="仿宋_GB2312" w:cs="仿宋_GB2312"/>
          <w:color w:val="0D0D0D"/>
          <w:sz w:val="32"/>
          <w:szCs w:val="32"/>
          <w:highlight w:val="none"/>
          <w:shd w:val="clear" w:color="auto" w:fill="FFFFFF"/>
          <w:lang w:val="en-US" w:eastAsia="zh-CN"/>
        </w:rPr>
        <w:t>QC</w:t>
      </w:r>
      <w:r>
        <w:rPr>
          <w:rFonts w:hint="eastAsia" w:ascii="仿宋_GB2312" w:hAnsi="仿宋_GB2312" w:eastAsia="仿宋_GB2312" w:cs="仿宋_GB2312"/>
          <w:color w:val="0D0D0D"/>
          <w:sz w:val="32"/>
          <w:szCs w:val="32"/>
          <w:highlight w:val="none"/>
          <w:shd w:val="clear" w:color="auto" w:fill="FFFFFF"/>
        </w:rPr>
        <w:t>委”）是广州市建筑业联合会（以下简称“联合会”）下属专门负责广州市工程建设质量管理小组活动工作的内设机构，不具有独立法人资格。</w:t>
      </w:r>
    </w:p>
    <w:p w14:paraId="610E69BE">
      <w:pPr>
        <w:pStyle w:val="5"/>
        <w:shd w:val="clear" w:color="auto" w:fill="FFFFFF"/>
        <w:spacing w:beforeAutospacing="0" w:after="0" w:afterAutospacing="0" w:line="560" w:lineRule="exact"/>
        <w:ind w:firstLine="643" w:firstLineChars="200"/>
        <w:rPr>
          <w:rFonts w:ascii="Times New Roman" w:hAnsi="Times New Roman" w:eastAsia="仿宋_GB2312" w:cs="Times New Roman"/>
          <w:color w:val="0D0D0D"/>
          <w:sz w:val="32"/>
          <w:szCs w:val="32"/>
          <w:highlight w:val="none"/>
          <w:shd w:val="clear" w:color="auto" w:fill="FFFFFF"/>
        </w:rPr>
      </w:pPr>
      <w:r>
        <w:rPr>
          <w:rFonts w:ascii="Times New Roman" w:hAnsi="Times New Roman" w:eastAsia="仿宋_GB2312" w:cs="Times New Roman"/>
          <w:b/>
          <w:bCs/>
          <w:color w:val="0D0D0D"/>
          <w:sz w:val="32"/>
          <w:szCs w:val="32"/>
          <w:highlight w:val="none"/>
          <w:shd w:val="clear" w:color="auto" w:fill="FFFFFF"/>
        </w:rPr>
        <w:t>第二条</w:t>
      </w:r>
      <w:r>
        <w:rPr>
          <w:rFonts w:hint="eastAsia" w:ascii="Times New Roman" w:hAnsi="Times New Roman" w:eastAsia="仿宋_GB2312" w:cs="Times New Roman"/>
          <w:b/>
          <w:bCs/>
          <w:color w:val="0D0D0D"/>
          <w:sz w:val="32"/>
          <w:szCs w:val="32"/>
          <w:highlight w:val="none"/>
          <w:shd w:val="clear" w:color="auto" w:fill="FFFFFF"/>
        </w:rPr>
        <w:t xml:space="preserve"> </w:t>
      </w:r>
      <w:r>
        <w:rPr>
          <w:rFonts w:hint="eastAsia" w:ascii="仿宋_GB2312" w:hAnsi="仿宋_GB2312" w:eastAsia="仿宋_GB2312" w:cs="仿宋_GB2312"/>
          <w:color w:val="0D0D0D"/>
          <w:sz w:val="32"/>
          <w:szCs w:val="32"/>
          <w:highlight w:val="none"/>
          <w:shd w:val="clear" w:color="auto" w:fill="FFFFFF"/>
          <w:lang w:eastAsia="zh-CN"/>
        </w:rPr>
        <w:t>QC委</w:t>
      </w:r>
      <w:r>
        <w:rPr>
          <w:rFonts w:ascii="仿宋_GB2312" w:hAnsi="仿宋_GB2312" w:eastAsia="仿宋_GB2312" w:cs="仿宋_GB2312"/>
          <w:color w:val="0D0D0D"/>
          <w:sz w:val="32"/>
          <w:szCs w:val="32"/>
          <w:highlight w:val="none"/>
          <w:shd w:val="clear" w:color="auto" w:fill="FFFFFF"/>
        </w:rPr>
        <w:t>的宗旨是以</w:t>
      </w:r>
      <w:r>
        <w:rPr>
          <w:rFonts w:hint="eastAsia" w:ascii="仿宋_GB2312" w:hAnsi="仿宋_GB2312" w:eastAsia="仿宋_GB2312" w:cs="仿宋_GB2312"/>
          <w:color w:val="0D0D0D"/>
          <w:sz w:val="32"/>
          <w:szCs w:val="32"/>
          <w:highlight w:val="none"/>
          <w:shd w:val="clear" w:color="auto" w:fill="FFFFFF"/>
        </w:rPr>
        <w:t>质量管理</w:t>
      </w:r>
      <w:r>
        <w:rPr>
          <w:rFonts w:ascii="仿宋_GB2312" w:hAnsi="仿宋_GB2312" w:eastAsia="仿宋_GB2312" w:cs="仿宋_GB2312"/>
          <w:color w:val="0D0D0D"/>
          <w:sz w:val="32"/>
          <w:szCs w:val="32"/>
          <w:highlight w:val="none"/>
          <w:shd w:val="clear" w:color="auto" w:fill="FFFFFF"/>
        </w:rPr>
        <w:t>小组活动为载体，通过“理念传播、方法推广、经验交流、规范引导”，服务于组织、行业及社会，</w:t>
      </w:r>
      <w:r>
        <w:rPr>
          <w:rFonts w:hint="eastAsia" w:ascii="仿宋_GB2312" w:hAnsi="仿宋_GB2312" w:eastAsia="仿宋_GB2312" w:cs="仿宋_GB2312"/>
          <w:color w:val="0D0D0D"/>
          <w:sz w:val="32"/>
          <w:szCs w:val="32"/>
          <w:highlight w:val="none"/>
          <w:shd w:val="clear" w:color="auto" w:fill="FFFFFF"/>
        </w:rPr>
        <w:t>促进广州市</w:t>
      </w:r>
      <w:r>
        <w:rPr>
          <w:rFonts w:ascii="仿宋_GB2312" w:hAnsi="仿宋_GB2312" w:eastAsia="仿宋_GB2312" w:cs="仿宋_GB2312"/>
          <w:color w:val="0D0D0D"/>
          <w:sz w:val="32"/>
          <w:szCs w:val="32"/>
          <w:highlight w:val="none"/>
          <w:shd w:val="clear" w:color="auto" w:fill="FFFFFF"/>
        </w:rPr>
        <w:t>质量管理水平提升与行业可持续发展。</w:t>
      </w:r>
    </w:p>
    <w:p w14:paraId="00FB8128">
      <w:pPr>
        <w:pStyle w:val="5"/>
        <w:shd w:val="clear" w:color="auto" w:fill="FFFFFF"/>
        <w:spacing w:beforeAutospacing="0" w:after="0" w:afterAutospacing="0" w:line="560" w:lineRule="exact"/>
        <w:ind w:firstLine="643" w:firstLineChars="200"/>
        <w:rPr>
          <w:rFonts w:ascii="Times New Roman" w:hAnsi="Times New Roman" w:eastAsia="仿宋_GB2312" w:cs="Times New Roman"/>
          <w:color w:val="0D0D0D"/>
          <w:sz w:val="32"/>
          <w:szCs w:val="32"/>
          <w:highlight w:val="none"/>
        </w:rPr>
      </w:pPr>
      <w:r>
        <w:rPr>
          <w:rFonts w:ascii="Times New Roman" w:hAnsi="Times New Roman" w:eastAsia="仿宋_GB2312" w:cs="Times New Roman"/>
          <w:b/>
          <w:bCs/>
          <w:color w:val="0D0D0D"/>
          <w:sz w:val="32"/>
          <w:szCs w:val="32"/>
          <w:highlight w:val="none"/>
          <w:shd w:val="clear" w:color="auto" w:fill="FFFFFF"/>
        </w:rPr>
        <w:t>第三条</w:t>
      </w:r>
      <w:r>
        <w:rPr>
          <w:rFonts w:hint="eastAsia" w:ascii="Times New Roman" w:hAnsi="Times New Roman" w:eastAsia="仿宋_GB2312" w:cs="Times New Roman"/>
          <w:b/>
          <w:bCs/>
          <w:color w:val="0D0D0D"/>
          <w:sz w:val="32"/>
          <w:szCs w:val="32"/>
          <w:highlight w:val="none"/>
          <w:shd w:val="clear" w:color="auto" w:fill="FFFFFF"/>
        </w:rPr>
        <w:t xml:space="preserve"> </w:t>
      </w:r>
      <w:r>
        <w:rPr>
          <w:rFonts w:hint="eastAsia" w:ascii="仿宋_GB2312" w:hAnsi="仿宋_GB2312" w:eastAsia="仿宋_GB2312" w:cs="仿宋_GB2312"/>
          <w:color w:val="0D0D0D"/>
          <w:sz w:val="32"/>
          <w:szCs w:val="32"/>
          <w:highlight w:val="none"/>
          <w:shd w:val="clear" w:color="auto" w:fill="FFFFFF"/>
          <w:lang w:eastAsia="zh-CN"/>
        </w:rPr>
        <w:t>QC委</w:t>
      </w:r>
      <w:r>
        <w:rPr>
          <w:rFonts w:ascii="仿宋_GB2312" w:hAnsi="仿宋_GB2312" w:eastAsia="仿宋_GB2312" w:cs="仿宋_GB2312"/>
          <w:color w:val="0D0D0D"/>
          <w:sz w:val="32"/>
          <w:szCs w:val="32"/>
          <w:highlight w:val="none"/>
          <w:shd w:val="clear" w:color="auto" w:fill="FFFFFF"/>
        </w:rPr>
        <w:t>在联合会领导下，依照国家法律法规和联合会章程开展工程建设质量管理小组成果交流活动</w:t>
      </w:r>
      <w:r>
        <w:rPr>
          <w:rFonts w:hint="eastAsia" w:ascii="仿宋_GB2312" w:hAnsi="仿宋_GB2312" w:eastAsia="仿宋_GB2312" w:cs="仿宋_GB2312"/>
          <w:color w:val="0D0D0D"/>
          <w:sz w:val="32"/>
          <w:szCs w:val="32"/>
          <w:highlight w:val="none"/>
          <w:shd w:val="clear" w:color="auto" w:fill="FFFFFF"/>
        </w:rPr>
        <w:t>及培训</w:t>
      </w:r>
      <w:r>
        <w:rPr>
          <w:rFonts w:hint="eastAsia" w:ascii="仿宋_GB2312" w:hAnsi="仿宋_GB2312" w:eastAsia="仿宋_GB2312" w:cs="仿宋_GB2312"/>
          <w:color w:val="0D0D0D"/>
          <w:sz w:val="32"/>
          <w:szCs w:val="32"/>
          <w:highlight w:val="none"/>
          <w:shd w:val="clear" w:color="auto" w:fill="FFFFFF"/>
          <w:lang w:val="en-US" w:eastAsia="zh-CN"/>
        </w:rPr>
        <w:t>等相关</w:t>
      </w:r>
      <w:r>
        <w:rPr>
          <w:rFonts w:ascii="仿宋_GB2312" w:hAnsi="仿宋_GB2312" w:eastAsia="仿宋_GB2312" w:cs="仿宋_GB2312"/>
          <w:color w:val="0D0D0D"/>
          <w:sz w:val="32"/>
          <w:szCs w:val="32"/>
          <w:highlight w:val="none"/>
          <w:shd w:val="clear" w:color="auto" w:fill="FFFFFF"/>
        </w:rPr>
        <w:t>工作。</w:t>
      </w:r>
    </w:p>
    <w:p w14:paraId="4B969AEC">
      <w:pPr>
        <w:pStyle w:val="2"/>
        <w:widowControl/>
        <w:shd w:val="clear" w:color="auto" w:fill="FFFFFF"/>
        <w:spacing w:beforeAutospacing="0" w:after="0" w:afterAutospacing="0" w:line="560" w:lineRule="exact"/>
        <w:ind w:firstLine="643" w:firstLineChars="200"/>
        <w:rPr>
          <w:rFonts w:hint="default" w:ascii="Times New Roman" w:hAnsi="Times New Roman" w:eastAsia="仿宋_GB2312" w:cs="Times New Roman"/>
          <w:bCs/>
          <w:color w:val="0D0D0D"/>
          <w:sz w:val="32"/>
          <w:szCs w:val="32"/>
          <w:highlight w:val="none"/>
          <w:shd w:val="clear" w:color="auto" w:fill="FFFFFF"/>
        </w:rPr>
      </w:pPr>
    </w:p>
    <w:p w14:paraId="6BC21CD6">
      <w:pPr>
        <w:pStyle w:val="2"/>
        <w:widowControl/>
        <w:shd w:val="clear" w:color="auto" w:fill="FFFFFF"/>
        <w:spacing w:beforeAutospacing="0" w:after="0" w:afterAutospacing="0" w:line="560" w:lineRule="exact"/>
        <w:jc w:val="center"/>
        <w:rPr>
          <w:rFonts w:hint="default" w:ascii="Times New Roman" w:hAnsi="Times New Roman" w:eastAsia="仿宋_GB2312" w:cs="Times New Roman"/>
          <w:bCs/>
          <w:color w:val="0D0D0D"/>
          <w:sz w:val="32"/>
          <w:szCs w:val="32"/>
          <w:highlight w:val="none"/>
          <w:shd w:val="clear" w:color="auto" w:fill="FFFFFF"/>
        </w:rPr>
      </w:pPr>
      <w:r>
        <w:rPr>
          <w:rFonts w:hint="default" w:ascii="Times New Roman" w:hAnsi="Times New Roman" w:eastAsia="仿宋_GB2312" w:cs="Times New Roman"/>
          <w:bCs/>
          <w:color w:val="0D0D0D"/>
          <w:sz w:val="32"/>
          <w:szCs w:val="32"/>
          <w:highlight w:val="none"/>
          <w:shd w:val="clear" w:color="auto" w:fill="FFFFFF"/>
        </w:rPr>
        <w:t>第二章</w:t>
      </w:r>
      <w:r>
        <w:rPr>
          <w:rFonts w:ascii="Times New Roman" w:hAnsi="Times New Roman" w:eastAsia="仿宋_GB2312" w:cs="Times New Roman"/>
          <w:bCs/>
          <w:color w:val="0D0D0D"/>
          <w:sz w:val="32"/>
          <w:szCs w:val="32"/>
          <w:highlight w:val="none"/>
          <w:shd w:val="clear" w:color="auto" w:fill="FFFFFF"/>
        </w:rPr>
        <w:t xml:space="preserve"> </w:t>
      </w:r>
      <w:r>
        <w:rPr>
          <w:rFonts w:hint="default" w:ascii="Times New Roman" w:hAnsi="Times New Roman" w:eastAsia="仿宋_GB2312" w:cs="Times New Roman"/>
          <w:bCs/>
          <w:color w:val="0D0D0D"/>
          <w:sz w:val="32"/>
          <w:szCs w:val="32"/>
          <w:highlight w:val="none"/>
          <w:shd w:val="clear" w:color="auto" w:fill="FFFFFF"/>
        </w:rPr>
        <w:t>工作职能与范围</w:t>
      </w:r>
    </w:p>
    <w:p w14:paraId="10D91F87">
      <w:pPr>
        <w:pStyle w:val="2"/>
        <w:widowControl/>
        <w:shd w:val="clear" w:color="auto" w:fill="FFFFFF"/>
        <w:spacing w:beforeAutospacing="0" w:after="0" w:afterAutospacing="0" w:line="560" w:lineRule="exact"/>
        <w:ind w:firstLine="643" w:firstLineChars="200"/>
        <w:rPr>
          <w:rFonts w:hint="default" w:ascii="Times New Roman" w:hAnsi="Times New Roman" w:eastAsia="仿宋_GB2312" w:cs="Times New Roman"/>
          <w:bCs/>
          <w:color w:val="0D0D0D"/>
          <w:sz w:val="32"/>
          <w:szCs w:val="32"/>
          <w:highlight w:val="none"/>
          <w:shd w:val="clear" w:color="auto" w:fill="FFFFFF"/>
        </w:rPr>
      </w:pPr>
    </w:p>
    <w:p w14:paraId="749B332A">
      <w:pPr>
        <w:pStyle w:val="5"/>
        <w:shd w:val="clear" w:color="auto" w:fill="FFFFFF"/>
        <w:spacing w:beforeAutospacing="0" w:after="0" w:afterAutospacing="0" w:line="560" w:lineRule="exact"/>
        <w:ind w:firstLine="643" w:firstLineChars="200"/>
        <w:rPr>
          <w:rFonts w:hint="eastAsia" w:ascii="仿宋_GB2312" w:hAnsi="仿宋_GB2312" w:eastAsia="仿宋_GB2312" w:cs="仿宋_GB2312"/>
          <w:color w:val="0D0D0D"/>
          <w:sz w:val="32"/>
          <w:szCs w:val="32"/>
          <w:highlight w:val="none"/>
          <w:shd w:val="clear" w:color="auto" w:fill="FFFFFF"/>
        </w:rPr>
      </w:pPr>
      <w:r>
        <w:rPr>
          <w:rFonts w:ascii="Times New Roman" w:hAnsi="Times New Roman" w:eastAsia="仿宋_GB2312" w:cs="Times New Roman"/>
          <w:b/>
          <w:bCs/>
          <w:color w:val="0D0D0D"/>
          <w:sz w:val="32"/>
          <w:szCs w:val="32"/>
          <w:highlight w:val="none"/>
          <w:shd w:val="clear" w:color="auto" w:fill="FFFFFF"/>
        </w:rPr>
        <w:t>第</w:t>
      </w:r>
      <w:r>
        <w:rPr>
          <w:rFonts w:hint="eastAsia" w:ascii="Times New Roman" w:hAnsi="Times New Roman" w:eastAsia="仿宋_GB2312" w:cs="Times New Roman"/>
          <w:b/>
          <w:bCs/>
          <w:color w:val="0D0D0D"/>
          <w:sz w:val="32"/>
          <w:szCs w:val="32"/>
          <w:highlight w:val="none"/>
          <w:shd w:val="clear" w:color="auto" w:fill="FFFFFF"/>
          <w:lang w:val="en-US" w:eastAsia="zh-CN"/>
        </w:rPr>
        <w:t>四</w:t>
      </w:r>
      <w:r>
        <w:rPr>
          <w:rFonts w:ascii="Times New Roman" w:hAnsi="Times New Roman" w:eastAsia="仿宋_GB2312" w:cs="Times New Roman"/>
          <w:b/>
          <w:bCs/>
          <w:color w:val="0D0D0D"/>
          <w:sz w:val="32"/>
          <w:szCs w:val="32"/>
          <w:highlight w:val="none"/>
          <w:shd w:val="clear" w:color="auto" w:fill="FFFFFF"/>
        </w:rPr>
        <w:t>条</w:t>
      </w:r>
      <w:r>
        <w:rPr>
          <w:rFonts w:hint="eastAsia" w:ascii="Times New Roman" w:hAnsi="Times New Roman" w:eastAsia="仿宋_GB2312" w:cs="Times New Roman"/>
          <w:b/>
          <w:bCs/>
          <w:color w:val="0D0D0D"/>
          <w:sz w:val="32"/>
          <w:szCs w:val="32"/>
          <w:highlight w:val="none"/>
          <w:shd w:val="clear" w:color="auto" w:fill="FFFFFF"/>
        </w:rPr>
        <w:t xml:space="preserve"> </w:t>
      </w:r>
      <w:r>
        <w:rPr>
          <w:rFonts w:hint="eastAsia" w:ascii="仿宋_GB2312" w:hAnsi="仿宋_GB2312" w:eastAsia="仿宋_GB2312" w:cs="仿宋_GB2312"/>
          <w:color w:val="0D0D0D"/>
          <w:sz w:val="32"/>
          <w:szCs w:val="32"/>
          <w:highlight w:val="none"/>
          <w:shd w:val="clear" w:color="auto" w:fill="FFFFFF"/>
          <w:lang w:eastAsia="zh-CN"/>
        </w:rPr>
        <w:t>QC委</w:t>
      </w:r>
      <w:r>
        <w:rPr>
          <w:rFonts w:ascii="仿宋_GB2312" w:hAnsi="仿宋_GB2312" w:eastAsia="仿宋_GB2312" w:cs="仿宋_GB2312"/>
          <w:color w:val="0D0D0D"/>
          <w:sz w:val="32"/>
          <w:szCs w:val="32"/>
          <w:highlight w:val="none"/>
          <w:shd w:val="clear" w:color="auto" w:fill="FFFFFF"/>
        </w:rPr>
        <w:t>主要履行以下职能：</w:t>
      </w:r>
    </w:p>
    <w:p w14:paraId="0106CA26">
      <w:pPr>
        <w:pStyle w:val="5"/>
        <w:shd w:val="clear" w:color="auto" w:fill="FFFFFF"/>
        <w:spacing w:beforeAutospacing="0" w:after="0" w:afterAutospacing="0" w:line="560" w:lineRule="exact"/>
        <w:ind w:firstLine="640" w:firstLineChars="200"/>
        <w:rPr>
          <w:rFonts w:hint="eastAsia" w:ascii="仿宋_GB2312" w:hAnsi="仿宋_GB2312" w:eastAsia="仿宋_GB2312" w:cs="仿宋_GB2312"/>
          <w:color w:val="0D0D0D"/>
          <w:sz w:val="32"/>
          <w:szCs w:val="32"/>
          <w:highlight w:val="none"/>
          <w:shd w:val="clear" w:color="auto" w:fill="FFFFFF"/>
        </w:rPr>
      </w:pPr>
      <w:r>
        <w:rPr>
          <w:rFonts w:hint="eastAsia" w:ascii="仿宋_GB2312" w:hAnsi="仿宋_GB2312" w:eastAsia="仿宋_GB2312" w:cs="仿宋_GB2312"/>
          <w:color w:val="0D0D0D"/>
          <w:sz w:val="32"/>
          <w:szCs w:val="32"/>
          <w:highlight w:val="none"/>
          <w:shd w:val="clear" w:color="auto" w:fill="FFFFFF"/>
        </w:rPr>
        <w:t>（一）行业质量标准建设：研究制定或参与修订行业质量管理标准，结合行业特性细化国家标准，确保标准的科学性与可操作性。</w:t>
      </w:r>
    </w:p>
    <w:p w14:paraId="7C85B8E4">
      <w:pPr>
        <w:pStyle w:val="5"/>
        <w:shd w:val="clear" w:color="auto" w:fill="FFFFFF"/>
        <w:spacing w:beforeAutospacing="0" w:after="0" w:afterAutospacing="0" w:line="560" w:lineRule="exact"/>
        <w:ind w:firstLine="640" w:firstLineChars="200"/>
        <w:rPr>
          <w:rFonts w:hint="eastAsia" w:ascii="仿宋_GB2312" w:hAnsi="仿宋_GB2312" w:eastAsia="仿宋_GB2312" w:cs="仿宋_GB2312"/>
          <w:color w:val="0D0D0D"/>
          <w:sz w:val="32"/>
          <w:szCs w:val="32"/>
          <w:highlight w:val="none"/>
          <w:shd w:val="clear" w:color="auto" w:fill="FFFFFF"/>
        </w:rPr>
      </w:pPr>
      <w:r>
        <w:rPr>
          <w:rFonts w:hint="eastAsia" w:ascii="仿宋_GB2312" w:hAnsi="仿宋_GB2312" w:eastAsia="仿宋_GB2312" w:cs="仿宋_GB2312"/>
          <w:color w:val="0D0D0D"/>
          <w:sz w:val="32"/>
          <w:szCs w:val="32"/>
          <w:highlight w:val="none"/>
          <w:shd w:val="clear" w:color="auto" w:fill="FFFFFF"/>
        </w:rPr>
        <w:t>（二）培训与指导：组织开展质量管理小组活动培训，为会员单位提供技术咨询与现场指导，提升企业质量管理小组活动的水平</w:t>
      </w:r>
      <w:r>
        <w:rPr>
          <w:rFonts w:hint="eastAsia" w:ascii="仿宋_GB2312" w:hAnsi="仿宋_GB2312" w:eastAsia="仿宋_GB2312" w:cs="仿宋_GB2312"/>
          <w:color w:val="0D0D0D"/>
          <w:sz w:val="32"/>
          <w:szCs w:val="32"/>
          <w:highlight w:val="none"/>
          <w:shd w:val="clear" w:color="auto" w:fill="FFFFFF"/>
          <w:lang w:eastAsia="zh-CN"/>
        </w:rPr>
        <w:t>，确保</w:t>
      </w:r>
      <w:r>
        <w:rPr>
          <w:rFonts w:hint="eastAsia" w:ascii="仿宋_GB2312" w:hAnsi="仿宋_GB2312" w:eastAsia="仿宋_GB2312" w:cs="仿宋_GB2312"/>
          <w:color w:val="0D0D0D"/>
          <w:sz w:val="32"/>
          <w:szCs w:val="32"/>
          <w:highlight w:val="none"/>
          <w:shd w:val="clear" w:color="auto" w:fill="FFFFFF"/>
        </w:rPr>
        <w:t>工程建设质量管理小组活动的持续、深入和广泛开展。</w:t>
      </w:r>
    </w:p>
    <w:p w14:paraId="3112FFA9">
      <w:pPr>
        <w:pStyle w:val="5"/>
        <w:shd w:val="clear" w:color="auto" w:fill="FFFFFF"/>
        <w:spacing w:beforeAutospacing="0" w:after="0" w:afterAutospacing="0" w:line="560" w:lineRule="exact"/>
        <w:ind w:firstLine="640" w:firstLineChars="200"/>
        <w:rPr>
          <w:rFonts w:hint="eastAsia" w:ascii="仿宋_GB2312" w:hAnsi="仿宋_GB2312" w:eastAsia="仿宋_GB2312" w:cs="仿宋_GB2312"/>
          <w:color w:val="0D0D0D"/>
          <w:sz w:val="32"/>
          <w:szCs w:val="32"/>
          <w:highlight w:val="none"/>
          <w:shd w:val="clear" w:color="auto" w:fill="FFFFFF"/>
        </w:rPr>
      </w:pPr>
      <w:r>
        <w:rPr>
          <w:rFonts w:hint="eastAsia" w:ascii="仿宋_GB2312" w:hAnsi="仿宋_GB2312" w:eastAsia="仿宋_GB2312" w:cs="仿宋_GB2312"/>
          <w:color w:val="0D0D0D"/>
          <w:sz w:val="32"/>
          <w:szCs w:val="32"/>
          <w:highlight w:val="none"/>
          <w:shd w:val="clear" w:color="auto" w:fill="FFFFFF"/>
        </w:rPr>
        <w:t>（三）交流与合作</w:t>
      </w:r>
      <w:r>
        <w:rPr>
          <w:rFonts w:ascii="仿宋_GB2312" w:hAnsi="仿宋_GB2312" w:eastAsia="仿宋_GB2312" w:cs="仿宋_GB2312"/>
          <w:color w:val="0D0D0D"/>
          <w:sz w:val="32"/>
          <w:szCs w:val="32"/>
          <w:highlight w:val="none"/>
          <w:shd w:val="clear" w:color="auto" w:fill="FFFFFF"/>
        </w:rPr>
        <w:t>：</w:t>
      </w:r>
      <w:r>
        <w:rPr>
          <w:rFonts w:hint="eastAsia" w:ascii="仿宋_GB2312" w:hAnsi="仿宋_GB2312" w:eastAsia="仿宋_GB2312" w:cs="仿宋_GB2312"/>
          <w:color w:val="0D0D0D"/>
          <w:sz w:val="32"/>
          <w:szCs w:val="32"/>
          <w:highlight w:val="none"/>
          <w:shd w:val="clear" w:color="auto" w:fill="FFFFFF"/>
        </w:rPr>
        <w:t>搭建质量管理小组活动交流平台，负责质量管理小组成果的评价工作，</w:t>
      </w:r>
      <w:r>
        <w:rPr>
          <w:rFonts w:ascii="仿宋_GB2312" w:hAnsi="仿宋_GB2312" w:eastAsia="仿宋_GB2312" w:cs="仿宋_GB2312"/>
          <w:color w:val="0D0D0D"/>
          <w:sz w:val="32"/>
          <w:szCs w:val="32"/>
          <w:highlight w:val="none"/>
          <w:shd w:val="clear" w:color="auto" w:fill="FFFFFF"/>
        </w:rPr>
        <w:t>制定</w:t>
      </w:r>
      <w:r>
        <w:rPr>
          <w:rFonts w:hint="eastAsia" w:ascii="仿宋_GB2312" w:hAnsi="仿宋_GB2312" w:eastAsia="仿宋_GB2312" w:cs="仿宋_GB2312"/>
          <w:color w:val="0D0D0D"/>
          <w:sz w:val="32"/>
          <w:szCs w:val="32"/>
          <w:highlight w:val="none"/>
          <w:shd w:val="clear" w:color="auto" w:fill="FFFFFF"/>
        </w:rPr>
        <w:t>交流活动管理办法和科学合理的评价标准和流程，激发企业参与质量管理小组活动的积极性和创造性。</w:t>
      </w:r>
    </w:p>
    <w:p w14:paraId="40E6CCF0">
      <w:pPr>
        <w:pStyle w:val="5"/>
        <w:shd w:val="clear" w:color="auto" w:fill="FFFFFF"/>
        <w:spacing w:beforeAutospacing="0" w:after="0" w:afterAutospacing="0" w:line="560" w:lineRule="exact"/>
        <w:ind w:firstLine="640" w:firstLineChars="200"/>
        <w:rPr>
          <w:rFonts w:hint="eastAsia" w:ascii="仿宋_GB2312" w:hAnsi="仿宋_GB2312" w:eastAsia="仿宋_GB2312" w:cs="仿宋_GB2312"/>
          <w:color w:val="0D0D0D"/>
          <w:sz w:val="32"/>
          <w:szCs w:val="32"/>
          <w:highlight w:val="none"/>
          <w:shd w:val="clear" w:color="auto" w:fill="FFFFFF"/>
        </w:rPr>
      </w:pPr>
      <w:r>
        <w:rPr>
          <w:rFonts w:hint="eastAsia" w:ascii="仿宋_GB2312" w:hAnsi="仿宋_GB2312" w:eastAsia="仿宋_GB2312" w:cs="仿宋_GB2312"/>
          <w:color w:val="0D0D0D"/>
          <w:sz w:val="32"/>
          <w:szCs w:val="32"/>
          <w:highlight w:val="none"/>
          <w:shd w:val="clear" w:color="auto" w:fill="FFFFFF"/>
        </w:rPr>
        <w:t>（四）成果</w:t>
      </w:r>
      <w:r>
        <w:rPr>
          <w:rFonts w:ascii="仿宋_GB2312" w:hAnsi="仿宋_GB2312" w:eastAsia="仿宋_GB2312" w:cs="仿宋_GB2312"/>
          <w:color w:val="0D0D0D"/>
          <w:sz w:val="32"/>
          <w:szCs w:val="32"/>
          <w:highlight w:val="none"/>
          <w:shd w:val="clear" w:color="auto" w:fill="FFFFFF"/>
        </w:rPr>
        <w:t>应用</w:t>
      </w:r>
      <w:r>
        <w:rPr>
          <w:rFonts w:hint="eastAsia" w:ascii="仿宋_GB2312" w:hAnsi="仿宋_GB2312" w:eastAsia="仿宋_GB2312" w:cs="仿宋_GB2312"/>
          <w:color w:val="0D0D0D"/>
          <w:sz w:val="32"/>
          <w:szCs w:val="32"/>
          <w:highlight w:val="none"/>
          <w:shd w:val="clear" w:color="auto" w:fill="FFFFFF"/>
        </w:rPr>
        <w:t>推广：</w:t>
      </w:r>
      <w:r>
        <w:rPr>
          <w:rFonts w:ascii="仿宋_GB2312" w:hAnsi="仿宋_GB2312" w:eastAsia="仿宋_GB2312" w:cs="仿宋_GB2312"/>
          <w:color w:val="0D0D0D"/>
          <w:sz w:val="32"/>
          <w:szCs w:val="32"/>
          <w:highlight w:val="none"/>
          <w:shd w:val="clear" w:color="auto" w:fill="FFFFFF"/>
        </w:rPr>
        <w:t>选拔优秀成果并推荐至更高层级平台</w:t>
      </w:r>
      <w:r>
        <w:rPr>
          <w:rFonts w:hint="eastAsia" w:ascii="仿宋_GB2312" w:hAnsi="仿宋_GB2312" w:eastAsia="仿宋_GB2312" w:cs="仿宋_GB2312"/>
          <w:color w:val="0D0D0D"/>
          <w:sz w:val="32"/>
          <w:szCs w:val="32"/>
          <w:highlight w:val="none"/>
          <w:shd w:val="clear" w:color="auto" w:fill="FFFFFF"/>
        </w:rPr>
        <w:t>，促进成果的广泛推广和应用</w:t>
      </w:r>
      <w:r>
        <w:rPr>
          <w:rFonts w:hint="eastAsia" w:ascii="仿宋_GB2312" w:hAnsi="仿宋_GB2312" w:eastAsia="仿宋_GB2312" w:cs="仿宋_GB2312"/>
          <w:color w:val="0D0D0D"/>
          <w:sz w:val="32"/>
          <w:szCs w:val="32"/>
          <w:highlight w:val="none"/>
          <w:shd w:val="clear" w:color="auto" w:fill="FFFFFF"/>
          <w:lang w:eastAsia="zh-CN"/>
        </w:rPr>
        <w:t>，</w:t>
      </w:r>
      <w:r>
        <w:rPr>
          <w:rFonts w:hint="eastAsia" w:ascii="仿宋_GB2312" w:hAnsi="仿宋_GB2312" w:eastAsia="仿宋_GB2312" w:cs="仿宋_GB2312"/>
          <w:color w:val="0D0D0D"/>
          <w:sz w:val="32"/>
          <w:szCs w:val="32"/>
          <w:highlight w:val="none"/>
          <w:shd w:val="clear" w:color="auto" w:fill="FFFFFF"/>
        </w:rPr>
        <w:t>引进先进的质量管理理念和方法，推动质量管理小组活动的不断创新和发展。</w:t>
      </w:r>
    </w:p>
    <w:p w14:paraId="7150E528">
      <w:pPr>
        <w:pStyle w:val="2"/>
        <w:widowControl/>
        <w:shd w:val="clear" w:color="auto" w:fill="FFFFFF"/>
        <w:spacing w:beforeAutospacing="0" w:after="0" w:afterAutospacing="0" w:line="560" w:lineRule="exact"/>
        <w:ind w:firstLine="643" w:firstLineChars="200"/>
        <w:rPr>
          <w:rFonts w:hint="default" w:ascii="Times New Roman" w:hAnsi="Times New Roman" w:eastAsia="仿宋_GB2312" w:cs="Times New Roman"/>
          <w:bCs/>
          <w:color w:val="0D0D0D"/>
          <w:sz w:val="32"/>
          <w:szCs w:val="32"/>
          <w:highlight w:val="none"/>
          <w:shd w:val="clear" w:color="auto" w:fill="FFFFFF"/>
        </w:rPr>
      </w:pPr>
    </w:p>
    <w:p w14:paraId="477424CB">
      <w:pPr>
        <w:pStyle w:val="2"/>
        <w:widowControl/>
        <w:shd w:val="clear" w:color="auto" w:fill="FFFFFF"/>
        <w:spacing w:beforeAutospacing="0" w:after="0" w:afterAutospacing="0" w:line="560" w:lineRule="exact"/>
        <w:jc w:val="center"/>
        <w:rPr>
          <w:rFonts w:hint="default" w:ascii="Times New Roman" w:hAnsi="Times New Roman" w:eastAsia="仿宋_GB2312" w:cs="Times New Roman"/>
          <w:bCs/>
          <w:color w:val="0D0D0D"/>
          <w:sz w:val="32"/>
          <w:szCs w:val="32"/>
          <w:highlight w:val="none"/>
          <w:shd w:val="clear" w:color="auto" w:fill="FFFFFF"/>
        </w:rPr>
      </w:pPr>
      <w:r>
        <w:rPr>
          <w:rFonts w:hint="default" w:ascii="Times New Roman" w:hAnsi="Times New Roman" w:eastAsia="仿宋_GB2312" w:cs="Times New Roman"/>
          <w:bCs/>
          <w:color w:val="0D0D0D"/>
          <w:sz w:val="32"/>
          <w:szCs w:val="32"/>
          <w:highlight w:val="none"/>
          <w:shd w:val="clear" w:color="auto" w:fill="FFFFFF"/>
        </w:rPr>
        <w:t>第三章</w:t>
      </w:r>
      <w:r>
        <w:rPr>
          <w:rFonts w:ascii="Times New Roman" w:hAnsi="Times New Roman" w:eastAsia="仿宋_GB2312" w:cs="Times New Roman"/>
          <w:bCs/>
          <w:color w:val="0D0D0D"/>
          <w:sz w:val="32"/>
          <w:szCs w:val="32"/>
          <w:highlight w:val="none"/>
          <w:shd w:val="clear" w:color="auto" w:fill="FFFFFF"/>
        </w:rPr>
        <w:t xml:space="preserve"> </w:t>
      </w:r>
      <w:r>
        <w:rPr>
          <w:rFonts w:hint="default" w:ascii="Times New Roman" w:hAnsi="Times New Roman" w:eastAsia="仿宋_GB2312" w:cs="Times New Roman"/>
          <w:bCs/>
          <w:color w:val="0D0D0D"/>
          <w:sz w:val="32"/>
          <w:szCs w:val="32"/>
          <w:highlight w:val="none"/>
          <w:shd w:val="clear" w:color="auto" w:fill="FFFFFF"/>
        </w:rPr>
        <w:t>组织机构</w:t>
      </w:r>
    </w:p>
    <w:p w14:paraId="4DB463ED">
      <w:pPr>
        <w:pStyle w:val="2"/>
        <w:widowControl/>
        <w:shd w:val="clear" w:color="auto" w:fill="FFFFFF"/>
        <w:spacing w:beforeAutospacing="0" w:after="0" w:afterAutospacing="0" w:line="560" w:lineRule="exact"/>
        <w:ind w:firstLine="643" w:firstLineChars="200"/>
        <w:rPr>
          <w:rFonts w:hint="default" w:ascii="Times New Roman" w:hAnsi="Times New Roman" w:eastAsia="仿宋_GB2312" w:cs="Times New Roman"/>
          <w:bCs/>
          <w:color w:val="0D0D0D"/>
          <w:sz w:val="32"/>
          <w:szCs w:val="32"/>
          <w:highlight w:val="none"/>
          <w:shd w:val="clear" w:color="auto" w:fill="FFFFFF"/>
        </w:rPr>
      </w:pPr>
    </w:p>
    <w:p w14:paraId="1C6A4F52">
      <w:pPr>
        <w:pStyle w:val="5"/>
        <w:shd w:val="clear" w:color="auto" w:fill="FFFFFF"/>
        <w:spacing w:beforeAutospacing="0" w:after="0" w:afterAutospacing="0" w:line="560" w:lineRule="exact"/>
        <w:ind w:firstLine="643" w:firstLineChars="200"/>
        <w:jc w:val="both"/>
        <w:rPr>
          <w:rFonts w:ascii="Times New Roman" w:hAnsi="Times New Roman" w:eastAsia="仿宋_GB2312" w:cs="Times New Roman"/>
          <w:color w:val="0D0D0D"/>
          <w:sz w:val="32"/>
          <w:szCs w:val="32"/>
          <w:highlight w:val="none"/>
          <w:shd w:val="clear" w:color="auto" w:fill="FFFFFF"/>
        </w:rPr>
      </w:pPr>
      <w:r>
        <w:rPr>
          <w:rFonts w:ascii="Times New Roman" w:hAnsi="Times New Roman" w:eastAsia="仿宋_GB2312" w:cs="Times New Roman"/>
          <w:b/>
          <w:bCs/>
          <w:color w:val="0D0D0D"/>
          <w:sz w:val="32"/>
          <w:szCs w:val="32"/>
          <w:highlight w:val="none"/>
          <w:shd w:val="clear" w:color="auto" w:fill="FFFFFF"/>
        </w:rPr>
        <w:t>第五条</w:t>
      </w:r>
      <w:r>
        <w:rPr>
          <w:rFonts w:hint="eastAsia" w:ascii="Times New Roman" w:hAnsi="Times New Roman" w:eastAsia="仿宋_GB2312" w:cs="Times New Roman"/>
          <w:b/>
          <w:bCs/>
          <w:color w:val="0D0D0D"/>
          <w:sz w:val="32"/>
          <w:szCs w:val="32"/>
          <w:highlight w:val="none"/>
          <w:shd w:val="clear" w:color="auto" w:fill="FFFFFF"/>
        </w:rPr>
        <w:t xml:space="preserve"> </w:t>
      </w:r>
      <w:r>
        <w:rPr>
          <w:rFonts w:hint="eastAsia" w:ascii="仿宋_GB2312" w:hAnsi="仿宋_GB2312" w:eastAsia="仿宋_GB2312" w:cs="仿宋_GB2312"/>
          <w:color w:val="0D0D0D"/>
          <w:sz w:val="32"/>
          <w:szCs w:val="32"/>
          <w:highlight w:val="none"/>
          <w:shd w:val="clear" w:color="auto" w:fill="FFFFFF"/>
          <w:lang w:eastAsia="zh-CN"/>
        </w:rPr>
        <w:t>QC委</w:t>
      </w:r>
      <w:r>
        <w:rPr>
          <w:rFonts w:ascii="仿宋_GB2312" w:hAnsi="仿宋_GB2312" w:eastAsia="仿宋_GB2312" w:cs="仿宋_GB2312"/>
          <w:color w:val="0D0D0D"/>
          <w:sz w:val="32"/>
          <w:szCs w:val="32"/>
          <w:highlight w:val="none"/>
          <w:shd w:val="clear" w:color="auto" w:fill="FFFFFF"/>
        </w:rPr>
        <w:t>由主任、执行主任、副主任及委员组成。</w:t>
      </w:r>
      <w:r>
        <w:rPr>
          <w:rFonts w:hint="eastAsia" w:ascii="仿宋_GB2312" w:hAnsi="仿宋_GB2312" w:eastAsia="仿宋_GB2312" w:cs="仿宋_GB2312"/>
          <w:color w:val="0D0D0D"/>
          <w:sz w:val="32"/>
          <w:szCs w:val="32"/>
          <w:highlight w:val="none"/>
          <w:shd w:val="clear" w:color="auto" w:fill="FFFFFF"/>
          <w:lang w:eastAsia="zh-CN"/>
        </w:rPr>
        <w:t>QC委</w:t>
      </w:r>
      <w:r>
        <w:rPr>
          <w:rFonts w:ascii="仿宋_GB2312" w:hAnsi="仿宋_GB2312" w:eastAsia="仿宋_GB2312" w:cs="仿宋_GB2312"/>
          <w:color w:val="0D0D0D"/>
          <w:sz w:val="32"/>
          <w:szCs w:val="32"/>
          <w:highlight w:val="none"/>
          <w:shd w:val="clear" w:color="auto" w:fill="FFFFFF"/>
        </w:rPr>
        <w:t>办公室设在联合会秘书处，日常工作由</w:t>
      </w:r>
      <w:r>
        <w:rPr>
          <w:rFonts w:hint="eastAsia" w:ascii="仿宋_GB2312" w:hAnsi="仿宋_GB2312" w:eastAsia="仿宋_GB2312" w:cs="仿宋_GB2312"/>
          <w:color w:val="0D0D0D"/>
          <w:sz w:val="32"/>
          <w:szCs w:val="32"/>
          <w:highlight w:val="none"/>
          <w:shd w:val="clear" w:color="auto" w:fill="FFFFFF"/>
          <w:lang w:eastAsia="zh-CN"/>
        </w:rPr>
        <w:t>QC委</w:t>
      </w:r>
      <w:r>
        <w:rPr>
          <w:rFonts w:ascii="仿宋_GB2312" w:hAnsi="仿宋_GB2312" w:eastAsia="仿宋_GB2312" w:cs="仿宋_GB2312"/>
          <w:color w:val="0D0D0D"/>
          <w:sz w:val="32"/>
          <w:szCs w:val="32"/>
          <w:highlight w:val="none"/>
          <w:shd w:val="clear" w:color="auto" w:fill="FFFFFF"/>
        </w:rPr>
        <w:t>办公室负责开展。</w:t>
      </w:r>
    </w:p>
    <w:p w14:paraId="3571B68F">
      <w:pPr>
        <w:pStyle w:val="5"/>
        <w:shd w:val="clear" w:color="auto" w:fill="FFFFFF"/>
        <w:spacing w:beforeAutospacing="0" w:after="0" w:afterAutospacing="0" w:line="560" w:lineRule="exact"/>
        <w:ind w:firstLine="643" w:firstLineChars="200"/>
        <w:jc w:val="both"/>
        <w:rPr>
          <w:rFonts w:hint="eastAsia" w:ascii="仿宋_GB2312" w:hAnsi="仿宋_GB2312" w:eastAsia="仿宋_GB2312" w:cs="仿宋_GB2312"/>
          <w:color w:val="0D0D0D"/>
          <w:sz w:val="32"/>
          <w:szCs w:val="32"/>
          <w:highlight w:val="none"/>
          <w:shd w:val="clear" w:color="auto" w:fill="FFFFFF"/>
        </w:rPr>
      </w:pPr>
      <w:r>
        <w:rPr>
          <w:rFonts w:ascii="Times New Roman" w:hAnsi="Times New Roman" w:eastAsia="仿宋_GB2312" w:cs="Times New Roman"/>
          <w:b/>
          <w:bCs/>
          <w:color w:val="0D0D0D"/>
          <w:sz w:val="32"/>
          <w:szCs w:val="32"/>
          <w:highlight w:val="none"/>
          <w:shd w:val="clear" w:color="auto" w:fill="FFFFFF"/>
        </w:rPr>
        <w:t>第六条</w:t>
      </w:r>
      <w:r>
        <w:rPr>
          <w:rFonts w:hint="eastAsia" w:ascii="Times New Roman" w:hAnsi="Times New Roman" w:eastAsia="仿宋_GB2312" w:cs="Times New Roman"/>
          <w:b/>
          <w:bCs/>
          <w:color w:val="0D0D0D"/>
          <w:sz w:val="32"/>
          <w:szCs w:val="32"/>
          <w:highlight w:val="none"/>
          <w:shd w:val="clear" w:color="auto" w:fill="FFFFFF"/>
        </w:rPr>
        <w:t xml:space="preserve"> </w:t>
      </w:r>
      <w:r>
        <w:rPr>
          <w:rFonts w:hint="eastAsia" w:ascii="仿宋_GB2312" w:hAnsi="仿宋_GB2312" w:eastAsia="仿宋_GB2312" w:cs="仿宋_GB2312"/>
          <w:color w:val="0D0D0D"/>
          <w:sz w:val="32"/>
          <w:szCs w:val="32"/>
          <w:highlight w:val="none"/>
          <w:shd w:val="clear" w:color="auto" w:fill="FFFFFF"/>
          <w:lang w:eastAsia="zh-CN"/>
        </w:rPr>
        <w:t>QC委</w:t>
      </w:r>
      <w:r>
        <w:rPr>
          <w:rFonts w:ascii="仿宋_GB2312" w:hAnsi="仿宋_GB2312" w:eastAsia="仿宋_GB2312" w:cs="仿宋_GB2312"/>
          <w:color w:val="0D0D0D"/>
          <w:sz w:val="32"/>
          <w:szCs w:val="32"/>
          <w:highlight w:val="none"/>
          <w:shd w:val="clear" w:color="auto" w:fill="FFFFFF"/>
        </w:rPr>
        <w:t>设主任1名、执行主任1名、副主任2名、委员若干名。委员由建筑企业代表、质量管理专家</w:t>
      </w:r>
      <w:r>
        <w:rPr>
          <w:rFonts w:hint="eastAsia" w:ascii="Calibri" w:hAnsi="Calibri" w:eastAsia="仿宋_GB2312" w:cs="Calibri"/>
          <w:color w:val="0D0D0D"/>
          <w:sz w:val="32"/>
          <w:szCs w:val="32"/>
          <w:highlight w:val="none"/>
          <w:shd w:val="clear" w:color="auto" w:fill="FFFFFF"/>
        </w:rPr>
        <w:t>或</w:t>
      </w:r>
      <w:r>
        <w:rPr>
          <w:rFonts w:ascii="仿宋_GB2312" w:hAnsi="仿宋_GB2312" w:eastAsia="仿宋_GB2312" w:cs="仿宋_GB2312"/>
          <w:color w:val="0D0D0D"/>
          <w:sz w:val="32"/>
          <w:szCs w:val="32"/>
          <w:highlight w:val="none"/>
          <w:shd w:val="clear" w:color="auto" w:fill="FFFFFF"/>
        </w:rPr>
        <w:t>高校学者等组成。</w:t>
      </w:r>
    </w:p>
    <w:p w14:paraId="66756782">
      <w:pPr>
        <w:pStyle w:val="5"/>
        <w:shd w:val="clear" w:color="auto" w:fill="FFFFFF"/>
        <w:spacing w:beforeAutospacing="0" w:after="0" w:afterAutospacing="0" w:line="560" w:lineRule="exact"/>
        <w:ind w:firstLine="643" w:firstLineChars="200"/>
        <w:rPr>
          <w:rFonts w:ascii="Times New Roman" w:hAnsi="Times New Roman" w:eastAsia="仿宋_GB2312" w:cs="Times New Roman"/>
          <w:color w:val="0D0D0D"/>
          <w:sz w:val="32"/>
          <w:szCs w:val="32"/>
          <w:highlight w:val="none"/>
          <w:shd w:val="clear" w:color="auto" w:fill="FFFFFF"/>
        </w:rPr>
      </w:pPr>
      <w:r>
        <w:rPr>
          <w:rFonts w:ascii="Times New Roman" w:hAnsi="Times New Roman" w:eastAsia="仿宋_GB2312" w:cs="Times New Roman"/>
          <w:b/>
          <w:bCs/>
          <w:color w:val="0D0D0D"/>
          <w:sz w:val="32"/>
          <w:szCs w:val="32"/>
          <w:highlight w:val="none"/>
          <w:shd w:val="clear" w:color="auto" w:fill="FFFFFF"/>
        </w:rPr>
        <w:t>第七条</w:t>
      </w:r>
      <w:r>
        <w:rPr>
          <w:rFonts w:hint="eastAsia" w:ascii="Times New Roman" w:hAnsi="Times New Roman" w:eastAsia="仿宋_GB2312" w:cs="Times New Roman"/>
          <w:b/>
          <w:bCs/>
          <w:color w:val="0D0D0D"/>
          <w:sz w:val="32"/>
          <w:szCs w:val="32"/>
          <w:highlight w:val="none"/>
          <w:shd w:val="clear" w:color="auto" w:fill="FFFFFF"/>
        </w:rPr>
        <w:t xml:space="preserve"> </w:t>
      </w:r>
      <w:r>
        <w:rPr>
          <w:rFonts w:hint="eastAsia" w:ascii="仿宋_GB2312" w:hAnsi="仿宋_GB2312" w:eastAsia="仿宋_GB2312" w:cs="仿宋_GB2312"/>
          <w:color w:val="0D0D0D"/>
          <w:sz w:val="32"/>
          <w:szCs w:val="32"/>
          <w:highlight w:val="none"/>
          <w:shd w:val="clear" w:color="auto" w:fill="FFFFFF"/>
          <w:lang w:eastAsia="zh-CN"/>
        </w:rPr>
        <w:t>QC委</w:t>
      </w:r>
      <w:r>
        <w:rPr>
          <w:rFonts w:ascii="仿宋_GB2312" w:hAnsi="仿宋_GB2312" w:eastAsia="仿宋_GB2312" w:cs="仿宋_GB2312"/>
          <w:color w:val="0D0D0D"/>
          <w:sz w:val="32"/>
          <w:szCs w:val="32"/>
          <w:highlight w:val="none"/>
          <w:shd w:val="clear" w:color="auto" w:fill="FFFFFF"/>
        </w:rPr>
        <w:t>不单独设立财务机构，经费纳入联合会统一管理，收支情况接受联合会监督。</w:t>
      </w:r>
    </w:p>
    <w:p w14:paraId="4110E515">
      <w:pPr>
        <w:pStyle w:val="5"/>
        <w:shd w:val="clear" w:color="auto" w:fill="FFFFFF"/>
        <w:spacing w:beforeAutospacing="0" w:after="0" w:afterAutospacing="0" w:line="560" w:lineRule="exact"/>
        <w:ind w:firstLine="643" w:firstLineChars="200"/>
        <w:rPr>
          <w:rFonts w:ascii="Times New Roman" w:hAnsi="Times New Roman" w:eastAsia="仿宋_GB2312" w:cs="Times New Roman"/>
          <w:color w:val="0D0D0D"/>
          <w:sz w:val="32"/>
          <w:szCs w:val="32"/>
          <w:highlight w:val="none"/>
          <w:shd w:val="clear" w:color="auto" w:fill="FFFFFF"/>
        </w:rPr>
      </w:pPr>
      <w:r>
        <w:rPr>
          <w:rFonts w:ascii="Times New Roman" w:hAnsi="Times New Roman" w:eastAsia="仿宋_GB2312" w:cs="Times New Roman"/>
          <w:b/>
          <w:bCs/>
          <w:color w:val="0D0D0D"/>
          <w:sz w:val="32"/>
          <w:szCs w:val="32"/>
          <w:highlight w:val="none"/>
          <w:shd w:val="clear" w:color="auto" w:fill="FFFFFF"/>
        </w:rPr>
        <w:t>第八条</w:t>
      </w:r>
      <w:r>
        <w:rPr>
          <w:rFonts w:hint="eastAsia" w:ascii="Times New Roman" w:hAnsi="Times New Roman" w:eastAsia="仿宋_GB2312" w:cs="Times New Roman"/>
          <w:b/>
          <w:bCs/>
          <w:color w:val="0D0D0D"/>
          <w:sz w:val="32"/>
          <w:szCs w:val="32"/>
          <w:highlight w:val="none"/>
          <w:shd w:val="clear" w:color="auto" w:fill="FFFFFF"/>
        </w:rPr>
        <w:t xml:space="preserve"> </w:t>
      </w:r>
      <w:r>
        <w:rPr>
          <w:rFonts w:hint="eastAsia" w:ascii="仿宋_GB2312" w:hAnsi="仿宋_GB2312" w:eastAsia="仿宋_GB2312" w:cs="仿宋_GB2312"/>
          <w:color w:val="0D0D0D"/>
          <w:sz w:val="32"/>
          <w:szCs w:val="32"/>
          <w:highlight w:val="none"/>
          <w:shd w:val="clear" w:color="auto" w:fill="FFFFFF"/>
          <w:lang w:eastAsia="zh-CN"/>
        </w:rPr>
        <w:t>QC委</w:t>
      </w:r>
      <w:r>
        <w:rPr>
          <w:rFonts w:ascii="仿宋_GB2312" w:hAnsi="仿宋_GB2312" w:eastAsia="仿宋_GB2312" w:cs="仿宋_GB2312"/>
          <w:color w:val="0D0D0D"/>
          <w:sz w:val="32"/>
          <w:szCs w:val="32"/>
          <w:highlight w:val="none"/>
          <w:shd w:val="clear" w:color="auto" w:fill="FFFFFF"/>
        </w:rPr>
        <w:t>每届任期3年。</w:t>
      </w:r>
    </w:p>
    <w:p w14:paraId="40311DF6">
      <w:pPr>
        <w:pStyle w:val="2"/>
        <w:widowControl/>
        <w:shd w:val="clear" w:color="auto" w:fill="FFFFFF"/>
        <w:spacing w:beforeAutospacing="0" w:after="0" w:afterAutospacing="0" w:line="560" w:lineRule="exact"/>
        <w:ind w:firstLine="643" w:firstLineChars="200"/>
        <w:rPr>
          <w:rFonts w:hint="default" w:ascii="Times New Roman" w:hAnsi="Times New Roman" w:eastAsia="仿宋_GB2312" w:cs="Times New Roman"/>
          <w:bCs/>
          <w:color w:val="0D0D0D"/>
          <w:sz w:val="32"/>
          <w:szCs w:val="32"/>
          <w:highlight w:val="none"/>
          <w:shd w:val="clear" w:color="auto" w:fill="FFFFFF"/>
        </w:rPr>
      </w:pPr>
    </w:p>
    <w:p w14:paraId="37573D36">
      <w:pPr>
        <w:pStyle w:val="2"/>
        <w:widowControl/>
        <w:shd w:val="clear" w:color="auto" w:fill="FFFFFF"/>
        <w:spacing w:beforeAutospacing="0" w:after="0" w:afterAutospacing="0" w:line="560" w:lineRule="exact"/>
        <w:jc w:val="center"/>
        <w:rPr>
          <w:rFonts w:hint="default" w:ascii="Times New Roman" w:hAnsi="Times New Roman" w:eastAsia="仿宋_GB2312" w:cs="Times New Roman"/>
          <w:bCs/>
          <w:color w:val="0D0D0D"/>
          <w:sz w:val="32"/>
          <w:szCs w:val="32"/>
          <w:highlight w:val="none"/>
          <w:shd w:val="clear" w:color="auto" w:fill="FFFFFF"/>
        </w:rPr>
      </w:pPr>
      <w:r>
        <w:rPr>
          <w:rFonts w:hint="default" w:ascii="Times New Roman" w:hAnsi="Times New Roman" w:eastAsia="仿宋_GB2312" w:cs="Times New Roman"/>
          <w:bCs/>
          <w:color w:val="0D0D0D"/>
          <w:sz w:val="32"/>
          <w:szCs w:val="32"/>
          <w:highlight w:val="none"/>
          <w:shd w:val="clear" w:color="auto" w:fill="FFFFFF"/>
        </w:rPr>
        <w:t>第四章</w:t>
      </w:r>
      <w:r>
        <w:rPr>
          <w:rFonts w:ascii="Times New Roman" w:hAnsi="Times New Roman" w:eastAsia="仿宋_GB2312" w:cs="Times New Roman"/>
          <w:bCs/>
          <w:color w:val="0D0D0D"/>
          <w:sz w:val="32"/>
          <w:szCs w:val="32"/>
          <w:highlight w:val="none"/>
          <w:shd w:val="clear" w:color="auto" w:fill="FFFFFF"/>
        </w:rPr>
        <w:t xml:space="preserve"> </w:t>
      </w:r>
      <w:r>
        <w:rPr>
          <w:rFonts w:hint="default" w:ascii="Times New Roman" w:hAnsi="Times New Roman" w:eastAsia="仿宋_GB2312" w:cs="Times New Roman"/>
          <w:bCs/>
          <w:color w:val="0D0D0D"/>
          <w:sz w:val="32"/>
          <w:szCs w:val="32"/>
          <w:highlight w:val="none"/>
          <w:shd w:val="clear" w:color="auto" w:fill="FFFFFF"/>
        </w:rPr>
        <w:t>专家入选条件</w:t>
      </w:r>
    </w:p>
    <w:p w14:paraId="28D4081A">
      <w:pPr>
        <w:pStyle w:val="2"/>
        <w:widowControl/>
        <w:shd w:val="clear" w:color="auto" w:fill="FFFFFF"/>
        <w:spacing w:beforeAutospacing="0" w:after="0" w:afterAutospacing="0" w:line="560" w:lineRule="exact"/>
        <w:ind w:firstLine="643" w:firstLineChars="200"/>
        <w:rPr>
          <w:rFonts w:hint="default" w:ascii="Times New Roman" w:hAnsi="Times New Roman" w:eastAsia="仿宋_GB2312" w:cs="Times New Roman"/>
          <w:bCs/>
          <w:color w:val="0D0D0D"/>
          <w:sz w:val="32"/>
          <w:szCs w:val="32"/>
          <w:highlight w:val="none"/>
          <w:shd w:val="clear" w:color="auto" w:fill="FFFFFF"/>
        </w:rPr>
      </w:pPr>
    </w:p>
    <w:p w14:paraId="69478BDC">
      <w:pPr>
        <w:spacing w:line="560" w:lineRule="exact"/>
        <w:ind w:left="638" w:leftChars="304"/>
        <w:rPr>
          <w:rFonts w:hint="eastAsia" w:ascii="仿宋_GB2312" w:hAnsi="仿宋_GB2312" w:eastAsia="仿宋_GB2312" w:cs="仿宋_GB2312"/>
          <w:color w:val="0D0D0D"/>
          <w:kern w:val="0"/>
          <w:sz w:val="32"/>
          <w:szCs w:val="32"/>
          <w:highlight w:val="none"/>
          <w:shd w:val="clear" w:color="auto" w:fill="FFFFFF"/>
        </w:rPr>
      </w:pPr>
      <w:r>
        <w:rPr>
          <w:rFonts w:eastAsia="仿宋_GB2312"/>
          <w:b/>
          <w:bCs/>
          <w:color w:val="0D0D0D"/>
          <w:kern w:val="0"/>
          <w:sz w:val="32"/>
          <w:szCs w:val="32"/>
          <w:highlight w:val="none"/>
          <w:shd w:val="clear" w:color="auto" w:fill="FFFFFF"/>
          <w:lang w:bidi="ar"/>
        </w:rPr>
        <w:t>第九条</w:t>
      </w:r>
      <w:r>
        <w:rPr>
          <w:rFonts w:hint="eastAsia" w:eastAsia="仿宋_GB2312"/>
          <w:b/>
          <w:bCs/>
          <w:color w:val="0D0D0D"/>
          <w:kern w:val="0"/>
          <w:sz w:val="32"/>
          <w:szCs w:val="32"/>
          <w:highlight w:val="none"/>
          <w:shd w:val="clear" w:color="auto" w:fill="FFFFFF"/>
          <w:lang w:bidi="ar"/>
        </w:rPr>
        <w:t xml:space="preserve"> </w:t>
      </w:r>
      <w:r>
        <w:rPr>
          <w:rFonts w:hint="eastAsia" w:ascii="仿宋_GB2312" w:hAnsi="仿宋_GB2312" w:eastAsia="仿宋_GB2312" w:cs="仿宋_GB2312"/>
          <w:color w:val="0D0D0D"/>
          <w:kern w:val="0"/>
          <w:sz w:val="32"/>
          <w:szCs w:val="32"/>
          <w:highlight w:val="none"/>
          <w:shd w:val="clear" w:color="auto" w:fill="FFFFFF"/>
          <w:lang w:eastAsia="zh-CN"/>
        </w:rPr>
        <w:t>QC委</w:t>
      </w:r>
      <w:r>
        <w:rPr>
          <w:rFonts w:ascii="仿宋_GB2312" w:hAnsi="仿宋_GB2312" w:eastAsia="仿宋_GB2312" w:cs="仿宋_GB2312"/>
          <w:color w:val="0D0D0D"/>
          <w:kern w:val="0"/>
          <w:sz w:val="32"/>
          <w:szCs w:val="32"/>
          <w:highlight w:val="none"/>
          <w:shd w:val="clear" w:color="auto" w:fill="FFFFFF"/>
        </w:rPr>
        <w:t>专家库</w:t>
      </w:r>
      <w:r>
        <w:rPr>
          <w:rFonts w:hint="eastAsia" w:ascii="仿宋_GB2312" w:hAnsi="仿宋_GB2312" w:eastAsia="仿宋_GB2312" w:cs="仿宋_GB2312"/>
          <w:color w:val="0D0D0D"/>
          <w:kern w:val="0"/>
          <w:sz w:val="32"/>
          <w:szCs w:val="32"/>
          <w:highlight w:val="none"/>
          <w:shd w:val="clear" w:color="auto" w:fill="FFFFFF"/>
        </w:rPr>
        <w:t>专家</w:t>
      </w:r>
      <w:r>
        <w:rPr>
          <w:rFonts w:ascii="仿宋_GB2312" w:hAnsi="仿宋_GB2312" w:eastAsia="仿宋_GB2312" w:cs="仿宋_GB2312"/>
          <w:color w:val="0D0D0D"/>
          <w:kern w:val="0"/>
          <w:sz w:val="32"/>
          <w:szCs w:val="32"/>
          <w:highlight w:val="none"/>
          <w:shd w:val="clear" w:color="auto" w:fill="FFFFFF"/>
        </w:rPr>
        <w:t>入选条件：</w:t>
      </w:r>
    </w:p>
    <w:p w14:paraId="78CD5C86">
      <w:pPr>
        <w:spacing w:line="560" w:lineRule="exact"/>
        <w:ind w:firstLine="640" w:firstLineChars="200"/>
        <w:rPr>
          <w:rFonts w:hint="eastAsia" w:ascii="仿宋_GB2312" w:hAnsi="仿宋_GB2312" w:eastAsia="仿宋_GB2312" w:cs="仿宋_GB2312"/>
          <w:color w:val="0D0D0D"/>
          <w:kern w:val="0"/>
          <w:sz w:val="32"/>
          <w:szCs w:val="32"/>
          <w:highlight w:val="none"/>
          <w:shd w:val="clear" w:color="auto" w:fill="FFFFFF"/>
        </w:rPr>
      </w:pPr>
      <w:r>
        <w:rPr>
          <w:rFonts w:hint="eastAsia" w:ascii="仿宋_GB2312" w:hAnsi="仿宋_GB2312" w:eastAsia="仿宋_GB2312" w:cs="仿宋_GB2312"/>
          <w:color w:val="0D0D0D"/>
          <w:kern w:val="0"/>
          <w:sz w:val="32"/>
          <w:szCs w:val="32"/>
          <w:highlight w:val="none"/>
          <w:shd w:val="clear" w:color="auto" w:fill="FFFFFF"/>
        </w:rPr>
        <w:t>（一）从事质量管理小组活动相关工作不少于5年，在质量管理成果培育、活动组织等方面有突出业绩（如指导的质量管理小组获市级及以上奖项不少于5项）。</w:t>
      </w:r>
    </w:p>
    <w:p w14:paraId="79636634">
      <w:pPr>
        <w:spacing w:line="560" w:lineRule="exact"/>
        <w:ind w:firstLine="640" w:firstLineChars="200"/>
        <w:rPr>
          <w:rFonts w:hint="eastAsia" w:ascii="仿宋_GB2312" w:hAnsi="仿宋_GB2312" w:eastAsia="仿宋_GB2312" w:cs="仿宋_GB2312"/>
          <w:color w:val="0D0D0D"/>
          <w:kern w:val="0"/>
          <w:sz w:val="32"/>
          <w:szCs w:val="32"/>
          <w:highlight w:val="none"/>
          <w:shd w:val="clear" w:color="auto" w:fill="FFFFFF"/>
        </w:rPr>
      </w:pPr>
      <w:r>
        <w:rPr>
          <w:rFonts w:ascii="仿宋_GB2312" w:hAnsi="仿宋_GB2312" w:eastAsia="仿宋_GB2312" w:cs="仿宋_GB2312"/>
          <w:color w:val="0D0D0D"/>
          <w:kern w:val="0"/>
          <w:sz w:val="32"/>
          <w:szCs w:val="32"/>
          <w:highlight w:val="none"/>
          <w:shd w:val="clear" w:color="auto" w:fill="FFFFFF"/>
        </w:rPr>
        <w:t>（二）本科及以上学历，相关专业背景，具有高级工程师及以上职称或高级推进者证书。</w:t>
      </w:r>
    </w:p>
    <w:p w14:paraId="7554DDE3">
      <w:pPr>
        <w:spacing w:line="560" w:lineRule="exact"/>
        <w:ind w:firstLine="640" w:firstLineChars="200"/>
        <w:rPr>
          <w:rFonts w:hint="eastAsia" w:ascii="仿宋_GB2312" w:hAnsi="仿宋_GB2312" w:eastAsia="仿宋_GB2312" w:cs="仿宋_GB2312"/>
          <w:color w:val="0D0D0D"/>
          <w:kern w:val="0"/>
          <w:sz w:val="32"/>
          <w:szCs w:val="32"/>
          <w:highlight w:val="none"/>
          <w:shd w:val="clear" w:color="auto" w:fill="FFFFFF"/>
        </w:rPr>
      </w:pPr>
      <w:r>
        <w:rPr>
          <w:rFonts w:ascii="仿宋_GB2312" w:hAnsi="仿宋_GB2312" w:eastAsia="仿宋_GB2312" w:cs="仿宋_GB2312"/>
          <w:color w:val="0D0D0D"/>
          <w:kern w:val="0"/>
          <w:sz w:val="32"/>
          <w:szCs w:val="32"/>
          <w:highlight w:val="none"/>
          <w:shd w:val="clear" w:color="auto" w:fill="FFFFFF"/>
        </w:rPr>
        <w:t>（三）在企业担任质量管理部门负责人、技术骨干</w:t>
      </w:r>
      <w:r>
        <w:rPr>
          <w:rFonts w:hint="eastAsia" w:ascii="仿宋_GB2312" w:hAnsi="仿宋_GB2312" w:eastAsia="仿宋_GB2312" w:cs="仿宋_GB2312"/>
          <w:color w:val="0D0D0D"/>
          <w:kern w:val="0"/>
          <w:sz w:val="32"/>
          <w:szCs w:val="32"/>
          <w:highlight w:val="none"/>
          <w:shd w:val="clear" w:color="auto" w:fill="FFFFFF"/>
          <w:lang w:eastAsia="zh-CN"/>
        </w:rPr>
        <w:t>，</w:t>
      </w:r>
      <w:r>
        <w:rPr>
          <w:rFonts w:ascii="仿宋_GB2312" w:hAnsi="仿宋_GB2312" w:eastAsia="仿宋_GB2312" w:cs="仿宋_GB2312"/>
          <w:color w:val="0D0D0D"/>
          <w:kern w:val="0"/>
          <w:sz w:val="32"/>
          <w:szCs w:val="32"/>
          <w:highlight w:val="none"/>
          <w:shd w:val="clear" w:color="auto" w:fill="FFFFFF"/>
        </w:rPr>
        <w:t>或长期从事</w:t>
      </w:r>
      <w:r>
        <w:rPr>
          <w:rFonts w:hint="eastAsia" w:ascii="仿宋_GB2312" w:hAnsi="仿宋_GB2312" w:eastAsia="仿宋_GB2312" w:cs="仿宋_GB2312"/>
          <w:color w:val="0D0D0D"/>
          <w:kern w:val="0"/>
          <w:sz w:val="32"/>
          <w:szCs w:val="32"/>
          <w:highlight w:val="none"/>
          <w:shd w:val="clear" w:color="auto" w:fill="FFFFFF"/>
        </w:rPr>
        <w:t>质量管理</w:t>
      </w:r>
      <w:r>
        <w:rPr>
          <w:rFonts w:ascii="仿宋_GB2312" w:hAnsi="仿宋_GB2312" w:eastAsia="仿宋_GB2312" w:cs="仿宋_GB2312"/>
          <w:color w:val="0D0D0D"/>
          <w:kern w:val="0"/>
          <w:sz w:val="32"/>
          <w:szCs w:val="32"/>
          <w:highlight w:val="none"/>
          <w:shd w:val="clear" w:color="auto" w:fill="FFFFFF"/>
        </w:rPr>
        <w:t>活动培训、咨询工作，熟悉</w:t>
      </w:r>
      <w:r>
        <w:rPr>
          <w:rFonts w:hint="eastAsia" w:ascii="仿宋_GB2312" w:hAnsi="仿宋_GB2312" w:eastAsia="仿宋_GB2312" w:cs="仿宋_GB2312"/>
          <w:color w:val="0D0D0D"/>
          <w:kern w:val="0"/>
          <w:sz w:val="32"/>
          <w:szCs w:val="32"/>
          <w:highlight w:val="none"/>
          <w:shd w:val="clear" w:color="auto" w:fill="FFFFFF"/>
        </w:rPr>
        <w:t>质量管理</w:t>
      </w:r>
      <w:r>
        <w:rPr>
          <w:rFonts w:ascii="仿宋_GB2312" w:hAnsi="仿宋_GB2312" w:eastAsia="仿宋_GB2312" w:cs="仿宋_GB2312"/>
          <w:color w:val="0D0D0D"/>
          <w:kern w:val="0"/>
          <w:sz w:val="32"/>
          <w:szCs w:val="32"/>
          <w:highlight w:val="none"/>
          <w:shd w:val="clear" w:color="auto" w:fill="FFFFFF"/>
        </w:rPr>
        <w:t>小组活动的流程、方法及相关标准，具备较强的问题分析与解决能力。</w:t>
      </w:r>
    </w:p>
    <w:p w14:paraId="53D13730">
      <w:pPr>
        <w:spacing w:line="560" w:lineRule="exact"/>
        <w:ind w:firstLine="640" w:firstLineChars="200"/>
        <w:rPr>
          <w:rFonts w:hint="eastAsia" w:ascii="仿宋_GB2312" w:hAnsi="仿宋_GB2312" w:eastAsia="仿宋_GB2312" w:cs="仿宋_GB2312"/>
          <w:color w:val="0D0D0D"/>
          <w:kern w:val="0"/>
          <w:sz w:val="32"/>
          <w:szCs w:val="32"/>
          <w:highlight w:val="none"/>
          <w:shd w:val="clear" w:color="auto" w:fill="FFFFFF"/>
        </w:rPr>
      </w:pPr>
      <w:r>
        <w:rPr>
          <w:rFonts w:ascii="仿宋_GB2312" w:hAnsi="仿宋_GB2312" w:eastAsia="仿宋_GB2312" w:cs="仿宋_GB2312"/>
          <w:color w:val="0D0D0D"/>
          <w:kern w:val="0"/>
          <w:sz w:val="32"/>
          <w:szCs w:val="32"/>
          <w:highlight w:val="none"/>
          <w:shd w:val="clear" w:color="auto" w:fill="FFFFFF"/>
        </w:rPr>
        <w:t>（四）坚持原则、作风正派，无违法违规或失信记录，能独立、客观履行职责。</w:t>
      </w:r>
    </w:p>
    <w:p w14:paraId="1C3F11AB">
      <w:pPr>
        <w:spacing w:line="576" w:lineRule="exact"/>
        <w:ind w:firstLine="640" w:firstLineChars="200"/>
        <w:rPr>
          <w:rFonts w:hint="eastAsia" w:ascii="仿宋_GB2312" w:hAnsi="仿宋_GB2312" w:eastAsia="仿宋_GB2312" w:cs="仿宋_GB2312"/>
          <w:color w:val="0D0D0D"/>
          <w:kern w:val="0"/>
          <w:sz w:val="32"/>
          <w:szCs w:val="32"/>
          <w:highlight w:val="none"/>
          <w:shd w:val="clear" w:color="auto" w:fill="FFFFFF"/>
        </w:rPr>
      </w:pPr>
      <w:r>
        <w:rPr>
          <w:rFonts w:ascii="仿宋_GB2312" w:hAnsi="仿宋_GB2312" w:eastAsia="仿宋_GB2312" w:cs="仿宋_GB2312"/>
          <w:color w:val="0D0D0D"/>
          <w:kern w:val="0"/>
          <w:sz w:val="32"/>
          <w:szCs w:val="32"/>
          <w:highlight w:val="none"/>
          <w:shd w:val="clear" w:color="auto" w:fill="FFFFFF"/>
        </w:rPr>
        <w:t>（五）学历、专业、实务经历、技术职称、行政职务是入库遴选的依据。</w:t>
      </w:r>
    </w:p>
    <w:p w14:paraId="3A958FCF">
      <w:pPr>
        <w:spacing w:line="576" w:lineRule="exact"/>
        <w:ind w:firstLine="640" w:firstLineChars="200"/>
        <w:rPr>
          <w:rFonts w:hint="eastAsia" w:ascii="仿宋_GB2312" w:hAnsi="仿宋_GB2312" w:eastAsia="仿宋_GB2312" w:cs="仿宋_GB2312"/>
          <w:color w:val="0D0D0D"/>
          <w:kern w:val="0"/>
          <w:sz w:val="32"/>
          <w:szCs w:val="32"/>
          <w:highlight w:val="none"/>
          <w:shd w:val="clear" w:color="auto" w:fill="FFFFFF"/>
        </w:rPr>
      </w:pPr>
      <w:r>
        <w:rPr>
          <w:rFonts w:ascii="仿宋_GB2312" w:hAnsi="仿宋_GB2312" w:eastAsia="仿宋_GB2312" w:cs="仿宋_GB2312"/>
          <w:color w:val="0D0D0D"/>
          <w:kern w:val="0"/>
          <w:sz w:val="32"/>
          <w:szCs w:val="32"/>
          <w:highlight w:val="none"/>
          <w:shd w:val="clear" w:color="auto" w:fill="FFFFFF"/>
        </w:rPr>
        <w:t>（六）积极参加专家委和工作委组织的各项活动，能承担相应业务责任。</w:t>
      </w:r>
    </w:p>
    <w:p w14:paraId="16BAC501">
      <w:pPr>
        <w:spacing w:line="576" w:lineRule="exact"/>
        <w:ind w:firstLine="640" w:firstLineChars="200"/>
        <w:rPr>
          <w:rFonts w:hint="eastAsia" w:ascii="仿宋_GB2312" w:hAnsi="仿宋_GB2312" w:eastAsia="仿宋_GB2312" w:cs="仿宋_GB2312"/>
          <w:color w:val="0D0D0D"/>
          <w:kern w:val="0"/>
          <w:sz w:val="32"/>
          <w:szCs w:val="32"/>
          <w:highlight w:val="none"/>
          <w:shd w:val="clear" w:color="auto" w:fill="FFFFFF"/>
        </w:rPr>
      </w:pPr>
      <w:r>
        <w:rPr>
          <w:rFonts w:ascii="仿宋_GB2312" w:hAnsi="仿宋_GB2312" w:eastAsia="仿宋_GB2312" w:cs="仿宋_GB2312"/>
          <w:color w:val="0D0D0D"/>
          <w:kern w:val="0"/>
          <w:sz w:val="32"/>
          <w:szCs w:val="32"/>
          <w:highlight w:val="none"/>
          <w:shd w:val="clear" w:color="auto" w:fill="FFFFFF"/>
        </w:rPr>
        <w:t>（七）</w:t>
      </w:r>
      <w:r>
        <w:rPr>
          <w:rFonts w:hint="eastAsia" w:ascii="仿宋_GB2312" w:hAnsi="仿宋_GB2312" w:eastAsia="仿宋_GB2312" w:cs="仿宋_GB2312"/>
          <w:color w:val="0D0D0D"/>
          <w:kern w:val="0"/>
          <w:sz w:val="32"/>
          <w:szCs w:val="32"/>
          <w:highlight w:val="none"/>
          <w:shd w:val="clear" w:color="auto" w:fill="FFFFFF"/>
          <w:lang w:eastAsia="zh-CN"/>
        </w:rPr>
        <w:t>QC委</w:t>
      </w:r>
      <w:r>
        <w:rPr>
          <w:rFonts w:ascii="仿宋_GB2312" w:hAnsi="仿宋_GB2312" w:eastAsia="仿宋_GB2312" w:cs="仿宋_GB2312"/>
          <w:color w:val="0D0D0D"/>
          <w:kern w:val="0"/>
          <w:sz w:val="32"/>
          <w:szCs w:val="32"/>
          <w:highlight w:val="none"/>
          <w:shd w:val="clear" w:color="auto" w:fill="FFFFFF"/>
        </w:rPr>
        <w:t>专家有向工作委、专家委提出建议、提案的义务，有加入和自愿退出专家库的权利。</w:t>
      </w:r>
    </w:p>
    <w:p w14:paraId="162471CF">
      <w:pPr>
        <w:spacing w:line="576" w:lineRule="exact"/>
        <w:ind w:firstLine="640" w:firstLineChars="200"/>
        <w:rPr>
          <w:rFonts w:hint="eastAsia" w:ascii="仿宋_GB2312" w:hAnsi="仿宋_GB2312" w:eastAsia="仿宋_GB2312" w:cs="仿宋_GB2312"/>
          <w:color w:val="0D0D0D"/>
          <w:kern w:val="0"/>
          <w:sz w:val="32"/>
          <w:szCs w:val="32"/>
          <w:highlight w:val="none"/>
          <w:shd w:val="clear" w:color="auto" w:fill="FFFFFF"/>
        </w:rPr>
      </w:pPr>
      <w:r>
        <w:rPr>
          <w:rFonts w:ascii="仿宋_GB2312" w:hAnsi="仿宋_GB2312" w:eastAsia="仿宋_GB2312" w:cs="仿宋_GB2312"/>
          <w:color w:val="0D0D0D"/>
          <w:kern w:val="0"/>
          <w:sz w:val="32"/>
          <w:szCs w:val="32"/>
          <w:highlight w:val="none"/>
          <w:shd w:val="clear" w:color="auto" w:fill="FFFFFF"/>
        </w:rPr>
        <w:t>（八）个人如实填报入库申请，在所在单位加具意见后，报联合会专家委管理办公室，经专家资格审核工作小组审核获准，信息在业内网站公示。</w:t>
      </w:r>
    </w:p>
    <w:p w14:paraId="0F2EDFC1">
      <w:pPr>
        <w:spacing w:line="576" w:lineRule="exact"/>
        <w:ind w:firstLine="640" w:firstLineChars="200"/>
        <w:rPr>
          <w:rFonts w:eastAsia="仿宋_GB2312"/>
          <w:kern w:val="0"/>
          <w:sz w:val="32"/>
          <w:szCs w:val="32"/>
          <w:highlight w:val="none"/>
        </w:rPr>
      </w:pPr>
      <w:r>
        <w:rPr>
          <w:rFonts w:ascii="仿宋_GB2312" w:hAnsi="仿宋_GB2312" w:eastAsia="仿宋_GB2312" w:cs="仿宋_GB2312"/>
          <w:color w:val="0D0D0D"/>
          <w:kern w:val="0"/>
          <w:sz w:val="32"/>
          <w:szCs w:val="32"/>
          <w:highlight w:val="none"/>
          <w:shd w:val="clear" w:color="auto" w:fill="FFFFFF"/>
        </w:rPr>
        <w:t>（九）公示后，名单报经联合会会长办公会议审定公布，经培训合格后颁发聘书。</w:t>
      </w:r>
    </w:p>
    <w:p w14:paraId="144AA284">
      <w:pPr>
        <w:pStyle w:val="2"/>
        <w:widowControl/>
        <w:shd w:val="clear" w:color="auto" w:fill="FFFFFF"/>
        <w:spacing w:beforeAutospacing="0" w:after="0" w:afterAutospacing="0" w:line="560" w:lineRule="exact"/>
        <w:ind w:firstLine="643" w:firstLineChars="200"/>
        <w:rPr>
          <w:rFonts w:hint="default" w:ascii="Times New Roman" w:hAnsi="Times New Roman" w:eastAsia="仿宋_GB2312" w:cs="Times New Roman"/>
          <w:bCs/>
          <w:color w:val="0D0D0D"/>
          <w:sz w:val="32"/>
          <w:szCs w:val="32"/>
          <w:highlight w:val="none"/>
          <w:shd w:val="clear" w:color="auto" w:fill="FFFFFF"/>
        </w:rPr>
      </w:pPr>
    </w:p>
    <w:p w14:paraId="0E496CA9">
      <w:pPr>
        <w:pStyle w:val="2"/>
        <w:widowControl/>
        <w:shd w:val="clear" w:color="auto" w:fill="FFFFFF"/>
        <w:spacing w:beforeAutospacing="0" w:after="0" w:afterAutospacing="0" w:line="560" w:lineRule="exact"/>
        <w:jc w:val="center"/>
        <w:rPr>
          <w:rFonts w:hint="default" w:ascii="Times New Roman" w:hAnsi="Times New Roman" w:eastAsia="仿宋_GB2312" w:cs="Times New Roman"/>
          <w:bCs/>
          <w:color w:val="0D0D0D"/>
          <w:sz w:val="32"/>
          <w:szCs w:val="32"/>
          <w:highlight w:val="none"/>
          <w:shd w:val="clear" w:color="auto" w:fill="FFFFFF"/>
        </w:rPr>
      </w:pPr>
      <w:r>
        <w:rPr>
          <w:rFonts w:hint="default" w:ascii="Times New Roman" w:hAnsi="Times New Roman" w:eastAsia="仿宋_GB2312" w:cs="Times New Roman"/>
          <w:bCs/>
          <w:color w:val="0D0D0D"/>
          <w:sz w:val="32"/>
          <w:szCs w:val="32"/>
          <w:highlight w:val="none"/>
          <w:shd w:val="clear" w:color="auto" w:fill="FFFFFF"/>
        </w:rPr>
        <w:t>第五章</w:t>
      </w:r>
      <w:r>
        <w:rPr>
          <w:rFonts w:ascii="Times New Roman" w:hAnsi="Times New Roman" w:eastAsia="仿宋_GB2312" w:cs="Times New Roman"/>
          <w:bCs/>
          <w:color w:val="0D0D0D"/>
          <w:sz w:val="32"/>
          <w:szCs w:val="32"/>
          <w:highlight w:val="none"/>
          <w:shd w:val="clear" w:color="auto" w:fill="FFFFFF"/>
        </w:rPr>
        <w:t xml:space="preserve"> </w:t>
      </w:r>
      <w:r>
        <w:rPr>
          <w:rFonts w:hint="default" w:ascii="Times New Roman" w:hAnsi="Times New Roman" w:eastAsia="仿宋_GB2312" w:cs="Times New Roman"/>
          <w:bCs/>
          <w:color w:val="0D0D0D"/>
          <w:sz w:val="32"/>
          <w:szCs w:val="32"/>
          <w:highlight w:val="none"/>
          <w:shd w:val="clear" w:color="auto" w:fill="FFFFFF"/>
        </w:rPr>
        <w:t>组织纪律</w:t>
      </w:r>
    </w:p>
    <w:p w14:paraId="31DA468B">
      <w:pPr>
        <w:pStyle w:val="2"/>
        <w:widowControl/>
        <w:shd w:val="clear" w:color="auto" w:fill="FFFFFF"/>
        <w:spacing w:beforeAutospacing="0" w:after="0" w:afterAutospacing="0" w:line="560" w:lineRule="exact"/>
        <w:ind w:firstLine="643" w:firstLineChars="200"/>
        <w:rPr>
          <w:rFonts w:hint="default" w:ascii="Times New Roman" w:hAnsi="Times New Roman" w:eastAsia="仿宋_GB2312" w:cs="Times New Roman"/>
          <w:bCs/>
          <w:color w:val="0D0D0D"/>
          <w:sz w:val="32"/>
          <w:szCs w:val="32"/>
          <w:highlight w:val="none"/>
          <w:shd w:val="clear" w:color="auto" w:fill="FFFFFF"/>
        </w:rPr>
      </w:pPr>
    </w:p>
    <w:p w14:paraId="1DD11059">
      <w:pPr>
        <w:spacing w:line="576" w:lineRule="exact"/>
        <w:ind w:firstLine="643" w:firstLineChars="200"/>
        <w:rPr>
          <w:rFonts w:eastAsia="仿宋_GB2312"/>
          <w:kern w:val="0"/>
          <w:sz w:val="32"/>
          <w:szCs w:val="32"/>
          <w:highlight w:val="none"/>
        </w:rPr>
      </w:pPr>
      <w:r>
        <w:rPr>
          <w:rFonts w:eastAsia="仿宋_GB2312"/>
          <w:b/>
          <w:bCs/>
          <w:color w:val="0D0D0D"/>
          <w:sz w:val="32"/>
          <w:szCs w:val="32"/>
          <w:highlight w:val="none"/>
          <w:shd w:val="clear" w:color="auto" w:fill="FFFFFF"/>
        </w:rPr>
        <w:t>第十条</w:t>
      </w:r>
      <w:r>
        <w:rPr>
          <w:rFonts w:hint="eastAsia" w:eastAsia="仿宋_GB2312"/>
          <w:b/>
          <w:bCs/>
          <w:color w:val="0D0D0D"/>
          <w:sz w:val="32"/>
          <w:szCs w:val="32"/>
          <w:highlight w:val="none"/>
          <w:shd w:val="clear" w:color="auto" w:fill="FFFFFF"/>
        </w:rPr>
        <w:t xml:space="preserve"> </w:t>
      </w:r>
      <w:r>
        <w:rPr>
          <w:rFonts w:hint="eastAsia" w:ascii="仿宋_GB2312" w:hAnsi="仿宋_GB2312" w:eastAsia="仿宋_GB2312" w:cs="仿宋_GB2312"/>
          <w:color w:val="0D0D0D"/>
          <w:kern w:val="0"/>
          <w:sz w:val="32"/>
          <w:szCs w:val="32"/>
          <w:highlight w:val="none"/>
          <w:shd w:val="clear" w:color="auto" w:fill="FFFFFF"/>
          <w:lang w:eastAsia="zh-CN"/>
        </w:rPr>
        <w:t>QC委每一工作年度根据联</w:t>
      </w:r>
      <w:bookmarkStart w:id="0" w:name="_GoBack"/>
      <w:bookmarkEnd w:id="0"/>
      <w:r>
        <w:rPr>
          <w:rFonts w:hint="eastAsia" w:ascii="仿宋_GB2312" w:hAnsi="仿宋_GB2312" w:eastAsia="仿宋_GB2312" w:cs="仿宋_GB2312"/>
          <w:color w:val="0D0D0D"/>
          <w:kern w:val="0"/>
          <w:sz w:val="32"/>
          <w:szCs w:val="32"/>
          <w:highlight w:val="none"/>
          <w:shd w:val="clear" w:color="auto" w:fill="FFFFFF"/>
          <w:lang w:eastAsia="zh-CN"/>
        </w:rPr>
        <w:t>合会制定的年度系列活动计划，制定年度工作大纲、年度工作计划和活动方案。</w:t>
      </w:r>
    </w:p>
    <w:p w14:paraId="786CF59A">
      <w:pPr>
        <w:spacing w:line="576" w:lineRule="exact"/>
        <w:ind w:firstLine="643" w:firstLineChars="200"/>
        <w:rPr>
          <w:rFonts w:eastAsia="仿宋_GB2312"/>
          <w:kern w:val="0"/>
          <w:sz w:val="32"/>
          <w:szCs w:val="32"/>
          <w:highlight w:val="none"/>
        </w:rPr>
      </w:pPr>
      <w:r>
        <w:rPr>
          <w:rFonts w:eastAsia="仿宋_GB2312"/>
          <w:b/>
          <w:kern w:val="0"/>
          <w:sz w:val="32"/>
          <w:szCs w:val="32"/>
          <w:highlight w:val="none"/>
        </w:rPr>
        <w:t>第十一条</w:t>
      </w:r>
      <w:r>
        <w:rPr>
          <w:rFonts w:hint="eastAsia" w:eastAsia="仿宋_GB2312"/>
          <w:b/>
          <w:kern w:val="0"/>
          <w:sz w:val="32"/>
          <w:szCs w:val="32"/>
          <w:highlight w:val="none"/>
        </w:rPr>
        <w:t xml:space="preserve"> </w:t>
      </w:r>
      <w:r>
        <w:rPr>
          <w:rFonts w:hint="eastAsia" w:ascii="仿宋_GB2312" w:hAnsi="仿宋_GB2312" w:eastAsia="仿宋_GB2312" w:cs="仿宋_GB2312"/>
          <w:color w:val="0D0D0D"/>
          <w:kern w:val="0"/>
          <w:sz w:val="32"/>
          <w:szCs w:val="32"/>
          <w:highlight w:val="none"/>
          <w:shd w:val="clear" w:color="auto" w:fill="FFFFFF"/>
          <w:lang w:eastAsia="zh-CN"/>
        </w:rPr>
        <w:t>QC委</w:t>
      </w:r>
      <w:r>
        <w:rPr>
          <w:rFonts w:ascii="仿宋_GB2312" w:hAnsi="仿宋_GB2312" w:eastAsia="仿宋_GB2312" w:cs="仿宋_GB2312"/>
          <w:color w:val="0D0D0D"/>
          <w:kern w:val="0"/>
          <w:sz w:val="32"/>
          <w:szCs w:val="32"/>
          <w:highlight w:val="none"/>
          <w:shd w:val="clear" w:color="auto" w:fill="FFFFFF"/>
        </w:rPr>
        <w:t>原则上在业内及会员企业中开展活动，未经联合会批准，不得从事社会其他活动。</w:t>
      </w:r>
    </w:p>
    <w:p w14:paraId="07171BE5">
      <w:pPr>
        <w:spacing w:line="576" w:lineRule="exact"/>
        <w:ind w:firstLine="643" w:firstLineChars="200"/>
        <w:rPr>
          <w:rFonts w:hint="eastAsia" w:ascii="仿宋_GB2312" w:hAnsi="仿宋_GB2312" w:eastAsia="仿宋_GB2312" w:cs="仿宋_GB2312"/>
          <w:color w:val="0D0D0D"/>
          <w:kern w:val="0"/>
          <w:sz w:val="32"/>
          <w:szCs w:val="32"/>
          <w:highlight w:val="none"/>
          <w:shd w:val="clear" w:color="auto" w:fill="FFFFFF"/>
        </w:rPr>
      </w:pPr>
      <w:r>
        <w:rPr>
          <w:rFonts w:eastAsia="仿宋_GB2312"/>
          <w:b/>
          <w:kern w:val="0"/>
          <w:sz w:val="32"/>
          <w:szCs w:val="32"/>
          <w:highlight w:val="none"/>
        </w:rPr>
        <w:t>第十二条</w:t>
      </w:r>
      <w:r>
        <w:rPr>
          <w:rFonts w:hint="eastAsia" w:eastAsia="仿宋_GB2312"/>
          <w:b/>
          <w:kern w:val="0"/>
          <w:sz w:val="32"/>
          <w:szCs w:val="32"/>
          <w:highlight w:val="none"/>
        </w:rPr>
        <w:t xml:space="preserve"> </w:t>
      </w:r>
      <w:r>
        <w:rPr>
          <w:rFonts w:hint="eastAsia" w:ascii="仿宋_GB2312" w:hAnsi="仿宋_GB2312" w:eastAsia="仿宋_GB2312" w:cs="仿宋_GB2312"/>
          <w:color w:val="0D0D0D"/>
          <w:kern w:val="0"/>
          <w:sz w:val="32"/>
          <w:szCs w:val="32"/>
          <w:highlight w:val="none"/>
          <w:shd w:val="clear" w:color="auto" w:fill="FFFFFF"/>
          <w:lang w:eastAsia="zh-CN"/>
        </w:rPr>
        <w:t>QC委</w:t>
      </w:r>
      <w:r>
        <w:rPr>
          <w:rFonts w:ascii="仿宋_GB2312" w:hAnsi="仿宋_GB2312" w:eastAsia="仿宋_GB2312" w:cs="仿宋_GB2312"/>
          <w:color w:val="0D0D0D"/>
          <w:kern w:val="0"/>
          <w:sz w:val="32"/>
          <w:szCs w:val="32"/>
          <w:highlight w:val="none"/>
          <w:shd w:val="clear" w:color="auto" w:fill="FFFFFF"/>
        </w:rPr>
        <w:t>开展活动，原则上不得向被服务单位或组织收取费用。严格遵守“廉洁从业”的有关规定，严禁专家收受被服务单位的礼金和有价证券。对违反本规定的专家，由专家委管理办公室视情节轻重处理。</w:t>
      </w:r>
    </w:p>
    <w:p w14:paraId="1C95D8EA">
      <w:pPr>
        <w:spacing w:line="576" w:lineRule="exact"/>
        <w:ind w:firstLine="643" w:firstLineChars="200"/>
        <w:rPr>
          <w:rFonts w:eastAsia="仿宋_GB2312"/>
          <w:color w:val="0D0D0D"/>
          <w:sz w:val="32"/>
          <w:szCs w:val="32"/>
          <w:highlight w:val="none"/>
          <w:shd w:val="clear" w:color="auto" w:fill="FFFFFF"/>
        </w:rPr>
      </w:pPr>
      <w:r>
        <w:rPr>
          <w:rFonts w:eastAsia="仿宋_GB2312"/>
          <w:b/>
          <w:kern w:val="0"/>
          <w:sz w:val="32"/>
          <w:szCs w:val="32"/>
          <w:highlight w:val="none"/>
        </w:rPr>
        <w:t>第十三条</w:t>
      </w:r>
      <w:r>
        <w:rPr>
          <w:rFonts w:hint="eastAsia" w:eastAsia="仿宋_GB2312"/>
          <w:b/>
          <w:kern w:val="0"/>
          <w:sz w:val="32"/>
          <w:szCs w:val="32"/>
          <w:highlight w:val="none"/>
        </w:rPr>
        <w:t xml:space="preserve"> </w:t>
      </w:r>
      <w:r>
        <w:rPr>
          <w:rFonts w:hint="eastAsia" w:ascii="仿宋_GB2312" w:hAnsi="仿宋_GB2312" w:eastAsia="仿宋_GB2312" w:cs="仿宋_GB2312"/>
          <w:color w:val="0D0D0D"/>
          <w:kern w:val="0"/>
          <w:sz w:val="32"/>
          <w:szCs w:val="32"/>
          <w:highlight w:val="none"/>
          <w:shd w:val="clear" w:color="auto" w:fill="FFFFFF"/>
          <w:lang w:eastAsia="zh-CN"/>
        </w:rPr>
        <w:t>QC委</w:t>
      </w:r>
      <w:r>
        <w:rPr>
          <w:rFonts w:ascii="仿宋_GB2312" w:hAnsi="仿宋_GB2312" w:eastAsia="仿宋_GB2312" w:cs="仿宋_GB2312"/>
          <w:color w:val="0D0D0D"/>
          <w:kern w:val="0"/>
          <w:sz w:val="32"/>
          <w:szCs w:val="32"/>
          <w:highlight w:val="none"/>
          <w:shd w:val="clear" w:color="auto" w:fill="FFFFFF"/>
        </w:rPr>
        <w:t>的专家应配合联合会秘书处的统筹安排，参加由联合会组织的各项活动。</w:t>
      </w:r>
    </w:p>
    <w:p w14:paraId="3BAF4FBE">
      <w:pPr>
        <w:pStyle w:val="5"/>
        <w:shd w:val="clear" w:color="auto" w:fill="FFFFFF"/>
        <w:spacing w:beforeAutospacing="0" w:after="0" w:afterAutospacing="0" w:line="560" w:lineRule="exact"/>
        <w:ind w:firstLine="643" w:firstLineChars="200"/>
        <w:rPr>
          <w:rFonts w:ascii="Times New Roman" w:hAnsi="Times New Roman" w:eastAsia="仿宋_GB2312" w:cs="Times New Roman"/>
          <w:color w:val="0D0D0D"/>
          <w:sz w:val="32"/>
          <w:szCs w:val="32"/>
          <w:highlight w:val="none"/>
        </w:rPr>
      </w:pPr>
      <w:r>
        <w:rPr>
          <w:rFonts w:ascii="Times New Roman" w:hAnsi="Times New Roman" w:eastAsia="仿宋_GB2312" w:cs="Times New Roman"/>
          <w:b/>
          <w:bCs/>
          <w:color w:val="0D0D0D"/>
          <w:sz w:val="32"/>
          <w:szCs w:val="32"/>
          <w:highlight w:val="none"/>
          <w:shd w:val="clear" w:color="auto" w:fill="FFFFFF"/>
        </w:rPr>
        <w:t>第十四条</w:t>
      </w:r>
      <w:r>
        <w:rPr>
          <w:rFonts w:hint="eastAsia" w:ascii="Times New Roman" w:hAnsi="Times New Roman" w:eastAsia="仿宋_GB2312" w:cs="Times New Roman"/>
          <w:b/>
          <w:bCs/>
          <w:color w:val="0D0D0D"/>
          <w:sz w:val="32"/>
          <w:szCs w:val="32"/>
          <w:highlight w:val="none"/>
          <w:shd w:val="clear" w:color="auto" w:fill="FFFFFF"/>
        </w:rPr>
        <w:t xml:space="preserve"> </w:t>
      </w:r>
      <w:r>
        <w:rPr>
          <w:rFonts w:hint="eastAsia" w:ascii="仿宋_GB2312" w:hAnsi="仿宋_GB2312" w:eastAsia="仿宋_GB2312" w:cs="仿宋_GB2312"/>
          <w:color w:val="0D0D0D"/>
          <w:sz w:val="32"/>
          <w:szCs w:val="32"/>
          <w:highlight w:val="none"/>
          <w:shd w:val="clear" w:color="auto" w:fill="FFFFFF"/>
          <w:lang w:eastAsia="zh-CN"/>
        </w:rPr>
        <w:t>QC委</w:t>
      </w:r>
      <w:r>
        <w:rPr>
          <w:rFonts w:ascii="仿宋_GB2312" w:hAnsi="仿宋_GB2312" w:eastAsia="仿宋_GB2312" w:cs="仿宋_GB2312"/>
          <w:color w:val="0D0D0D"/>
          <w:sz w:val="32"/>
          <w:szCs w:val="32"/>
          <w:highlight w:val="none"/>
          <w:shd w:val="clear" w:color="auto" w:fill="FFFFFF"/>
        </w:rPr>
        <w:t>所有工作档案及企业信用信息严格保密，未经许可不得擅自泄露或用于商业目的。</w:t>
      </w:r>
    </w:p>
    <w:p w14:paraId="4F92F17B">
      <w:pPr>
        <w:pStyle w:val="2"/>
        <w:widowControl/>
        <w:shd w:val="clear" w:color="auto" w:fill="FFFFFF"/>
        <w:spacing w:beforeAutospacing="0" w:after="0" w:afterAutospacing="0" w:line="560" w:lineRule="exact"/>
        <w:ind w:firstLine="643" w:firstLineChars="200"/>
        <w:rPr>
          <w:rFonts w:hint="default" w:ascii="Times New Roman" w:hAnsi="Times New Roman" w:eastAsia="仿宋_GB2312" w:cs="Times New Roman"/>
          <w:bCs/>
          <w:color w:val="0D0D0D"/>
          <w:sz w:val="32"/>
          <w:szCs w:val="32"/>
          <w:highlight w:val="none"/>
          <w:shd w:val="clear" w:color="auto" w:fill="FFFFFF"/>
        </w:rPr>
      </w:pPr>
    </w:p>
    <w:p w14:paraId="5346E422">
      <w:pPr>
        <w:pStyle w:val="2"/>
        <w:widowControl/>
        <w:shd w:val="clear" w:color="auto" w:fill="FFFFFF"/>
        <w:spacing w:beforeAutospacing="0" w:after="0" w:afterAutospacing="0" w:line="560" w:lineRule="exact"/>
        <w:jc w:val="center"/>
        <w:rPr>
          <w:rFonts w:hint="default" w:ascii="Times New Roman" w:hAnsi="Times New Roman" w:eastAsia="仿宋_GB2312" w:cs="Times New Roman"/>
          <w:bCs/>
          <w:color w:val="0D0D0D"/>
          <w:sz w:val="32"/>
          <w:szCs w:val="32"/>
          <w:highlight w:val="none"/>
          <w:shd w:val="clear" w:color="auto" w:fill="FFFFFF"/>
        </w:rPr>
      </w:pPr>
      <w:r>
        <w:rPr>
          <w:rFonts w:hint="default" w:ascii="Times New Roman" w:hAnsi="Times New Roman" w:eastAsia="仿宋_GB2312" w:cs="Times New Roman"/>
          <w:bCs/>
          <w:color w:val="0D0D0D"/>
          <w:sz w:val="32"/>
          <w:szCs w:val="32"/>
          <w:highlight w:val="none"/>
          <w:shd w:val="clear" w:color="auto" w:fill="FFFFFF"/>
        </w:rPr>
        <w:t>第六章</w:t>
      </w:r>
      <w:r>
        <w:rPr>
          <w:rFonts w:ascii="Times New Roman" w:hAnsi="Times New Roman" w:eastAsia="仿宋_GB2312" w:cs="Times New Roman"/>
          <w:bCs/>
          <w:color w:val="0D0D0D"/>
          <w:sz w:val="32"/>
          <w:szCs w:val="32"/>
          <w:highlight w:val="none"/>
          <w:shd w:val="clear" w:color="auto" w:fill="FFFFFF"/>
        </w:rPr>
        <w:t xml:space="preserve"> </w:t>
      </w:r>
      <w:r>
        <w:rPr>
          <w:rFonts w:hint="default" w:ascii="Times New Roman" w:hAnsi="Times New Roman" w:eastAsia="仿宋_GB2312" w:cs="Times New Roman"/>
          <w:bCs/>
          <w:color w:val="0D0D0D"/>
          <w:sz w:val="32"/>
          <w:szCs w:val="32"/>
          <w:highlight w:val="none"/>
          <w:shd w:val="clear" w:color="auto" w:fill="FFFFFF"/>
        </w:rPr>
        <w:t>工作规划</w:t>
      </w:r>
    </w:p>
    <w:p w14:paraId="61AACE22">
      <w:pPr>
        <w:pStyle w:val="2"/>
        <w:widowControl/>
        <w:shd w:val="clear" w:color="auto" w:fill="FFFFFF"/>
        <w:spacing w:beforeAutospacing="0" w:after="0" w:afterAutospacing="0" w:line="560" w:lineRule="exact"/>
        <w:ind w:firstLine="643" w:firstLineChars="200"/>
        <w:rPr>
          <w:rFonts w:hint="default" w:ascii="Times New Roman" w:hAnsi="Times New Roman" w:eastAsia="仿宋_GB2312" w:cs="Times New Roman"/>
          <w:bCs/>
          <w:color w:val="0D0D0D"/>
          <w:sz w:val="32"/>
          <w:szCs w:val="32"/>
          <w:highlight w:val="none"/>
          <w:shd w:val="clear" w:color="auto" w:fill="FFFFFF"/>
        </w:rPr>
      </w:pPr>
    </w:p>
    <w:p w14:paraId="70B2C9C3">
      <w:pPr>
        <w:spacing w:line="560" w:lineRule="exact"/>
        <w:ind w:firstLine="643" w:firstLineChars="200"/>
        <w:rPr>
          <w:rFonts w:hint="eastAsia" w:ascii="仿宋_GB2312" w:hAnsi="仿宋_GB2312" w:eastAsia="仿宋_GB2312" w:cs="仿宋_GB2312"/>
          <w:color w:val="0D0D0D"/>
          <w:kern w:val="0"/>
          <w:sz w:val="32"/>
          <w:szCs w:val="32"/>
          <w:highlight w:val="none"/>
          <w:shd w:val="clear" w:color="auto" w:fill="FFFFFF"/>
        </w:rPr>
      </w:pPr>
      <w:r>
        <w:rPr>
          <w:rFonts w:eastAsia="仿宋_GB2312"/>
          <w:b/>
          <w:bCs/>
          <w:color w:val="0D0D0D"/>
          <w:kern w:val="0"/>
          <w:sz w:val="32"/>
          <w:szCs w:val="32"/>
          <w:highlight w:val="none"/>
          <w:shd w:val="clear" w:color="auto" w:fill="FFFFFF"/>
          <w:lang w:bidi="ar"/>
        </w:rPr>
        <w:t>第十五条</w:t>
      </w:r>
      <w:r>
        <w:rPr>
          <w:rFonts w:hint="eastAsia" w:eastAsia="仿宋_GB2312"/>
          <w:b/>
          <w:bCs/>
          <w:color w:val="0D0D0D"/>
          <w:kern w:val="0"/>
          <w:sz w:val="32"/>
          <w:szCs w:val="32"/>
          <w:highlight w:val="none"/>
          <w:shd w:val="clear" w:color="auto" w:fill="FFFFFF"/>
          <w:lang w:bidi="ar"/>
        </w:rPr>
        <w:t xml:space="preserve"> </w:t>
      </w:r>
      <w:r>
        <w:rPr>
          <w:rFonts w:hint="eastAsia" w:ascii="仿宋_GB2312" w:hAnsi="仿宋_GB2312" w:eastAsia="仿宋_GB2312" w:cs="仿宋_GB2312"/>
          <w:color w:val="0D0D0D"/>
          <w:kern w:val="0"/>
          <w:sz w:val="32"/>
          <w:szCs w:val="32"/>
          <w:highlight w:val="none"/>
          <w:shd w:val="clear" w:color="auto" w:fill="FFFFFF"/>
          <w:lang w:eastAsia="zh-CN"/>
        </w:rPr>
        <w:t>QC委</w:t>
      </w:r>
      <w:r>
        <w:rPr>
          <w:rFonts w:ascii="仿宋_GB2312" w:hAnsi="仿宋_GB2312" w:eastAsia="仿宋_GB2312" w:cs="仿宋_GB2312"/>
          <w:color w:val="0D0D0D"/>
          <w:kern w:val="0"/>
          <w:sz w:val="32"/>
          <w:szCs w:val="32"/>
          <w:highlight w:val="none"/>
          <w:shd w:val="clear" w:color="auto" w:fill="FFFFFF"/>
        </w:rPr>
        <w:t>每年至少召开一次全体会议。会议重点研究制定本年度重点工作规划，明确行业发展方向，部署近期核心任务。会议决议将作为指导全年工作的纲领性文件，确保各项工作有序推进。</w:t>
      </w:r>
    </w:p>
    <w:p w14:paraId="15F32EC2">
      <w:pPr>
        <w:pStyle w:val="5"/>
        <w:shd w:val="clear" w:color="auto" w:fill="FFFFFF"/>
        <w:spacing w:before="0" w:beforeAutospacing="0" w:after="0" w:afterAutospacing="0" w:line="560" w:lineRule="exact"/>
        <w:ind w:firstLine="643" w:firstLineChars="200"/>
        <w:jc w:val="both"/>
        <w:rPr>
          <w:rFonts w:hint="eastAsia" w:ascii="仿宋_GB2312" w:hAnsi="仿宋_GB2312" w:eastAsia="仿宋_GB2312" w:cs="仿宋_GB2312"/>
          <w:color w:val="0D0D0D"/>
          <w:sz w:val="32"/>
          <w:szCs w:val="32"/>
          <w:highlight w:val="none"/>
          <w:shd w:val="clear" w:color="auto" w:fill="FFFFFF"/>
        </w:rPr>
      </w:pPr>
      <w:r>
        <w:rPr>
          <w:rFonts w:ascii="Times New Roman" w:hAnsi="Times New Roman" w:eastAsia="仿宋_GB2312" w:cs="Times New Roman"/>
          <w:b/>
          <w:bCs/>
          <w:color w:val="0D0D0D"/>
          <w:sz w:val="32"/>
          <w:szCs w:val="32"/>
          <w:highlight w:val="none"/>
          <w:shd w:val="clear" w:color="auto" w:fill="FFFFFF"/>
        </w:rPr>
        <w:t>第十六条</w:t>
      </w:r>
      <w:r>
        <w:rPr>
          <w:rFonts w:hint="eastAsia" w:ascii="Times New Roman" w:hAnsi="Times New Roman" w:eastAsia="仿宋_GB2312" w:cs="Times New Roman"/>
          <w:b/>
          <w:bCs/>
          <w:color w:val="0D0D0D"/>
          <w:sz w:val="32"/>
          <w:szCs w:val="32"/>
          <w:highlight w:val="none"/>
          <w:shd w:val="clear" w:color="auto" w:fill="FFFFFF"/>
        </w:rPr>
        <w:t xml:space="preserve"> </w:t>
      </w:r>
      <w:r>
        <w:rPr>
          <w:rFonts w:hint="eastAsia" w:ascii="仿宋_GB2312" w:hAnsi="仿宋_GB2312" w:eastAsia="仿宋_GB2312" w:cs="仿宋_GB2312"/>
          <w:color w:val="0D0D0D"/>
          <w:sz w:val="32"/>
          <w:szCs w:val="32"/>
          <w:highlight w:val="none"/>
          <w:shd w:val="clear" w:color="auto" w:fill="FFFFFF"/>
          <w:lang w:eastAsia="zh-CN"/>
        </w:rPr>
        <w:t>QC委</w:t>
      </w:r>
      <w:r>
        <w:rPr>
          <w:rFonts w:ascii="仿宋_GB2312" w:hAnsi="仿宋_GB2312" w:eastAsia="仿宋_GB2312" w:cs="仿宋_GB2312"/>
          <w:color w:val="0D0D0D"/>
          <w:sz w:val="32"/>
          <w:szCs w:val="32"/>
          <w:highlight w:val="none"/>
          <w:shd w:val="clear" w:color="auto" w:fill="FFFFFF"/>
        </w:rPr>
        <w:t>通过培训、调研、</w:t>
      </w:r>
      <w:r>
        <w:rPr>
          <w:rFonts w:hint="eastAsia" w:ascii="仿宋_GB2312" w:hAnsi="仿宋_GB2312" w:eastAsia="仿宋_GB2312" w:cs="仿宋_GB2312"/>
          <w:color w:val="0D0D0D"/>
          <w:sz w:val="32"/>
          <w:szCs w:val="32"/>
          <w:highlight w:val="none"/>
          <w:shd w:val="clear" w:color="auto" w:fill="FFFFFF"/>
          <w:lang w:val="en-US" w:eastAsia="zh-CN"/>
        </w:rPr>
        <w:t>交流座谈</w:t>
      </w:r>
      <w:r>
        <w:rPr>
          <w:rFonts w:ascii="仿宋_GB2312" w:hAnsi="仿宋_GB2312" w:eastAsia="仿宋_GB2312" w:cs="仿宋_GB2312"/>
          <w:color w:val="0D0D0D"/>
          <w:sz w:val="32"/>
          <w:szCs w:val="32"/>
          <w:highlight w:val="none"/>
          <w:shd w:val="clear" w:color="auto" w:fill="FFFFFF"/>
        </w:rPr>
        <w:t>等方式开展活动。各项活动应注重实效性、针对性和创新性，切实服务于行业质量管理建设。</w:t>
      </w:r>
    </w:p>
    <w:p w14:paraId="2D559820">
      <w:pPr>
        <w:pStyle w:val="2"/>
        <w:widowControl/>
        <w:shd w:val="clear" w:color="auto" w:fill="FFFFFF"/>
        <w:spacing w:beforeAutospacing="0" w:after="0" w:afterAutospacing="0" w:line="560" w:lineRule="exact"/>
        <w:rPr>
          <w:rFonts w:hint="default" w:ascii="Times New Roman" w:hAnsi="Times New Roman" w:eastAsia="仿宋_GB2312" w:cs="Times New Roman"/>
          <w:bCs/>
          <w:color w:val="0D0D0D"/>
          <w:sz w:val="32"/>
          <w:szCs w:val="32"/>
          <w:highlight w:val="none"/>
          <w:shd w:val="clear" w:color="auto" w:fill="FFFFFF"/>
        </w:rPr>
      </w:pPr>
    </w:p>
    <w:p w14:paraId="47B9E0B0">
      <w:pPr>
        <w:pStyle w:val="2"/>
        <w:widowControl/>
        <w:shd w:val="clear" w:color="auto" w:fill="FFFFFF"/>
        <w:spacing w:beforeAutospacing="0" w:after="0" w:afterAutospacing="0" w:line="560" w:lineRule="exact"/>
        <w:jc w:val="center"/>
        <w:rPr>
          <w:rFonts w:hint="default" w:ascii="Times New Roman" w:hAnsi="Times New Roman" w:eastAsia="仿宋_GB2312" w:cs="Times New Roman"/>
          <w:bCs/>
          <w:color w:val="0D0D0D"/>
          <w:sz w:val="32"/>
          <w:szCs w:val="32"/>
          <w:highlight w:val="none"/>
          <w:shd w:val="clear" w:color="auto" w:fill="FFFFFF"/>
        </w:rPr>
      </w:pPr>
      <w:r>
        <w:rPr>
          <w:rFonts w:hint="default" w:ascii="Times New Roman" w:hAnsi="Times New Roman" w:eastAsia="仿宋_GB2312" w:cs="Times New Roman"/>
          <w:bCs/>
          <w:color w:val="0D0D0D"/>
          <w:sz w:val="32"/>
          <w:szCs w:val="32"/>
          <w:highlight w:val="none"/>
          <w:shd w:val="clear" w:color="auto" w:fill="FFFFFF"/>
        </w:rPr>
        <w:t>第七章</w:t>
      </w:r>
      <w:r>
        <w:rPr>
          <w:rFonts w:ascii="Times New Roman" w:hAnsi="Times New Roman" w:eastAsia="仿宋_GB2312" w:cs="Times New Roman"/>
          <w:bCs/>
          <w:color w:val="0D0D0D"/>
          <w:sz w:val="32"/>
          <w:szCs w:val="32"/>
          <w:highlight w:val="none"/>
          <w:shd w:val="clear" w:color="auto" w:fill="FFFFFF"/>
        </w:rPr>
        <w:t xml:space="preserve"> </w:t>
      </w:r>
      <w:r>
        <w:rPr>
          <w:rFonts w:hint="default" w:ascii="Times New Roman" w:hAnsi="Times New Roman" w:eastAsia="仿宋_GB2312" w:cs="Times New Roman"/>
          <w:bCs/>
          <w:color w:val="0D0D0D"/>
          <w:sz w:val="32"/>
          <w:szCs w:val="32"/>
          <w:highlight w:val="none"/>
          <w:shd w:val="clear" w:color="auto" w:fill="FFFFFF"/>
        </w:rPr>
        <w:t>附则</w:t>
      </w:r>
    </w:p>
    <w:p w14:paraId="40ED8A57">
      <w:pPr>
        <w:pStyle w:val="2"/>
        <w:widowControl/>
        <w:shd w:val="clear" w:color="auto" w:fill="FFFFFF"/>
        <w:spacing w:beforeAutospacing="0" w:after="0" w:afterAutospacing="0" w:line="560" w:lineRule="exact"/>
        <w:ind w:firstLine="643" w:firstLineChars="200"/>
        <w:rPr>
          <w:rFonts w:hint="default" w:ascii="Times New Roman" w:hAnsi="Times New Roman" w:eastAsia="仿宋_GB2312" w:cs="Times New Roman"/>
          <w:bCs/>
          <w:color w:val="0D0D0D"/>
          <w:sz w:val="32"/>
          <w:szCs w:val="32"/>
          <w:highlight w:val="none"/>
          <w:shd w:val="clear" w:color="auto" w:fill="FFFFFF"/>
        </w:rPr>
      </w:pPr>
    </w:p>
    <w:p w14:paraId="73E1139A">
      <w:pPr>
        <w:pStyle w:val="5"/>
        <w:shd w:val="clear" w:color="auto" w:fill="FFFFFF"/>
        <w:spacing w:beforeAutospacing="0" w:after="0" w:afterAutospacing="0" w:line="560" w:lineRule="exact"/>
        <w:ind w:firstLine="643" w:firstLineChars="200"/>
        <w:rPr>
          <w:rFonts w:hint="eastAsia" w:ascii="仿宋_GB2312" w:hAnsi="仿宋_GB2312" w:eastAsia="仿宋_GB2312" w:cs="仿宋_GB2312"/>
          <w:color w:val="0D0D0D"/>
          <w:sz w:val="32"/>
          <w:szCs w:val="32"/>
          <w:highlight w:val="none"/>
          <w:shd w:val="clear" w:color="auto" w:fill="FFFFFF"/>
        </w:rPr>
      </w:pPr>
      <w:r>
        <w:rPr>
          <w:rFonts w:ascii="Times New Roman" w:hAnsi="Times New Roman" w:eastAsia="仿宋_GB2312" w:cs="Times New Roman"/>
          <w:b/>
          <w:bCs/>
          <w:color w:val="0D0D0D"/>
          <w:sz w:val="32"/>
          <w:szCs w:val="32"/>
          <w:highlight w:val="none"/>
          <w:shd w:val="clear" w:color="auto" w:fill="FFFFFF"/>
        </w:rPr>
        <w:t>第十</w:t>
      </w:r>
      <w:r>
        <w:rPr>
          <w:rFonts w:hint="eastAsia" w:ascii="Times New Roman" w:hAnsi="Times New Roman" w:eastAsia="仿宋_GB2312" w:cs="Times New Roman"/>
          <w:b/>
          <w:bCs/>
          <w:color w:val="0D0D0D"/>
          <w:sz w:val="32"/>
          <w:szCs w:val="32"/>
          <w:highlight w:val="none"/>
          <w:shd w:val="clear" w:color="auto" w:fill="FFFFFF"/>
        </w:rPr>
        <w:t>七</w:t>
      </w:r>
      <w:r>
        <w:rPr>
          <w:rFonts w:ascii="Times New Roman" w:hAnsi="Times New Roman" w:eastAsia="仿宋_GB2312" w:cs="Times New Roman"/>
          <w:b/>
          <w:bCs/>
          <w:color w:val="0D0D0D"/>
          <w:sz w:val="32"/>
          <w:szCs w:val="32"/>
          <w:highlight w:val="none"/>
          <w:shd w:val="clear" w:color="auto" w:fill="FFFFFF"/>
        </w:rPr>
        <w:t>条</w:t>
      </w:r>
      <w:r>
        <w:rPr>
          <w:rFonts w:hint="eastAsia" w:ascii="Times New Roman" w:hAnsi="Times New Roman" w:eastAsia="仿宋_GB2312" w:cs="Times New Roman"/>
          <w:b/>
          <w:bCs/>
          <w:color w:val="0D0D0D"/>
          <w:sz w:val="32"/>
          <w:szCs w:val="32"/>
          <w:highlight w:val="none"/>
          <w:shd w:val="clear" w:color="auto" w:fill="FFFFFF"/>
        </w:rPr>
        <w:t xml:space="preserve"> </w:t>
      </w:r>
      <w:r>
        <w:rPr>
          <w:rFonts w:ascii="仿宋_GB2312" w:hAnsi="仿宋_GB2312" w:eastAsia="仿宋_GB2312" w:cs="仿宋_GB2312"/>
          <w:color w:val="0D0D0D"/>
          <w:sz w:val="32"/>
          <w:szCs w:val="32"/>
          <w:highlight w:val="none"/>
          <w:shd w:val="clear" w:color="auto" w:fill="FFFFFF"/>
        </w:rPr>
        <w:t>本办法经</w:t>
      </w:r>
      <w:r>
        <w:rPr>
          <w:rFonts w:hint="eastAsia" w:ascii="仿宋_GB2312" w:hAnsi="仿宋_GB2312" w:eastAsia="仿宋_GB2312" w:cs="仿宋_GB2312"/>
          <w:color w:val="0D0D0D"/>
          <w:sz w:val="32"/>
          <w:szCs w:val="32"/>
          <w:highlight w:val="none"/>
          <w:shd w:val="clear" w:color="auto" w:fill="FFFFFF"/>
          <w:lang w:eastAsia="zh-CN"/>
        </w:rPr>
        <w:t>QC委</w:t>
      </w:r>
      <w:r>
        <w:rPr>
          <w:rFonts w:hint="eastAsia" w:ascii="仿宋_GB2312" w:hAnsi="仿宋_GB2312" w:eastAsia="仿宋_GB2312" w:cs="仿宋_GB2312"/>
          <w:color w:val="0D0D0D"/>
          <w:sz w:val="32"/>
          <w:szCs w:val="32"/>
          <w:highlight w:val="none"/>
          <w:shd w:val="clear" w:color="auto" w:fill="FFFFFF"/>
          <w:lang w:val="en-US" w:eastAsia="zh-CN"/>
        </w:rPr>
        <w:t>工作会议</w:t>
      </w:r>
      <w:r>
        <w:rPr>
          <w:rFonts w:ascii="仿宋_GB2312" w:hAnsi="仿宋_GB2312" w:eastAsia="仿宋_GB2312" w:cs="仿宋_GB2312"/>
          <w:color w:val="0D0D0D"/>
          <w:sz w:val="32"/>
          <w:szCs w:val="32"/>
          <w:highlight w:val="none"/>
          <w:shd w:val="clear" w:color="auto" w:fill="FFFFFF"/>
        </w:rPr>
        <w:t>审议通过，自2025年</w:t>
      </w:r>
      <w:r>
        <w:rPr>
          <w:rFonts w:hint="eastAsia" w:ascii="仿宋_GB2312" w:hAnsi="仿宋_GB2312" w:eastAsia="仿宋_GB2312" w:cs="仿宋_GB2312"/>
          <w:color w:val="0D0D0D"/>
          <w:sz w:val="32"/>
          <w:szCs w:val="32"/>
          <w:highlight w:val="none"/>
          <w:shd w:val="clear" w:color="auto" w:fill="FFFFFF"/>
          <w:lang w:val="en-US" w:eastAsia="zh-CN"/>
        </w:rPr>
        <w:t>10</w:t>
      </w:r>
      <w:r>
        <w:rPr>
          <w:rFonts w:ascii="仿宋_GB2312" w:hAnsi="仿宋_GB2312" w:eastAsia="仿宋_GB2312" w:cs="仿宋_GB2312"/>
          <w:color w:val="0D0D0D"/>
          <w:sz w:val="32"/>
          <w:szCs w:val="32"/>
          <w:highlight w:val="none"/>
          <w:shd w:val="clear" w:color="auto" w:fill="FFFFFF"/>
        </w:rPr>
        <w:t>月起实施。</w:t>
      </w:r>
    </w:p>
    <w:p w14:paraId="1CB9FFA5">
      <w:pPr>
        <w:pStyle w:val="5"/>
        <w:shd w:val="clear" w:color="auto" w:fill="FFFFFF"/>
        <w:spacing w:beforeAutospacing="0" w:after="0" w:afterAutospacing="0" w:line="560" w:lineRule="exact"/>
        <w:ind w:firstLine="643" w:firstLineChars="200"/>
        <w:rPr>
          <w:rFonts w:hint="eastAsia" w:ascii="仿宋_GB2312" w:hAnsi="仿宋_GB2312" w:eastAsia="仿宋_GB2312" w:cs="仿宋_GB2312"/>
          <w:color w:val="0D0D0D"/>
          <w:sz w:val="32"/>
          <w:szCs w:val="32"/>
          <w:highlight w:val="none"/>
          <w:shd w:val="clear" w:color="auto" w:fill="FFFFFF"/>
        </w:rPr>
      </w:pPr>
      <w:r>
        <w:rPr>
          <w:rFonts w:ascii="Times New Roman" w:hAnsi="Times New Roman" w:eastAsia="仿宋_GB2312" w:cs="Times New Roman"/>
          <w:b/>
          <w:bCs/>
          <w:color w:val="0D0D0D"/>
          <w:sz w:val="32"/>
          <w:szCs w:val="32"/>
          <w:highlight w:val="none"/>
          <w:shd w:val="clear" w:color="auto" w:fill="FFFFFF"/>
        </w:rPr>
        <w:t>第十</w:t>
      </w:r>
      <w:r>
        <w:rPr>
          <w:rFonts w:hint="eastAsia" w:ascii="Times New Roman" w:hAnsi="Times New Roman" w:eastAsia="仿宋_GB2312" w:cs="Times New Roman"/>
          <w:b/>
          <w:bCs/>
          <w:color w:val="0D0D0D"/>
          <w:sz w:val="32"/>
          <w:szCs w:val="32"/>
          <w:highlight w:val="none"/>
          <w:shd w:val="clear" w:color="auto" w:fill="FFFFFF"/>
        </w:rPr>
        <w:t>八</w:t>
      </w:r>
      <w:r>
        <w:rPr>
          <w:rFonts w:ascii="Times New Roman" w:hAnsi="Times New Roman" w:eastAsia="仿宋_GB2312" w:cs="Times New Roman"/>
          <w:b/>
          <w:bCs/>
          <w:color w:val="0D0D0D"/>
          <w:sz w:val="32"/>
          <w:szCs w:val="32"/>
          <w:highlight w:val="none"/>
          <w:shd w:val="clear" w:color="auto" w:fill="FFFFFF"/>
        </w:rPr>
        <w:t>条</w:t>
      </w:r>
      <w:r>
        <w:rPr>
          <w:rFonts w:hint="eastAsia" w:ascii="Times New Roman" w:hAnsi="Times New Roman" w:eastAsia="仿宋_GB2312" w:cs="Times New Roman"/>
          <w:b/>
          <w:bCs/>
          <w:color w:val="0D0D0D"/>
          <w:sz w:val="32"/>
          <w:szCs w:val="32"/>
          <w:highlight w:val="none"/>
          <w:shd w:val="clear" w:color="auto" w:fill="FFFFFF"/>
        </w:rPr>
        <w:t xml:space="preserve"> </w:t>
      </w:r>
      <w:r>
        <w:rPr>
          <w:rFonts w:ascii="仿宋_GB2312" w:hAnsi="仿宋_GB2312" w:eastAsia="仿宋_GB2312" w:cs="仿宋_GB2312"/>
          <w:color w:val="0D0D0D"/>
          <w:sz w:val="32"/>
          <w:szCs w:val="32"/>
          <w:highlight w:val="none"/>
          <w:shd w:val="clear" w:color="auto" w:fill="FFFFFF"/>
        </w:rPr>
        <w:t>本管理办法最终解释权归广州市建筑业联合会所有。</w:t>
      </w:r>
    </w:p>
    <w:p w14:paraId="26912ACB">
      <w:pPr>
        <w:tabs>
          <w:tab w:val="left" w:pos="2976"/>
        </w:tabs>
        <w:jc w:val="left"/>
        <w:rPr>
          <w:highlight w:val="none"/>
        </w:rPr>
      </w:pPr>
    </w:p>
    <w:p w14:paraId="2A237D06">
      <w:pPr>
        <w:tabs>
          <w:tab w:val="left" w:pos="2976"/>
        </w:tabs>
        <w:jc w:val="left"/>
        <w:rPr>
          <w:highlight w:val="none"/>
        </w:rPr>
      </w:pPr>
    </w:p>
    <w:p w14:paraId="2E800966">
      <w:pPr>
        <w:tabs>
          <w:tab w:val="left" w:pos="2976"/>
        </w:tabs>
        <w:jc w:val="left"/>
        <w:rPr>
          <w:highlight w:val="none"/>
        </w:rPr>
      </w:pPr>
    </w:p>
    <w:p w14:paraId="00F56D11">
      <w:pPr>
        <w:tabs>
          <w:tab w:val="left" w:pos="2976"/>
        </w:tabs>
        <w:jc w:val="left"/>
        <w:rPr>
          <w:highlight w:val="none"/>
        </w:rPr>
      </w:pPr>
    </w:p>
    <w:p w14:paraId="6265E4F0">
      <w:pPr>
        <w:tabs>
          <w:tab w:val="left" w:pos="2976"/>
        </w:tabs>
        <w:jc w:val="left"/>
        <w:rPr>
          <w:highlight w:val="none"/>
        </w:rPr>
      </w:pPr>
    </w:p>
    <w:p w14:paraId="7A0CBB21">
      <w:pPr>
        <w:tabs>
          <w:tab w:val="left" w:pos="2976"/>
        </w:tabs>
        <w:jc w:val="left"/>
        <w:rPr>
          <w:highlight w:val="none"/>
        </w:rPr>
      </w:pPr>
    </w:p>
    <w:p w14:paraId="5573D487">
      <w:pPr>
        <w:tabs>
          <w:tab w:val="left" w:pos="2976"/>
        </w:tabs>
        <w:jc w:val="left"/>
        <w:rPr>
          <w:highlight w:val="none"/>
        </w:rPr>
      </w:pPr>
    </w:p>
    <w:p w14:paraId="57AD1C7A">
      <w:pPr>
        <w:tabs>
          <w:tab w:val="left" w:pos="2976"/>
        </w:tabs>
        <w:jc w:val="left"/>
        <w:rPr>
          <w:highlight w:val="none"/>
        </w:rPr>
      </w:pPr>
    </w:p>
    <w:p w14:paraId="272A6191">
      <w:pPr>
        <w:rPr>
          <w:highlight w:val="none"/>
        </w:rPr>
      </w:pPr>
    </w:p>
    <w:sectPr>
      <w:headerReference r:id="rId3" w:type="default"/>
      <w:footerReference r:id="rId4" w:type="default"/>
      <w:footerReference r:id="rId5" w:type="even"/>
      <w:pgSz w:w="11906" w:h="16838"/>
      <w:pgMar w:top="1474" w:right="1588" w:bottom="444" w:left="1588" w:header="907"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B585249-6FD8-41E1-B0DD-37DA2F03ADD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2A4F7AC-EE9D-4759-9B5D-C0F2B7425646}"/>
  </w:font>
  <w:font w:name="方正小标宋简体">
    <w:panose1 w:val="02010600010101010101"/>
    <w:charset w:val="86"/>
    <w:family w:val="script"/>
    <w:pitch w:val="default"/>
    <w:sig w:usb0="00000001" w:usb1="080E0000" w:usb2="00000000" w:usb3="00000000" w:csb0="00040000" w:csb1="00000000"/>
    <w:embedRegular r:id="rId3" w:fontKey="{7995C4F5-A517-4321-87DC-F0D282CE96A0}"/>
  </w:font>
  <w:font w:name="方正小标宋_GBK">
    <w:panose1 w:val="02000000000000000000"/>
    <w:charset w:val="86"/>
    <w:family w:val="auto"/>
    <w:pitch w:val="default"/>
    <w:sig w:usb0="A00002BF" w:usb1="38CF7CFA" w:usb2="00082016" w:usb3="00000000" w:csb0="00040001" w:csb1="00000000"/>
    <w:embedRegular r:id="rId4" w:fontKey="{4181AC70-3D16-436B-AB91-5E57E5326E89}"/>
  </w:font>
  <w:font w:name="仿宋_GB2312">
    <w:panose1 w:val="02010609030101010101"/>
    <w:charset w:val="86"/>
    <w:family w:val="modern"/>
    <w:pitch w:val="default"/>
    <w:sig w:usb0="00000001" w:usb1="080E0000" w:usb2="00000000" w:usb3="00000000" w:csb0="00040000" w:csb1="00000000"/>
    <w:embedRegular r:id="rId5" w:fontKey="{439032AD-452E-48E0-8609-EE95F76248E0}"/>
  </w:font>
  <w:font w:name="WPSEMBED1">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0A7BB">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E27E2C">
                          <w:pPr>
                            <w:pStyle w:val="3"/>
                            <w:rPr>
                              <w:rStyle w:val="8"/>
                            </w:rPr>
                          </w:pPr>
                          <w:r>
                            <w:fldChar w:fldCharType="begin"/>
                          </w:r>
                          <w:r>
                            <w:rPr>
                              <w:rStyle w:val="8"/>
                            </w:rPr>
                            <w:instrText xml:space="preserve">PAGE  </w:instrText>
                          </w:r>
                          <w:r>
                            <w:fldChar w:fldCharType="separate"/>
                          </w:r>
                          <w:r>
                            <w:rPr>
                              <w:rStyle w:val="8"/>
                            </w:rPr>
                            <w:t>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15E27E2C">
                    <w:pPr>
                      <w:pStyle w:val="3"/>
                      <w:rPr>
                        <w:rStyle w:val="8"/>
                      </w:rPr>
                    </w:pPr>
                    <w:r>
                      <w:fldChar w:fldCharType="begin"/>
                    </w:r>
                    <w:r>
                      <w:rPr>
                        <w:rStyle w:val="8"/>
                      </w:rPr>
                      <w:instrText xml:space="preserve">PAGE  </w:instrText>
                    </w:r>
                    <w:r>
                      <w:fldChar w:fldCharType="separate"/>
                    </w:r>
                    <w:r>
                      <w:rPr>
                        <w:rStyle w:val="8"/>
                      </w:rP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C724A">
    <w:pPr>
      <w:pStyle w:val="3"/>
      <w:framePr w:wrap="around" w:vAnchor="text" w:hAnchor="margin" w:xAlign="center" w:y="1"/>
      <w:rPr>
        <w:rStyle w:val="8"/>
      </w:rPr>
    </w:pPr>
    <w:r>
      <w:fldChar w:fldCharType="begin"/>
    </w:r>
    <w:r>
      <w:rPr>
        <w:rStyle w:val="8"/>
      </w:rPr>
      <w:instrText xml:space="preserve">PAGE  </w:instrText>
    </w:r>
    <w:r>
      <w:fldChar w:fldCharType="end"/>
    </w:r>
  </w:p>
  <w:p w14:paraId="4169328F">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39E22">
    <w:pPr>
      <w:pStyle w:val="4"/>
      <w:pBdr>
        <w:bottom w:val="none" w:color="auto" w:sz="0" w:space="0"/>
      </w:pBdr>
      <w:rPr>
        <w:sz w:val="13"/>
        <w:szCs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FA0828"/>
    <w:rsid w:val="0013386A"/>
    <w:rsid w:val="001E20BA"/>
    <w:rsid w:val="002477E9"/>
    <w:rsid w:val="00426B56"/>
    <w:rsid w:val="00AD2B5A"/>
    <w:rsid w:val="00B21852"/>
    <w:rsid w:val="00D85031"/>
    <w:rsid w:val="15465029"/>
    <w:rsid w:val="20FA0828"/>
    <w:rsid w:val="41BF0ED6"/>
    <w:rsid w:val="42972BCC"/>
    <w:rsid w:val="455F7DDC"/>
    <w:rsid w:val="4BBC7BF0"/>
    <w:rsid w:val="4FA365AE"/>
    <w:rsid w:val="55474195"/>
    <w:rsid w:val="5F1A7254"/>
    <w:rsid w:val="7E4822A1"/>
    <w:rsid w:val="7FEC7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spacing w:before="100" w:beforeAutospacing="1" w:after="100" w:afterAutospacing="1"/>
      <w:jc w:val="left"/>
      <w:outlineLvl w:val="1"/>
    </w:pPr>
    <w:rPr>
      <w:rFonts w:hint="eastAsia" w:ascii="宋体" w:hAnsi="宋体" w:cs="宋体"/>
      <w:b/>
      <w:kern w:val="0"/>
      <w:sz w:val="36"/>
      <w:szCs w:val="36"/>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1695</Words>
  <Characters>1719</Characters>
  <Lines>13</Lines>
  <Paragraphs>3</Paragraphs>
  <TotalTime>24</TotalTime>
  <ScaleCrop>false</ScaleCrop>
  <LinksUpToDate>false</LinksUpToDate>
  <CharactersWithSpaces>1744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2025-09-05T02:13:00Z</dcterms:created>
  <dc:creator>加薪</dc:creator>
  <cp:lastModifiedBy>加薪</cp:lastModifiedBy>
  <cp:lastPrinted>2025-09-22T02:54:00Z</cp:lastPrinted>
  <dcterms:modified xsi:type="dcterms:W3CDTF">2025-10-14T01:45:33Z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964DDBB7C8014F2E903077DF2E54D439_13</vt:lpwstr>
  </property>
  <property fmtid="{D5CDD505-2E9C-101B-9397-08002B2CF9AE}" pid="4" name="KSOTemplateDocerSaveRecord">
    <vt:lpwstr>eyJoZGlkIjoiMDVlNjI1ZWEyYWFmMTg0YjNkZWFmYmNiOGIwMWRiMTciLCJ1c2VySWQiOiI2MTc4ODQ1MjkifQ==</vt:lpwstr>
  </property>
</Properties>
</file>