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6449C3">
      <w:pPr>
        <w:adjustRightInd w:val="0"/>
        <w:spacing w:beforeLines="50" w:line="264" w:lineRule="auto"/>
        <w:jc w:val="left"/>
        <w:rPr>
          <w:rFonts w:eastAsia="黑体" w:cs="庞中华简体 V2007"/>
          <w:color w:val="auto"/>
          <w:szCs w:val="21"/>
        </w:rPr>
      </w:pPr>
      <w:r>
        <w:rPr>
          <w:rFonts w:eastAsia="黑体" w:cs="庞中华简体 V2007"/>
          <w:color w:val="auto"/>
          <w:szCs w:val="21"/>
        </w:rPr>
        <w:t>ICS 93.010</w:t>
      </w:r>
    </w:p>
    <w:p w14:paraId="2924BF5B">
      <w:pPr>
        <w:adjustRightInd w:val="0"/>
        <w:spacing w:beforeLines="50" w:line="264" w:lineRule="auto"/>
        <w:jc w:val="left"/>
        <w:rPr>
          <w:rFonts w:eastAsia="黑体" w:cs="庞中华简体 V2007"/>
          <w:color w:val="auto"/>
          <w:szCs w:val="21"/>
        </w:rPr>
      </w:pPr>
      <w:r>
        <w:rPr>
          <w:rFonts w:eastAsia="黑体" w:cs="庞中华简体 V2007"/>
          <w:color w:val="auto"/>
          <w:szCs w:val="21"/>
        </w:rPr>
        <w:t>CCS P00/09</w:t>
      </w:r>
      <w:bookmarkStart w:id="577" w:name="_GoBack"/>
      <w:bookmarkEnd w:id="577"/>
    </w:p>
    <w:p w14:paraId="62CA250A">
      <w:pPr>
        <w:adjustRightInd w:val="0"/>
        <w:spacing w:beforeLines="50" w:line="264" w:lineRule="auto"/>
        <w:jc w:val="left"/>
        <w:rPr>
          <w:rFonts w:eastAsia="华文宋体" w:cs="庞中华简体 V2007"/>
          <w:b/>
          <w:bCs/>
          <w:color w:val="auto"/>
          <w:sz w:val="36"/>
          <w:szCs w:val="32"/>
        </w:rPr>
      </w:pPr>
    </w:p>
    <w:p w14:paraId="1EFEEDCF">
      <w:pPr>
        <w:adjustRightInd w:val="0"/>
        <w:spacing w:beforeLines="50" w:line="264" w:lineRule="auto"/>
        <w:jc w:val="center"/>
        <w:rPr>
          <w:rFonts w:eastAsia="黑体" w:cs="庞中华简体 V2007"/>
          <w:b/>
          <w:bCs/>
          <w:color w:val="auto"/>
          <w:sz w:val="72"/>
          <w:szCs w:val="56"/>
        </w:rPr>
      </w:pPr>
      <w:r>
        <w:rPr>
          <w:rFonts w:hint="eastAsia" w:eastAsia="黑体" w:cs="庞中华简体 V2007"/>
          <w:b/>
          <w:bCs/>
          <w:color w:val="auto"/>
          <w:sz w:val="72"/>
          <w:szCs w:val="56"/>
        </w:rPr>
        <w:t>团</w:t>
      </w:r>
      <w:r>
        <w:rPr>
          <w:rFonts w:eastAsia="黑体" w:cs="庞中华简体 V2007"/>
          <w:b/>
          <w:bCs/>
          <w:color w:val="auto"/>
          <w:sz w:val="72"/>
          <w:szCs w:val="56"/>
        </w:rPr>
        <w:t xml:space="preserve"> </w:t>
      </w:r>
      <w:r>
        <w:rPr>
          <w:rFonts w:hint="eastAsia" w:eastAsia="黑体" w:cs="庞中华简体 V2007"/>
          <w:b/>
          <w:bCs/>
          <w:color w:val="auto"/>
          <w:sz w:val="72"/>
          <w:szCs w:val="56"/>
        </w:rPr>
        <w:t>体</w:t>
      </w:r>
      <w:r>
        <w:rPr>
          <w:rFonts w:eastAsia="黑体" w:cs="庞中华简体 V2007"/>
          <w:b/>
          <w:bCs/>
          <w:color w:val="auto"/>
          <w:sz w:val="72"/>
          <w:szCs w:val="56"/>
        </w:rPr>
        <w:t xml:space="preserve"> </w:t>
      </w:r>
      <w:r>
        <w:rPr>
          <w:rFonts w:hint="eastAsia" w:eastAsia="黑体" w:cs="庞中华简体 V2007"/>
          <w:b/>
          <w:bCs/>
          <w:color w:val="auto"/>
          <w:sz w:val="72"/>
          <w:szCs w:val="56"/>
        </w:rPr>
        <w:t>标</w:t>
      </w:r>
      <w:r>
        <w:rPr>
          <w:rFonts w:eastAsia="黑体" w:cs="庞中华简体 V2007"/>
          <w:b/>
          <w:bCs/>
          <w:color w:val="auto"/>
          <w:sz w:val="72"/>
          <w:szCs w:val="56"/>
        </w:rPr>
        <w:t xml:space="preserve"> </w:t>
      </w:r>
      <w:r>
        <w:rPr>
          <w:rFonts w:hint="eastAsia" w:eastAsia="黑体" w:cs="庞中华简体 V2007"/>
          <w:b/>
          <w:bCs/>
          <w:color w:val="auto"/>
          <w:sz w:val="72"/>
          <w:szCs w:val="56"/>
        </w:rPr>
        <w:t>准</w:t>
      </w:r>
    </w:p>
    <w:p w14:paraId="0FB96F8D">
      <w:pPr>
        <w:adjustRightInd w:val="0"/>
        <w:spacing w:beforeLines="50" w:line="264" w:lineRule="auto"/>
        <w:jc w:val="center"/>
        <w:rPr>
          <w:rFonts w:eastAsia="黑体" w:cs="庞中华简体 V2007"/>
          <w:b/>
          <w:bCs/>
          <w:color w:val="auto"/>
          <w:sz w:val="18"/>
          <w:szCs w:val="16"/>
        </w:rPr>
      </w:pPr>
    </w:p>
    <w:p w14:paraId="7EC903D5">
      <w:pPr>
        <w:adjustRightInd w:val="0"/>
        <w:spacing w:beforeLines="50" w:line="264" w:lineRule="auto"/>
        <w:jc w:val="right"/>
        <w:rPr>
          <w:rFonts w:eastAsia="黑体" w:cs="庞中华简体 V2007"/>
          <w:color w:val="auto"/>
          <w:szCs w:val="28"/>
        </w:rPr>
      </w:pPr>
      <w:r>
        <w:rPr>
          <w:rFonts w:eastAsia="黑体" w:cs="庞中华简体 V2007"/>
          <w:color w:val="auto"/>
          <w:szCs w:val="28"/>
        </w:rPr>
        <w:t xml:space="preserve">               </w:t>
      </w:r>
      <w:bookmarkStart w:id="0" w:name="OLE_LINK74"/>
      <w:r>
        <w:rPr>
          <w:rFonts w:eastAsia="黑体" w:cs="庞中华简体 V2007"/>
          <w:color w:val="auto"/>
          <w:szCs w:val="28"/>
        </w:rPr>
        <w:t xml:space="preserve"> </w:t>
      </w:r>
      <w:bookmarkStart w:id="1" w:name="OLE_LINK20"/>
      <w:bookmarkStart w:id="2" w:name="OLE_LINK19"/>
      <w:r>
        <w:rPr>
          <w:rFonts w:eastAsia="黑体" w:cs="庞中华简体 V2007"/>
          <w:color w:val="auto"/>
          <w:szCs w:val="28"/>
        </w:rPr>
        <w:t xml:space="preserve">T/GCIA </w:t>
      </w:r>
      <w:r>
        <w:rPr>
          <w:rFonts w:hint="eastAsia" w:eastAsia="黑体" w:cs="庞中华简体 V2007"/>
          <w:color w:val="auto"/>
          <w:szCs w:val="28"/>
        </w:rPr>
        <w:t>***</w:t>
      </w:r>
      <w:r>
        <w:rPr>
          <w:rFonts w:eastAsia="黑体" w:cs="庞中华简体 V2007"/>
          <w:color w:val="auto"/>
          <w:szCs w:val="28"/>
        </w:rPr>
        <w:t>-2025</w:t>
      </w:r>
      <w:bookmarkEnd w:id="0"/>
      <w:bookmarkEnd w:id="1"/>
      <w:bookmarkEnd w:id="2"/>
    </w:p>
    <w:p w14:paraId="6C300B4F">
      <w:pPr>
        <w:adjustRightInd w:val="0"/>
        <w:spacing w:beforeLines="50" w:line="264" w:lineRule="auto"/>
        <w:jc w:val="center"/>
        <w:rPr>
          <w:rFonts w:eastAsia="华文宋体" w:cs="庞中华简体 V2007"/>
          <w:b/>
          <w:bCs/>
          <w:color w:val="auto"/>
          <w:sz w:val="36"/>
          <w:szCs w:val="32"/>
        </w:rPr>
      </w:pPr>
      <w:r>
        <w:rPr>
          <w:rFonts w:eastAsia="华文宋体" w:cs="庞中华简体 V2007"/>
          <w:b/>
          <w:bCs/>
          <w:color w:val="auto"/>
          <w:sz w:val="36"/>
          <w:szCs w:val="32"/>
        </w:rPr>
        <w:pict>
          <v:line id="直接连接符 1" o:spid="_x0000_s1026" o:spt="20" style="position:absolute;left:0pt;margin-left:13.25pt;margin-top:12.7pt;height:0pt;width:449.3pt;z-index:251659264;mso-width-relative:page;mso-height-relative:page;" stroked="t" coordsize="21600,21600" o:gfxdata="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yiTLXNgAAAAIAQAADwAAAAAAAAABACAAAAAiAAAAZHJzL2Rvd25yZXYueG1sUEsBAhQAFAAAAAgA&#10;h07iQDgei/XsAQAAuwMAAA4AAAAAAAAAAQAgAAAAJwEAAGRycy9lMm9Eb2MueG1sUEsFBgAAAAAG&#10;AAYAWQEAAIUFAAAAAA==&#10;">
            <v:path arrowok="t"/>
            <v:fill focussize="0,0"/>
            <v:stroke weight="1.5pt" color="#000000" joinstyle="miter"/>
            <v:imagedata o:title=""/>
            <o:lock v:ext="edit"/>
          </v:line>
        </w:pict>
      </w:r>
    </w:p>
    <w:p w14:paraId="1D77AD93">
      <w:pPr>
        <w:adjustRightInd w:val="0"/>
        <w:spacing w:beforeLines="50" w:line="264" w:lineRule="auto"/>
        <w:jc w:val="center"/>
        <w:rPr>
          <w:rFonts w:eastAsia="华文宋体" w:cs="庞中华简体 V2007"/>
          <w:b/>
          <w:bCs/>
          <w:color w:val="auto"/>
          <w:sz w:val="36"/>
          <w:szCs w:val="32"/>
        </w:rPr>
      </w:pPr>
    </w:p>
    <w:p w14:paraId="5A4CC25B">
      <w:pPr>
        <w:adjustRightInd w:val="0"/>
        <w:spacing w:beforeLines="50" w:line="264" w:lineRule="auto"/>
        <w:jc w:val="center"/>
        <w:rPr>
          <w:rFonts w:eastAsia="黑体" w:cs="庞中华简体 V2007"/>
          <w:b/>
          <w:bCs/>
          <w:color w:val="auto"/>
          <w:sz w:val="52"/>
          <w:szCs w:val="48"/>
        </w:rPr>
      </w:pPr>
      <w:bookmarkStart w:id="3" w:name="OLE_LINK7"/>
      <w:bookmarkStart w:id="4" w:name="OLE_LINK8"/>
      <w:r>
        <w:rPr>
          <w:rFonts w:hint="eastAsia" w:eastAsia="黑体" w:cs="庞中华简体 V2007"/>
          <w:b/>
          <w:bCs/>
          <w:color w:val="auto"/>
          <w:sz w:val="52"/>
          <w:szCs w:val="48"/>
        </w:rPr>
        <w:t>混凝土模块化建筑技术标准</w:t>
      </w:r>
      <w:bookmarkEnd w:id="3"/>
      <w:bookmarkEnd w:id="4"/>
    </w:p>
    <w:p w14:paraId="3015A31E">
      <w:pPr>
        <w:adjustRightInd w:val="0"/>
        <w:spacing w:beforeLines="50" w:line="264" w:lineRule="auto"/>
        <w:jc w:val="center"/>
        <w:rPr>
          <w:rFonts w:eastAsia="黑体" w:cs="庞中华简体 V2007"/>
          <w:color w:val="auto"/>
          <w:szCs w:val="28"/>
        </w:rPr>
      </w:pPr>
      <w:r>
        <w:rPr>
          <w:rFonts w:eastAsia="黑体" w:cs="庞中华简体 V2007"/>
          <w:color w:val="auto"/>
          <w:szCs w:val="28"/>
        </w:rPr>
        <w:t xml:space="preserve">Technical standards for </w:t>
      </w:r>
      <w:r>
        <w:rPr>
          <w:rFonts w:hint="eastAsia" w:eastAsia="黑体" w:cs="庞中华简体 V2007"/>
          <w:color w:val="auto"/>
          <w:szCs w:val="28"/>
        </w:rPr>
        <w:t xml:space="preserve">concrete </w:t>
      </w:r>
      <w:r>
        <w:rPr>
          <w:rFonts w:eastAsia="黑体" w:cs="庞中华简体 V2007"/>
          <w:color w:val="auto"/>
          <w:szCs w:val="28"/>
        </w:rPr>
        <w:t xml:space="preserve">modular buildings </w:t>
      </w:r>
    </w:p>
    <w:p w14:paraId="07B152E8">
      <w:pPr>
        <w:adjustRightInd w:val="0"/>
        <w:spacing w:beforeLines="50" w:line="264" w:lineRule="auto"/>
        <w:jc w:val="center"/>
        <w:rPr>
          <w:rFonts w:eastAsia="黑体" w:cs="庞中华简体 V2007"/>
          <w:b/>
          <w:bCs/>
          <w:color w:val="auto"/>
          <w:sz w:val="48"/>
          <w:szCs w:val="44"/>
        </w:rPr>
      </w:pPr>
    </w:p>
    <w:p w14:paraId="2F3A0447">
      <w:pPr>
        <w:adjustRightInd w:val="0"/>
        <w:spacing w:beforeLines="50" w:line="264" w:lineRule="auto"/>
        <w:jc w:val="center"/>
        <w:rPr>
          <w:rFonts w:eastAsia="黑体" w:cs="庞中华简体 V2007"/>
          <w:b/>
          <w:bCs/>
          <w:color w:val="auto"/>
          <w:sz w:val="48"/>
          <w:szCs w:val="44"/>
        </w:rPr>
      </w:pPr>
    </w:p>
    <w:p w14:paraId="0686244E">
      <w:pPr>
        <w:adjustRightInd w:val="0"/>
        <w:spacing w:beforeLines="50" w:line="264" w:lineRule="auto"/>
        <w:jc w:val="center"/>
        <w:rPr>
          <w:rFonts w:eastAsia="黑体" w:cs="庞中华简体 V2007"/>
          <w:b/>
          <w:bCs/>
          <w:color w:val="auto"/>
          <w:sz w:val="48"/>
          <w:szCs w:val="44"/>
        </w:rPr>
      </w:pPr>
    </w:p>
    <w:p w14:paraId="477A3DD7">
      <w:pPr>
        <w:adjustRightInd w:val="0"/>
        <w:spacing w:beforeLines="50" w:line="264" w:lineRule="auto"/>
        <w:jc w:val="center"/>
        <w:rPr>
          <w:rFonts w:eastAsia="黑体" w:cs="庞中华简体 V2007"/>
          <w:b/>
          <w:bCs/>
          <w:color w:val="auto"/>
          <w:sz w:val="48"/>
          <w:szCs w:val="44"/>
        </w:rPr>
      </w:pPr>
    </w:p>
    <w:p w14:paraId="491589E9">
      <w:pPr>
        <w:adjustRightInd w:val="0"/>
        <w:spacing w:beforeLines="50" w:line="264" w:lineRule="auto"/>
        <w:jc w:val="center"/>
        <w:rPr>
          <w:rFonts w:eastAsia="黑体" w:cs="庞中华简体 V2007"/>
          <w:b/>
          <w:bCs/>
          <w:color w:val="auto"/>
          <w:sz w:val="48"/>
          <w:szCs w:val="44"/>
        </w:rPr>
      </w:pPr>
    </w:p>
    <w:p w14:paraId="00CC0723">
      <w:pPr>
        <w:adjustRightInd w:val="0"/>
        <w:spacing w:beforeLines="50" w:line="264" w:lineRule="auto"/>
        <w:jc w:val="center"/>
        <w:rPr>
          <w:rFonts w:eastAsia="黑体" w:cs="庞中华简体 V2007"/>
          <w:b/>
          <w:bCs/>
          <w:color w:val="auto"/>
          <w:sz w:val="48"/>
          <w:szCs w:val="44"/>
        </w:rPr>
      </w:pPr>
    </w:p>
    <w:p w14:paraId="1BE37F9A">
      <w:pPr>
        <w:adjustRightInd w:val="0"/>
        <w:spacing w:beforeLines="50" w:line="264" w:lineRule="auto"/>
        <w:jc w:val="center"/>
        <w:rPr>
          <w:rFonts w:eastAsia="黑体" w:cs="庞中华简体 V2007"/>
          <w:color w:val="auto"/>
          <w:szCs w:val="28"/>
        </w:rPr>
      </w:pPr>
      <w:r>
        <w:rPr>
          <w:rFonts w:eastAsia="黑体" w:cs="庞中华简体 V2007"/>
          <w:color w:val="auto"/>
          <w:szCs w:val="28"/>
        </w:rPr>
        <w:t>2025-</w:t>
      </w:r>
      <w:r>
        <w:rPr>
          <w:rFonts w:hint="eastAsia" w:eastAsia="黑体" w:cs="庞中华简体 V2007"/>
          <w:color w:val="auto"/>
          <w:szCs w:val="28"/>
        </w:rPr>
        <w:t>**</w:t>
      </w:r>
      <w:r>
        <w:rPr>
          <w:rFonts w:eastAsia="黑体" w:cs="庞中华简体 V2007"/>
          <w:color w:val="auto"/>
          <w:szCs w:val="28"/>
        </w:rPr>
        <w:t>-</w:t>
      </w:r>
      <w:r>
        <w:rPr>
          <w:rFonts w:hint="eastAsia" w:eastAsia="黑体" w:cs="庞中华简体 V2007"/>
          <w:color w:val="auto"/>
          <w:szCs w:val="28"/>
        </w:rPr>
        <w:t>**</w:t>
      </w:r>
      <w:r>
        <w:rPr>
          <w:rFonts w:eastAsia="黑体" w:cs="庞中华简体 V2007"/>
          <w:color w:val="auto"/>
          <w:szCs w:val="28"/>
        </w:rPr>
        <w:t xml:space="preserve">  </w:t>
      </w:r>
      <w:r>
        <w:rPr>
          <w:rFonts w:hint="eastAsia" w:eastAsia="黑体" w:cs="庞中华简体 V2007"/>
          <w:color w:val="auto"/>
          <w:szCs w:val="28"/>
        </w:rPr>
        <w:t>发布</w:t>
      </w:r>
      <w:r>
        <w:rPr>
          <w:rFonts w:eastAsia="黑体" w:cs="庞中华简体 V2007"/>
          <w:color w:val="auto"/>
          <w:szCs w:val="28"/>
        </w:rPr>
        <w:t xml:space="preserve">                             2025-</w:t>
      </w:r>
      <w:r>
        <w:rPr>
          <w:rFonts w:hint="eastAsia" w:eastAsia="黑体" w:cs="庞中华简体 V2007"/>
          <w:color w:val="auto"/>
          <w:szCs w:val="28"/>
        </w:rPr>
        <w:t>**</w:t>
      </w:r>
      <w:r>
        <w:rPr>
          <w:rFonts w:eastAsia="黑体" w:cs="庞中华简体 V2007"/>
          <w:color w:val="auto"/>
          <w:szCs w:val="28"/>
        </w:rPr>
        <w:t>-</w:t>
      </w:r>
      <w:r>
        <w:rPr>
          <w:rFonts w:hint="eastAsia" w:eastAsia="黑体" w:cs="庞中华简体 V2007"/>
          <w:color w:val="auto"/>
          <w:szCs w:val="28"/>
        </w:rPr>
        <w:t>**</w:t>
      </w:r>
      <w:r>
        <w:rPr>
          <w:rFonts w:eastAsia="黑体" w:cs="庞中华简体 V2007"/>
          <w:color w:val="auto"/>
          <w:szCs w:val="28"/>
        </w:rPr>
        <w:t xml:space="preserve">  </w:t>
      </w:r>
      <w:r>
        <w:rPr>
          <w:rFonts w:hint="eastAsia" w:eastAsia="黑体" w:cs="庞中华简体 V2007"/>
          <w:color w:val="auto"/>
          <w:szCs w:val="28"/>
        </w:rPr>
        <w:t>实施</w:t>
      </w:r>
    </w:p>
    <w:p w14:paraId="26E734B2">
      <w:pPr>
        <w:adjustRightInd w:val="0"/>
        <w:spacing w:beforeLines="50" w:line="264" w:lineRule="auto"/>
        <w:jc w:val="center"/>
        <w:rPr>
          <w:rFonts w:eastAsia="黑体" w:cs="庞中华简体 V2007"/>
          <w:b/>
          <w:bCs/>
          <w:color w:val="auto"/>
          <w:sz w:val="36"/>
          <w:szCs w:val="36"/>
        </w:rPr>
      </w:pPr>
      <w:r>
        <w:rPr>
          <w:rFonts w:eastAsia="华文宋体" w:cs="庞中华简体 V2007"/>
          <w:b/>
          <w:bCs/>
          <w:color w:val="auto"/>
          <w:sz w:val="36"/>
          <w:szCs w:val="32"/>
        </w:rPr>
        <w:pict>
          <v:line id="_x0000_s1035" o:spid="_x0000_s1035" o:spt="20" style="position:absolute;left:0pt;margin-left:0pt;margin-top:0pt;height:0pt;width:449.3pt;z-index:251660288;mso-width-relative:page;mso-height-relative:page;" stroked="t" coordsize="21600,21600" o:gfxdata="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OnmLPSAAAA&#10;AgEAAA8AAAAAAAAAAQAgAAAAIgAAAGRycy9kb3ducmV2LnhtbFBLAQIUABQAAAAIAIdO4kAk+M+w&#10;6gEAALkDAAAOAAAAAAAAAAEAIAAAACEBAABkcnMvZTJvRG9jLnhtbFBLBQYAAAAABgAGAFkBAAB9&#10;BQAAAAA=&#10;">
            <v:path arrowok="t"/>
            <v:fill focussize="0,0"/>
            <v:stroke color="#000000" joinstyle="miter"/>
            <v:imagedata o:title=""/>
            <o:lock v:ext="edit"/>
          </v:line>
        </w:pict>
      </w:r>
    </w:p>
    <w:p w14:paraId="36D60AD5">
      <w:pPr>
        <w:widowControl/>
        <w:jc w:val="center"/>
        <w:rPr>
          <w:rFonts w:eastAsia="黑体" w:cs="庞中华简体 V2007"/>
          <w:color w:val="auto"/>
          <w:sz w:val="52"/>
          <w:szCs w:val="48"/>
        </w:rPr>
      </w:pPr>
      <w:r>
        <w:rPr>
          <w:rFonts w:hint="eastAsia" w:eastAsia="黑体" w:cs="庞中华简体 V2007"/>
          <w:b/>
          <w:bCs/>
          <w:color w:val="auto"/>
          <w:sz w:val="36"/>
          <w:szCs w:val="36"/>
        </w:rPr>
        <w:t>广州市建筑业联合会</w:t>
      </w:r>
      <w:r>
        <w:rPr>
          <w:rFonts w:eastAsia="黑体" w:cs="庞中华简体 V2007"/>
          <w:b/>
          <w:bCs/>
          <w:color w:val="auto"/>
          <w:sz w:val="36"/>
          <w:szCs w:val="36"/>
        </w:rPr>
        <w:t xml:space="preserve">  </w:t>
      </w:r>
      <w:r>
        <w:rPr>
          <w:rFonts w:hint="eastAsia" w:eastAsia="黑体" w:cs="庞中华简体 V2007"/>
          <w:b/>
          <w:bCs/>
          <w:color w:val="auto"/>
          <w:sz w:val="36"/>
          <w:szCs w:val="36"/>
        </w:rPr>
        <w:t>发</w:t>
      </w:r>
      <w:r>
        <w:rPr>
          <w:rFonts w:eastAsia="黑体" w:cs="庞中华简体 V2007"/>
          <w:b/>
          <w:bCs/>
          <w:color w:val="auto"/>
          <w:sz w:val="36"/>
          <w:szCs w:val="36"/>
        </w:rPr>
        <w:t xml:space="preserve">  </w:t>
      </w:r>
      <w:r>
        <w:rPr>
          <w:rFonts w:hint="eastAsia" w:eastAsia="黑体" w:cs="庞中华简体 V2007"/>
          <w:b/>
          <w:bCs/>
          <w:color w:val="auto"/>
          <w:sz w:val="36"/>
          <w:szCs w:val="36"/>
        </w:rPr>
        <w:t>布</w:t>
      </w:r>
    </w:p>
    <w:p w14:paraId="4A9C9F6C">
      <w:pPr>
        <w:jc w:val="center"/>
        <w:rPr>
          <w:rFonts w:eastAsia="黑体"/>
          <w:color w:val="auto"/>
          <w:sz w:val="36"/>
          <w:szCs w:val="40"/>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b/>
          <w:color w:val="auto"/>
          <w:sz w:val="28"/>
          <w:szCs w:val="28"/>
          <w:lang w:val="zh-CN"/>
        </w:rPr>
        <w:id w:val="147452249"/>
        <w:docPartObj>
          <w:docPartGallery w:val="Table of Contents"/>
          <w:docPartUnique/>
        </w:docPartObj>
      </w:sdtPr>
      <w:sdtEndPr>
        <w:rPr>
          <w:rFonts w:hint="eastAsia" w:ascii="黑体" w:hAnsi="黑体" w:eastAsia="黑体" w:cs="黑体"/>
          <w:b/>
          <w:color w:val="auto"/>
          <w:sz w:val="21"/>
          <w:szCs w:val="22"/>
          <w:lang w:val="zh-CN"/>
        </w:rPr>
      </w:sdtEndPr>
      <w:sdtContent>
        <w:p w14:paraId="03DBF94A">
          <w:pPr>
            <w:snapToGrid w:val="0"/>
            <w:spacing w:line="360" w:lineRule="auto"/>
            <w:ind w:firstLine="3415" w:firstLineChars="1215"/>
            <w:rPr>
              <w:rFonts w:ascii="黑体" w:hAnsi="黑体" w:eastAsia="黑体" w:cs="黑体"/>
              <w:b/>
              <w:color w:val="auto"/>
              <w:sz w:val="36"/>
              <w:szCs w:val="36"/>
              <w:lang w:val="zh-CN"/>
            </w:rPr>
          </w:pPr>
        </w:p>
        <w:p w14:paraId="5CFA069C">
          <w:pPr>
            <w:snapToGrid w:val="0"/>
            <w:spacing w:line="312" w:lineRule="auto"/>
            <w:ind w:firstLine="3415" w:firstLineChars="1215"/>
            <w:rPr>
              <w:rFonts w:ascii="黑体" w:hAnsi="黑体" w:eastAsia="黑体" w:cs="黑体"/>
              <w:b/>
              <w:color w:val="auto"/>
              <w:sz w:val="28"/>
              <w:szCs w:val="28"/>
              <w:lang w:val="zh-CN"/>
            </w:rPr>
          </w:pPr>
          <w:r>
            <w:rPr>
              <w:rFonts w:hint="eastAsia" w:ascii="黑体" w:hAnsi="黑体" w:eastAsia="黑体" w:cs="黑体"/>
              <w:b/>
              <w:color w:val="auto"/>
              <w:sz w:val="28"/>
              <w:szCs w:val="28"/>
              <w:lang w:val="zh-CN"/>
            </w:rPr>
            <w:t>目  次</w:t>
          </w:r>
        </w:p>
        <w:p w14:paraId="1D59D9E6">
          <w:pPr>
            <w:pStyle w:val="13"/>
            <w:tabs>
              <w:tab w:val="right" w:leader="dot" w:pos="8306"/>
            </w:tabs>
            <w:spacing w:line="312" w:lineRule="auto"/>
            <w:rPr>
              <w:color w:val="auto"/>
            </w:rPr>
          </w:pPr>
          <w:r>
            <w:rPr>
              <w:color w:val="auto"/>
              <w:sz w:val="28"/>
              <w:szCs w:val="28"/>
            </w:rPr>
            <w:fldChar w:fldCharType="begin"/>
          </w:r>
          <w:r>
            <w:rPr>
              <w:color w:val="auto"/>
              <w:sz w:val="28"/>
              <w:szCs w:val="28"/>
            </w:rPr>
            <w:instrText xml:space="preserve">TOC \o "1-3" \h \u </w:instrText>
          </w:r>
          <w:r>
            <w:rPr>
              <w:color w:val="auto"/>
              <w:sz w:val="28"/>
              <w:szCs w:val="28"/>
            </w:rPr>
            <w:fldChar w:fldCharType="separate"/>
          </w:r>
          <w:r>
            <w:rPr>
              <w:color w:val="auto"/>
            </w:rPr>
            <w:fldChar w:fldCharType="begin"/>
          </w:r>
          <w:r>
            <w:rPr>
              <w:color w:val="auto"/>
            </w:rPr>
            <w:instrText xml:space="preserve"> HYPERLINK \l "_Toc16348" </w:instrText>
          </w:r>
          <w:r>
            <w:rPr>
              <w:color w:val="auto"/>
            </w:rPr>
            <w:fldChar w:fldCharType="separate"/>
          </w:r>
          <w:r>
            <w:rPr>
              <w:rFonts w:hint="eastAsia" w:ascii="黑体" w:hAnsi="黑体" w:eastAsia="黑体" w:cs="黑体"/>
              <w:color w:val="auto"/>
              <w:szCs w:val="28"/>
            </w:rPr>
            <w:t>前  言</w:t>
          </w:r>
          <w:r>
            <w:rPr>
              <w:color w:val="auto"/>
            </w:rPr>
            <w:tab/>
          </w:r>
          <w:r>
            <w:rPr>
              <w:color w:val="auto"/>
            </w:rPr>
            <w:fldChar w:fldCharType="begin"/>
          </w:r>
          <w:r>
            <w:rPr>
              <w:color w:val="auto"/>
            </w:rPr>
            <w:instrText xml:space="preserve"> PAGEREF _Toc16348 \h </w:instrText>
          </w:r>
          <w:r>
            <w:rPr>
              <w:color w:val="auto"/>
            </w:rPr>
            <w:fldChar w:fldCharType="separate"/>
          </w:r>
          <w:r>
            <w:rPr>
              <w:color w:val="auto"/>
            </w:rPr>
            <w:t>I</w:t>
          </w:r>
          <w:r>
            <w:rPr>
              <w:color w:val="auto"/>
            </w:rPr>
            <w:fldChar w:fldCharType="end"/>
          </w:r>
          <w:r>
            <w:rPr>
              <w:color w:val="auto"/>
            </w:rPr>
            <w:fldChar w:fldCharType="end"/>
          </w:r>
        </w:p>
        <w:p w14:paraId="73188168">
          <w:pPr>
            <w:pStyle w:val="13"/>
            <w:tabs>
              <w:tab w:val="right" w:leader="dot" w:pos="8306"/>
            </w:tabs>
            <w:spacing w:line="312" w:lineRule="auto"/>
            <w:rPr>
              <w:color w:val="auto"/>
            </w:rPr>
          </w:pPr>
          <w:r>
            <w:rPr>
              <w:color w:val="auto"/>
            </w:rPr>
            <w:fldChar w:fldCharType="begin"/>
          </w:r>
          <w:r>
            <w:rPr>
              <w:color w:val="auto"/>
            </w:rPr>
            <w:instrText xml:space="preserve"> HYPERLINK \l "_Toc18119" </w:instrText>
          </w:r>
          <w:r>
            <w:rPr>
              <w:color w:val="auto"/>
            </w:rPr>
            <w:fldChar w:fldCharType="separate"/>
          </w:r>
          <w:r>
            <w:rPr>
              <w:bCs/>
              <w:color w:val="auto"/>
            </w:rPr>
            <w:t>1</w:t>
          </w:r>
          <w:r>
            <w:rPr>
              <w:color w:val="auto"/>
            </w:rPr>
            <w:t xml:space="preserve">  </w:t>
          </w:r>
          <w:r>
            <w:rPr>
              <w:bCs/>
              <w:color w:val="auto"/>
            </w:rPr>
            <w:t>总则</w:t>
          </w:r>
          <w:r>
            <w:rPr>
              <w:color w:val="auto"/>
            </w:rPr>
            <w:tab/>
          </w:r>
          <w:r>
            <w:rPr>
              <w:color w:val="auto"/>
            </w:rPr>
            <w:fldChar w:fldCharType="begin"/>
          </w:r>
          <w:r>
            <w:rPr>
              <w:color w:val="auto"/>
            </w:rPr>
            <w:instrText xml:space="preserve"> PAGEREF _Toc18119 \h </w:instrText>
          </w:r>
          <w:r>
            <w:rPr>
              <w:color w:val="auto"/>
            </w:rPr>
            <w:fldChar w:fldCharType="separate"/>
          </w:r>
          <w:r>
            <w:rPr>
              <w:color w:val="auto"/>
            </w:rPr>
            <w:t>2</w:t>
          </w:r>
          <w:r>
            <w:rPr>
              <w:color w:val="auto"/>
            </w:rPr>
            <w:fldChar w:fldCharType="end"/>
          </w:r>
          <w:r>
            <w:rPr>
              <w:color w:val="auto"/>
            </w:rPr>
            <w:fldChar w:fldCharType="end"/>
          </w:r>
        </w:p>
        <w:p w14:paraId="74093679">
          <w:pPr>
            <w:pStyle w:val="13"/>
            <w:tabs>
              <w:tab w:val="right" w:leader="dot" w:pos="8306"/>
            </w:tabs>
            <w:spacing w:line="312" w:lineRule="auto"/>
            <w:rPr>
              <w:color w:val="auto"/>
            </w:rPr>
          </w:pPr>
          <w:r>
            <w:rPr>
              <w:color w:val="auto"/>
            </w:rPr>
            <w:fldChar w:fldCharType="begin"/>
          </w:r>
          <w:r>
            <w:rPr>
              <w:color w:val="auto"/>
            </w:rPr>
            <w:instrText xml:space="preserve"> HYPERLINK \l "_Toc26080" </w:instrText>
          </w:r>
          <w:r>
            <w:rPr>
              <w:color w:val="auto"/>
            </w:rPr>
            <w:fldChar w:fldCharType="separate"/>
          </w:r>
          <w:r>
            <w:rPr>
              <w:bCs/>
              <w:color w:val="auto"/>
            </w:rPr>
            <w:t>2</w:t>
          </w:r>
          <w:r>
            <w:rPr>
              <w:rFonts w:hint="eastAsia"/>
              <w:color w:val="auto"/>
            </w:rPr>
            <w:t xml:space="preserve">  </w:t>
          </w:r>
          <w:r>
            <w:rPr>
              <w:rFonts w:hint="eastAsia"/>
              <w:bCs/>
              <w:color w:val="auto"/>
            </w:rPr>
            <w:t>术语和符号</w:t>
          </w:r>
          <w:r>
            <w:rPr>
              <w:color w:val="auto"/>
            </w:rPr>
            <w:tab/>
          </w:r>
          <w:r>
            <w:rPr>
              <w:color w:val="auto"/>
            </w:rPr>
            <w:fldChar w:fldCharType="begin"/>
          </w:r>
          <w:r>
            <w:rPr>
              <w:color w:val="auto"/>
            </w:rPr>
            <w:instrText xml:space="preserve"> PAGEREF _Toc26080 \h </w:instrText>
          </w:r>
          <w:r>
            <w:rPr>
              <w:color w:val="auto"/>
            </w:rPr>
            <w:fldChar w:fldCharType="separate"/>
          </w:r>
          <w:r>
            <w:rPr>
              <w:color w:val="auto"/>
            </w:rPr>
            <w:t>4</w:t>
          </w:r>
          <w:r>
            <w:rPr>
              <w:color w:val="auto"/>
            </w:rPr>
            <w:fldChar w:fldCharType="end"/>
          </w:r>
          <w:r>
            <w:rPr>
              <w:color w:val="auto"/>
            </w:rPr>
            <w:fldChar w:fldCharType="end"/>
          </w:r>
        </w:p>
        <w:p w14:paraId="2A9D6CF0">
          <w:pPr>
            <w:pStyle w:val="14"/>
            <w:tabs>
              <w:tab w:val="right" w:leader="dot" w:pos="8306"/>
            </w:tabs>
            <w:spacing w:line="312" w:lineRule="auto"/>
            <w:rPr>
              <w:color w:val="auto"/>
            </w:rPr>
          </w:pPr>
          <w:r>
            <w:rPr>
              <w:color w:val="auto"/>
            </w:rPr>
            <w:fldChar w:fldCharType="begin"/>
          </w:r>
          <w:r>
            <w:rPr>
              <w:color w:val="auto"/>
            </w:rPr>
            <w:instrText xml:space="preserve"> HYPERLINK \l "_Toc24771" </w:instrText>
          </w:r>
          <w:r>
            <w:rPr>
              <w:color w:val="auto"/>
            </w:rPr>
            <w:fldChar w:fldCharType="separate"/>
          </w:r>
          <w:r>
            <w:rPr>
              <w:color w:val="auto"/>
            </w:rPr>
            <w:t>2</w:t>
          </w:r>
          <w:r>
            <w:rPr>
              <w:rFonts w:hint="eastAsia"/>
              <w:color w:val="auto"/>
            </w:rPr>
            <w:t>.</w:t>
          </w:r>
          <w:r>
            <w:rPr>
              <w:color w:val="auto"/>
            </w:rPr>
            <w:t>1</w:t>
          </w:r>
          <w:r>
            <w:rPr>
              <w:rFonts w:hint="eastAsia"/>
              <w:color w:val="auto"/>
            </w:rPr>
            <w:t xml:space="preserve">  术语</w:t>
          </w:r>
          <w:r>
            <w:rPr>
              <w:color w:val="auto"/>
            </w:rPr>
            <w:tab/>
          </w:r>
          <w:r>
            <w:rPr>
              <w:color w:val="auto"/>
            </w:rPr>
            <w:fldChar w:fldCharType="begin"/>
          </w:r>
          <w:r>
            <w:rPr>
              <w:color w:val="auto"/>
            </w:rPr>
            <w:instrText xml:space="preserve"> PAGEREF _Toc24771 \h </w:instrText>
          </w:r>
          <w:r>
            <w:rPr>
              <w:color w:val="auto"/>
            </w:rPr>
            <w:fldChar w:fldCharType="separate"/>
          </w:r>
          <w:r>
            <w:rPr>
              <w:color w:val="auto"/>
            </w:rPr>
            <w:t>4</w:t>
          </w:r>
          <w:r>
            <w:rPr>
              <w:color w:val="auto"/>
            </w:rPr>
            <w:fldChar w:fldCharType="end"/>
          </w:r>
          <w:r>
            <w:rPr>
              <w:color w:val="auto"/>
            </w:rPr>
            <w:fldChar w:fldCharType="end"/>
          </w:r>
        </w:p>
        <w:p w14:paraId="3F77A28D">
          <w:pPr>
            <w:pStyle w:val="14"/>
            <w:tabs>
              <w:tab w:val="right" w:leader="dot" w:pos="8306"/>
            </w:tabs>
            <w:spacing w:line="312" w:lineRule="auto"/>
            <w:rPr>
              <w:color w:val="auto"/>
            </w:rPr>
          </w:pPr>
          <w:r>
            <w:rPr>
              <w:color w:val="auto"/>
            </w:rPr>
            <w:fldChar w:fldCharType="begin"/>
          </w:r>
          <w:r>
            <w:rPr>
              <w:color w:val="auto"/>
            </w:rPr>
            <w:instrText xml:space="preserve"> HYPERLINK \l "_Toc4383" </w:instrText>
          </w:r>
          <w:r>
            <w:rPr>
              <w:color w:val="auto"/>
            </w:rPr>
            <w:fldChar w:fldCharType="separate"/>
          </w:r>
          <w:r>
            <w:rPr>
              <w:color w:val="auto"/>
            </w:rPr>
            <w:t>2.2  符号</w:t>
          </w:r>
          <w:r>
            <w:rPr>
              <w:color w:val="auto"/>
            </w:rPr>
            <w:tab/>
          </w:r>
          <w:r>
            <w:rPr>
              <w:color w:val="auto"/>
            </w:rPr>
            <w:fldChar w:fldCharType="begin"/>
          </w:r>
          <w:r>
            <w:rPr>
              <w:color w:val="auto"/>
            </w:rPr>
            <w:instrText xml:space="preserve"> PAGEREF _Toc4383 \h </w:instrText>
          </w:r>
          <w:r>
            <w:rPr>
              <w:color w:val="auto"/>
            </w:rPr>
            <w:fldChar w:fldCharType="separate"/>
          </w:r>
          <w:r>
            <w:rPr>
              <w:color w:val="auto"/>
            </w:rPr>
            <w:t>8</w:t>
          </w:r>
          <w:r>
            <w:rPr>
              <w:color w:val="auto"/>
            </w:rPr>
            <w:fldChar w:fldCharType="end"/>
          </w:r>
          <w:r>
            <w:rPr>
              <w:color w:val="auto"/>
            </w:rPr>
            <w:fldChar w:fldCharType="end"/>
          </w:r>
        </w:p>
        <w:p w14:paraId="380C88E1">
          <w:pPr>
            <w:pStyle w:val="13"/>
            <w:tabs>
              <w:tab w:val="right" w:leader="dot" w:pos="8306"/>
            </w:tabs>
            <w:spacing w:line="312" w:lineRule="auto"/>
            <w:rPr>
              <w:color w:val="auto"/>
            </w:rPr>
          </w:pPr>
          <w:r>
            <w:rPr>
              <w:color w:val="auto"/>
            </w:rPr>
            <w:fldChar w:fldCharType="begin"/>
          </w:r>
          <w:r>
            <w:rPr>
              <w:color w:val="auto"/>
            </w:rPr>
            <w:instrText xml:space="preserve"> HYPERLINK \l "_Toc10227" </w:instrText>
          </w:r>
          <w:r>
            <w:rPr>
              <w:color w:val="auto"/>
            </w:rPr>
            <w:fldChar w:fldCharType="separate"/>
          </w:r>
          <w:r>
            <w:rPr>
              <w:bCs/>
              <w:color w:val="auto"/>
            </w:rPr>
            <w:t>3</w:t>
          </w:r>
          <w:r>
            <w:rPr>
              <w:rFonts w:hint="eastAsia"/>
              <w:color w:val="auto"/>
            </w:rPr>
            <w:t xml:space="preserve">  </w:t>
          </w:r>
          <w:r>
            <w:rPr>
              <w:rFonts w:hint="eastAsia"/>
              <w:bCs/>
              <w:color w:val="auto"/>
            </w:rPr>
            <w:t>基本规定</w:t>
          </w:r>
          <w:r>
            <w:rPr>
              <w:color w:val="auto"/>
            </w:rPr>
            <w:tab/>
          </w:r>
          <w:r>
            <w:rPr>
              <w:color w:val="auto"/>
            </w:rPr>
            <w:fldChar w:fldCharType="begin"/>
          </w:r>
          <w:r>
            <w:rPr>
              <w:color w:val="auto"/>
            </w:rPr>
            <w:instrText xml:space="preserve"> PAGEREF _Toc10227 \h </w:instrText>
          </w:r>
          <w:r>
            <w:rPr>
              <w:color w:val="auto"/>
            </w:rPr>
            <w:fldChar w:fldCharType="separate"/>
          </w:r>
          <w:r>
            <w:rPr>
              <w:color w:val="auto"/>
            </w:rPr>
            <w:t>9</w:t>
          </w:r>
          <w:r>
            <w:rPr>
              <w:color w:val="auto"/>
            </w:rPr>
            <w:fldChar w:fldCharType="end"/>
          </w:r>
          <w:r>
            <w:rPr>
              <w:color w:val="auto"/>
            </w:rPr>
            <w:fldChar w:fldCharType="end"/>
          </w:r>
        </w:p>
        <w:p w14:paraId="32F1EF34">
          <w:pPr>
            <w:pStyle w:val="13"/>
            <w:tabs>
              <w:tab w:val="right" w:leader="dot" w:pos="8306"/>
            </w:tabs>
            <w:spacing w:line="312" w:lineRule="auto"/>
            <w:rPr>
              <w:color w:val="auto"/>
            </w:rPr>
          </w:pPr>
          <w:r>
            <w:rPr>
              <w:color w:val="auto"/>
            </w:rPr>
            <w:fldChar w:fldCharType="begin"/>
          </w:r>
          <w:r>
            <w:rPr>
              <w:color w:val="auto"/>
            </w:rPr>
            <w:instrText xml:space="preserve"> HYPERLINK \l "_Toc31731" </w:instrText>
          </w:r>
          <w:r>
            <w:rPr>
              <w:color w:val="auto"/>
            </w:rPr>
            <w:fldChar w:fldCharType="separate"/>
          </w:r>
          <w:r>
            <w:rPr>
              <w:bCs/>
              <w:color w:val="auto"/>
            </w:rPr>
            <w:t>4</w:t>
          </w:r>
          <w:r>
            <w:rPr>
              <w:rFonts w:hint="eastAsia"/>
              <w:color w:val="auto"/>
            </w:rPr>
            <w:t xml:space="preserve">  </w:t>
          </w:r>
          <w:r>
            <w:rPr>
              <w:rFonts w:hint="eastAsia"/>
              <w:bCs/>
              <w:color w:val="auto"/>
            </w:rPr>
            <w:t>材料</w:t>
          </w:r>
          <w:r>
            <w:rPr>
              <w:color w:val="auto"/>
            </w:rPr>
            <w:tab/>
          </w:r>
          <w:r>
            <w:rPr>
              <w:color w:val="auto"/>
            </w:rPr>
            <w:fldChar w:fldCharType="begin"/>
          </w:r>
          <w:r>
            <w:rPr>
              <w:color w:val="auto"/>
            </w:rPr>
            <w:instrText xml:space="preserve"> PAGEREF _Toc31731 \h </w:instrText>
          </w:r>
          <w:r>
            <w:rPr>
              <w:color w:val="auto"/>
            </w:rPr>
            <w:fldChar w:fldCharType="separate"/>
          </w:r>
          <w:r>
            <w:rPr>
              <w:color w:val="auto"/>
            </w:rPr>
            <w:t>11</w:t>
          </w:r>
          <w:r>
            <w:rPr>
              <w:color w:val="auto"/>
            </w:rPr>
            <w:fldChar w:fldCharType="end"/>
          </w:r>
          <w:r>
            <w:rPr>
              <w:color w:val="auto"/>
            </w:rPr>
            <w:fldChar w:fldCharType="end"/>
          </w:r>
        </w:p>
        <w:p w14:paraId="006A9ACA">
          <w:pPr>
            <w:pStyle w:val="14"/>
            <w:tabs>
              <w:tab w:val="right" w:leader="dot" w:pos="8306"/>
            </w:tabs>
            <w:spacing w:line="312" w:lineRule="auto"/>
            <w:rPr>
              <w:color w:val="auto"/>
            </w:rPr>
          </w:pPr>
          <w:r>
            <w:rPr>
              <w:color w:val="auto"/>
            </w:rPr>
            <w:fldChar w:fldCharType="begin"/>
          </w:r>
          <w:r>
            <w:rPr>
              <w:color w:val="auto"/>
            </w:rPr>
            <w:instrText xml:space="preserve"> HYPERLINK \l "_Toc17900" </w:instrText>
          </w:r>
          <w:r>
            <w:rPr>
              <w:color w:val="auto"/>
            </w:rPr>
            <w:fldChar w:fldCharType="separate"/>
          </w:r>
          <w:r>
            <w:rPr>
              <w:color w:val="auto"/>
            </w:rPr>
            <w:t>4</w:t>
          </w:r>
          <w:r>
            <w:rPr>
              <w:rFonts w:hint="eastAsia"/>
              <w:color w:val="auto"/>
            </w:rPr>
            <w:t>.</w:t>
          </w:r>
          <w:r>
            <w:rPr>
              <w:color w:val="auto"/>
            </w:rPr>
            <w:t>1</w:t>
          </w:r>
          <w:r>
            <w:rPr>
              <w:rFonts w:hint="eastAsia"/>
              <w:color w:val="auto"/>
            </w:rPr>
            <w:t xml:space="preserve">  混凝土、钢筋和钢材</w:t>
          </w:r>
          <w:r>
            <w:rPr>
              <w:color w:val="auto"/>
            </w:rPr>
            <w:tab/>
          </w:r>
          <w:r>
            <w:rPr>
              <w:color w:val="auto"/>
            </w:rPr>
            <w:fldChar w:fldCharType="begin"/>
          </w:r>
          <w:r>
            <w:rPr>
              <w:color w:val="auto"/>
            </w:rPr>
            <w:instrText xml:space="preserve"> PAGEREF _Toc17900 \h </w:instrText>
          </w:r>
          <w:r>
            <w:rPr>
              <w:color w:val="auto"/>
            </w:rPr>
            <w:fldChar w:fldCharType="separate"/>
          </w:r>
          <w:r>
            <w:rPr>
              <w:color w:val="auto"/>
            </w:rPr>
            <w:t>11</w:t>
          </w:r>
          <w:r>
            <w:rPr>
              <w:color w:val="auto"/>
            </w:rPr>
            <w:fldChar w:fldCharType="end"/>
          </w:r>
          <w:r>
            <w:rPr>
              <w:color w:val="auto"/>
            </w:rPr>
            <w:fldChar w:fldCharType="end"/>
          </w:r>
        </w:p>
        <w:p w14:paraId="73829F7F">
          <w:pPr>
            <w:pStyle w:val="14"/>
            <w:tabs>
              <w:tab w:val="right" w:leader="dot" w:pos="8306"/>
            </w:tabs>
            <w:spacing w:line="312" w:lineRule="auto"/>
            <w:rPr>
              <w:color w:val="auto"/>
            </w:rPr>
          </w:pPr>
          <w:r>
            <w:rPr>
              <w:color w:val="auto"/>
            </w:rPr>
            <w:fldChar w:fldCharType="begin"/>
          </w:r>
          <w:r>
            <w:rPr>
              <w:color w:val="auto"/>
            </w:rPr>
            <w:instrText xml:space="preserve"> HYPERLINK \l "_Toc10183" </w:instrText>
          </w:r>
          <w:r>
            <w:rPr>
              <w:color w:val="auto"/>
            </w:rPr>
            <w:fldChar w:fldCharType="separate"/>
          </w:r>
          <w:r>
            <w:rPr>
              <w:color w:val="auto"/>
            </w:rPr>
            <w:t>4</w:t>
          </w:r>
          <w:r>
            <w:rPr>
              <w:rFonts w:hint="eastAsia"/>
              <w:color w:val="auto"/>
            </w:rPr>
            <w:t>.</w:t>
          </w:r>
          <w:r>
            <w:rPr>
              <w:color w:val="auto"/>
            </w:rPr>
            <w:t>2</w:t>
          </w:r>
          <w:r>
            <w:rPr>
              <w:rFonts w:hint="eastAsia"/>
              <w:color w:val="auto"/>
            </w:rPr>
            <w:t xml:space="preserve">  连接材料</w:t>
          </w:r>
          <w:r>
            <w:rPr>
              <w:color w:val="auto"/>
            </w:rPr>
            <w:tab/>
          </w:r>
          <w:r>
            <w:rPr>
              <w:color w:val="auto"/>
            </w:rPr>
            <w:fldChar w:fldCharType="begin"/>
          </w:r>
          <w:r>
            <w:rPr>
              <w:color w:val="auto"/>
            </w:rPr>
            <w:instrText xml:space="preserve"> PAGEREF _Toc10183 \h </w:instrText>
          </w:r>
          <w:r>
            <w:rPr>
              <w:color w:val="auto"/>
            </w:rPr>
            <w:fldChar w:fldCharType="separate"/>
          </w:r>
          <w:r>
            <w:rPr>
              <w:color w:val="auto"/>
            </w:rPr>
            <w:t>11</w:t>
          </w:r>
          <w:r>
            <w:rPr>
              <w:color w:val="auto"/>
            </w:rPr>
            <w:fldChar w:fldCharType="end"/>
          </w:r>
          <w:r>
            <w:rPr>
              <w:color w:val="auto"/>
            </w:rPr>
            <w:fldChar w:fldCharType="end"/>
          </w:r>
        </w:p>
        <w:p w14:paraId="34EC1606">
          <w:pPr>
            <w:pStyle w:val="14"/>
            <w:tabs>
              <w:tab w:val="right" w:leader="dot" w:pos="8306"/>
            </w:tabs>
            <w:spacing w:line="312" w:lineRule="auto"/>
            <w:rPr>
              <w:color w:val="auto"/>
            </w:rPr>
          </w:pPr>
          <w:r>
            <w:rPr>
              <w:color w:val="auto"/>
            </w:rPr>
            <w:fldChar w:fldCharType="begin"/>
          </w:r>
          <w:r>
            <w:rPr>
              <w:color w:val="auto"/>
            </w:rPr>
            <w:instrText xml:space="preserve"> HYPERLINK \l "_Toc19923" </w:instrText>
          </w:r>
          <w:r>
            <w:rPr>
              <w:color w:val="auto"/>
            </w:rPr>
            <w:fldChar w:fldCharType="separate"/>
          </w:r>
          <w:r>
            <w:rPr>
              <w:color w:val="auto"/>
            </w:rPr>
            <w:t>4</w:t>
          </w:r>
          <w:r>
            <w:rPr>
              <w:rFonts w:hint="eastAsia"/>
              <w:color w:val="auto"/>
            </w:rPr>
            <w:t>.</w:t>
          </w:r>
          <w:r>
            <w:rPr>
              <w:color w:val="auto"/>
            </w:rPr>
            <w:t>3</w:t>
          </w:r>
          <w:r>
            <w:rPr>
              <w:rFonts w:hint="eastAsia"/>
              <w:color w:val="auto"/>
            </w:rPr>
            <w:t xml:space="preserve">  其他材料</w:t>
          </w:r>
          <w:r>
            <w:rPr>
              <w:color w:val="auto"/>
            </w:rPr>
            <w:tab/>
          </w:r>
          <w:r>
            <w:rPr>
              <w:color w:val="auto"/>
            </w:rPr>
            <w:fldChar w:fldCharType="begin"/>
          </w:r>
          <w:r>
            <w:rPr>
              <w:color w:val="auto"/>
            </w:rPr>
            <w:instrText xml:space="preserve"> PAGEREF _Toc19923 \h </w:instrText>
          </w:r>
          <w:r>
            <w:rPr>
              <w:color w:val="auto"/>
            </w:rPr>
            <w:fldChar w:fldCharType="separate"/>
          </w:r>
          <w:r>
            <w:rPr>
              <w:color w:val="auto"/>
            </w:rPr>
            <w:t>12</w:t>
          </w:r>
          <w:r>
            <w:rPr>
              <w:color w:val="auto"/>
            </w:rPr>
            <w:fldChar w:fldCharType="end"/>
          </w:r>
          <w:r>
            <w:rPr>
              <w:color w:val="auto"/>
            </w:rPr>
            <w:fldChar w:fldCharType="end"/>
          </w:r>
        </w:p>
        <w:p w14:paraId="447D9839">
          <w:pPr>
            <w:pStyle w:val="13"/>
            <w:tabs>
              <w:tab w:val="right" w:leader="dot" w:pos="8306"/>
            </w:tabs>
            <w:spacing w:line="312" w:lineRule="auto"/>
            <w:rPr>
              <w:color w:val="auto"/>
            </w:rPr>
          </w:pPr>
          <w:r>
            <w:rPr>
              <w:color w:val="auto"/>
            </w:rPr>
            <w:fldChar w:fldCharType="begin"/>
          </w:r>
          <w:r>
            <w:rPr>
              <w:color w:val="auto"/>
            </w:rPr>
            <w:instrText xml:space="preserve"> HYPERLINK \l "_Toc6149" </w:instrText>
          </w:r>
          <w:r>
            <w:rPr>
              <w:color w:val="auto"/>
            </w:rPr>
            <w:fldChar w:fldCharType="separate"/>
          </w:r>
          <w:r>
            <w:rPr>
              <w:bCs/>
              <w:color w:val="auto"/>
            </w:rPr>
            <w:t>5</w:t>
          </w:r>
          <w:r>
            <w:rPr>
              <w:rFonts w:hint="eastAsia"/>
              <w:color w:val="auto"/>
            </w:rPr>
            <w:t xml:space="preserve">  建筑设计</w:t>
          </w:r>
          <w:r>
            <w:rPr>
              <w:color w:val="auto"/>
            </w:rPr>
            <w:tab/>
          </w:r>
          <w:r>
            <w:rPr>
              <w:color w:val="auto"/>
            </w:rPr>
            <w:fldChar w:fldCharType="begin"/>
          </w:r>
          <w:r>
            <w:rPr>
              <w:color w:val="auto"/>
            </w:rPr>
            <w:instrText xml:space="preserve"> PAGEREF _Toc6149 \h </w:instrText>
          </w:r>
          <w:r>
            <w:rPr>
              <w:color w:val="auto"/>
            </w:rPr>
            <w:fldChar w:fldCharType="separate"/>
          </w:r>
          <w:r>
            <w:rPr>
              <w:color w:val="auto"/>
            </w:rPr>
            <w:t>13</w:t>
          </w:r>
          <w:r>
            <w:rPr>
              <w:color w:val="auto"/>
            </w:rPr>
            <w:fldChar w:fldCharType="end"/>
          </w:r>
          <w:r>
            <w:rPr>
              <w:color w:val="auto"/>
            </w:rPr>
            <w:fldChar w:fldCharType="end"/>
          </w:r>
        </w:p>
        <w:p w14:paraId="49D5DD29">
          <w:pPr>
            <w:pStyle w:val="14"/>
            <w:tabs>
              <w:tab w:val="right" w:leader="dot" w:pos="8306"/>
            </w:tabs>
            <w:spacing w:line="312" w:lineRule="auto"/>
            <w:rPr>
              <w:color w:val="auto"/>
            </w:rPr>
          </w:pPr>
          <w:r>
            <w:rPr>
              <w:color w:val="auto"/>
            </w:rPr>
            <w:fldChar w:fldCharType="begin"/>
          </w:r>
          <w:r>
            <w:rPr>
              <w:color w:val="auto"/>
            </w:rPr>
            <w:instrText xml:space="preserve"> HYPERLINK \l "_Toc26334" </w:instrText>
          </w:r>
          <w:r>
            <w:rPr>
              <w:color w:val="auto"/>
            </w:rPr>
            <w:fldChar w:fldCharType="separate"/>
          </w:r>
          <w:r>
            <w:rPr>
              <w:color w:val="auto"/>
            </w:rPr>
            <w:t>5</w:t>
          </w:r>
          <w:r>
            <w:rPr>
              <w:rFonts w:hint="eastAsia"/>
              <w:color w:val="auto"/>
            </w:rPr>
            <w:t>.</w:t>
          </w:r>
          <w:r>
            <w:rPr>
              <w:color w:val="auto"/>
            </w:rPr>
            <w:t>1</w:t>
          </w:r>
          <w:r>
            <w:rPr>
              <w:rFonts w:hint="eastAsia"/>
              <w:color w:val="auto"/>
            </w:rPr>
            <w:t xml:space="preserve">  一般规定</w:t>
          </w:r>
          <w:r>
            <w:rPr>
              <w:color w:val="auto"/>
            </w:rPr>
            <w:tab/>
          </w:r>
          <w:r>
            <w:rPr>
              <w:color w:val="auto"/>
            </w:rPr>
            <w:fldChar w:fldCharType="begin"/>
          </w:r>
          <w:r>
            <w:rPr>
              <w:color w:val="auto"/>
            </w:rPr>
            <w:instrText xml:space="preserve"> PAGEREF _Toc26334 \h </w:instrText>
          </w:r>
          <w:r>
            <w:rPr>
              <w:color w:val="auto"/>
            </w:rPr>
            <w:fldChar w:fldCharType="separate"/>
          </w:r>
          <w:r>
            <w:rPr>
              <w:color w:val="auto"/>
            </w:rPr>
            <w:t>13</w:t>
          </w:r>
          <w:r>
            <w:rPr>
              <w:color w:val="auto"/>
            </w:rPr>
            <w:fldChar w:fldCharType="end"/>
          </w:r>
          <w:r>
            <w:rPr>
              <w:color w:val="auto"/>
            </w:rPr>
            <w:fldChar w:fldCharType="end"/>
          </w:r>
        </w:p>
        <w:p w14:paraId="06E120EC">
          <w:pPr>
            <w:pStyle w:val="14"/>
            <w:tabs>
              <w:tab w:val="right" w:leader="dot" w:pos="8306"/>
            </w:tabs>
            <w:spacing w:line="312" w:lineRule="auto"/>
            <w:rPr>
              <w:color w:val="auto"/>
            </w:rPr>
          </w:pPr>
          <w:r>
            <w:rPr>
              <w:color w:val="auto"/>
            </w:rPr>
            <w:fldChar w:fldCharType="begin"/>
          </w:r>
          <w:r>
            <w:rPr>
              <w:color w:val="auto"/>
            </w:rPr>
            <w:instrText xml:space="preserve"> HYPERLINK \l "_Toc2744" </w:instrText>
          </w:r>
          <w:r>
            <w:rPr>
              <w:color w:val="auto"/>
            </w:rPr>
            <w:fldChar w:fldCharType="separate"/>
          </w:r>
          <w:r>
            <w:rPr>
              <w:color w:val="auto"/>
            </w:rPr>
            <w:t>5</w:t>
          </w:r>
          <w:r>
            <w:rPr>
              <w:rFonts w:hint="eastAsia"/>
              <w:color w:val="auto"/>
            </w:rPr>
            <w:t>.</w:t>
          </w:r>
          <w:r>
            <w:rPr>
              <w:color w:val="auto"/>
            </w:rPr>
            <w:t>2</w:t>
          </w:r>
          <w:r>
            <w:rPr>
              <w:rFonts w:hint="eastAsia"/>
              <w:color w:val="auto"/>
            </w:rPr>
            <w:t xml:space="preserve">  模数协调</w:t>
          </w:r>
          <w:r>
            <w:rPr>
              <w:color w:val="auto"/>
            </w:rPr>
            <w:tab/>
          </w:r>
          <w:r>
            <w:rPr>
              <w:color w:val="auto"/>
            </w:rPr>
            <w:fldChar w:fldCharType="begin"/>
          </w:r>
          <w:r>
            <w:rPr>
              <w:color w:val="auto"/>
            </w:rPr>
            <w:instrText xml:space="preserve"> PAGEREF _Toc2744 \h </w:instrText>
          </w:r>
          <w:r>
            <w:rPr>
              <w:color w:val="auto"/>
            </w:rPr>
            <w:fldChar w:fldCharType="separate"/>
          </w:r>
          <w:r>
            <w:rPr>
              <w:color w:val="auto"/>
            </w:rPr>
            <w:t>14</w:t>
          </w:r>
          <w:r>
            <w:rPr>
              <w:color w:val="auto"/>
            </w:rPr>
            <w:fldChar w:fldCharType="end"/>
          </w:r>
          <w:r>
            <w:rPr>
              <w:color w:val="auto"/>
            </w:rPr>
            <w:fldChar w:fldCharType="end"/>
          </w:r>
        </w:p>
        <w:p w14:paraId="5C7BD115">
          <w:pPr>
            <w:pStyle w:val="14"/>
            <w:tabs>
              <w:tab w:val="right" w:leader="dot" w:pos="8306"/>
            </w:tabs>
            <w:spacing w:line="312" w:lineRule="auto"/>
            <w:rPr>
              <w:color w:val="auto"/>
            </w:rPr>
          </w:pPr>
          <w:r>
            <w:rPr>
              <w:color w:val="auto"/>
            </w:rPr>
            <w:fldChar w:fldCharType="begin"/>
          </w:r>
          <w:r>
            <w:rPr>
              <w:color w:val="auto"/>
            </w:rPr>
            <w:instrText xml:space="preserve"> HYPERLINK \l "_Toc25580" </w:instrText>
          </w:r>
          <w:r>
            <w:rPr>
              <w:color w:val="auto"/>
            </w:rPr>
            <w:fldChar w:fldCharType="separate"/>
          </w:r>
          <w:r>
            <w:rPr>
              <w:color w:val="auto"/>
            </w:rPr>
            <w:t>5</w:t>
          </w:r>
          <w:r>
            <w:rPr>
              <w:rFonts w:hint="eastAsia"/>
              <w:color w:val="auto"/>
            </w:rPr>
            <w:t>.</w:t>
          </w:r>
          <w:r>
            <w:rPr>
              <w:color w:val="auto"/>
            </w:rPr>
            <w:t>3</w:t>
          </w:r>
          <w:r>
            <w:rPr>
              <w:rFonts w:hint="eastAsia"/>
              <w:color w:val="auto"/>
            </w:rPr>
            <w:t xml:space="preserve">  平面、立面设计</w:t>
          </w:r>
          <w:r>
            <w:rPr>
              <w:color w:val="auto"/>
            </w:rPr>
            <w:tab/>
          </w:r>
          <w:r>
            <w:rPr>
              <w:color w:val="auto"/>
            </w:rPr>
            <w:fldChar w:fldCharType="begin"/>
          </w:r>
          <w:r>
            <w:rPr>
              <w:color w:val="auto"/>
            </w:rPr>
            <w:instrText xml:space="preserve"> PAGEREF _Toc25580 \h </w:instrText>
          </w:r>
          <w:r>
            <w:rPr>
              <w:color w:val="auto"/>
            </w:rPr>
            <w:fldChar w:fldCharType="separate"/>
          </w:r>
          <w:r>
            <w:rPr>
              <w:color w:val="auto"/>
            </w:rPr>
            <w:t>16</w:t>
          </w:r>
          <w:r>
            <w:rPr>
              <w:color w:val="auto"/>
            </w:rPr>
            <w:fldChar w:fldCharType="end"/>
          </w:r>
          <w:r>
            <w:rPr>
              <w:color w:val="auto"/>
            </w:rPr>
            <w:fldChar w:fldCharType="end"/>
          </w:r>
        </w:p>
        <w:p w14:paraId="37E65B46">
          <w:pPr>
            <w:pStyle w:val="14"/>
            <w:tabs>
              <w:tab w:val="right" w:leader="dot" w:pos="8306"/>
            </w:tabs>
            <w:spacing w:line="312" w:lineRule="auto"/>
            <w:rPr>
              <w:color w:val="auto"/>
            </w:rPr>
          </w:pPr>
          <w:r>
            <w:rPr>
              <w:color w:val="auto"/>
            </w:rPr>
            <w:fldChar w:fldCharType="begin"/>
          </w:r>
          <w:r>
            <w:rPr>
              <w:color w:val="auto"/>
            </w:rPr>
            <w:instrText xml:space="preserve"> HYPERLINK \l "_Toc26682" </w:instrText>
          </w:r>
          <w:r>
            <w:rPr>
              <w:color w:val="auto"/>
            </w:rPr>
            <w:fldChar w:fldCharType="separate"/>
          </w:r>
          <w:r>
            <w:rPr>
              <w:color w:val="auto"/>
            </w:rPr>
            <w:t>5</w:t>
          </w:r>
          <w:r>
            <w:rPr>
              <w:rFonts w:hint="eastAsia"/>
              <w:color w:val="auto"/>
            </w:rPr>
            <w:t>.</w:t>
          </w:r>
          <w:r>
            <w:rPr>
              <w:color w:val="auto"/>
            </w:rPr>
            <w:t>4</w:t>
          </w:r>
          <w:r>
            <w:rPr>
              <w:rFonts w:hint="eastAsia"/>
              <w:color w:val="auto"/>
            </w:rPr>
            <w:t xml:space="preserve">  外围护系统</w:t>
          </w:r>
          <w:r>
            <w:rPr>
              <w:color w:val="auto"/>
            </w:rPr>
            <w:tab/>
          </w:r>
          <w:r>
            <w:rPr>
              <w:color w:val="auto"/>
            </w:rPr>
            <w:fldChar w:fldCharType="begin"/>
          </w:r>
          <w:r>
            <w:rPr>
              <w:color w:val="auto"/>
            </w:rPr>
            <w:instrText xml:space="preserve"> PAGEREF _Toc26682 \h </w:instrText>
          </w:r>
          <w:r>
            <w:rPr>
              <w:color w:val="auto"/>
            </w:rPr>
            <w:fldChar w:fldCharType="separate"/>
          </w:r>
          <w:r>
            <w:rPr>
              <w:color w:val="auto"/>
            </w:rPr>
            <w:t>18</w:t>
          </w:r>
          <w:r>
            <w:rPr>
              <w:color w:val="auto"/>
            </w:rPr>
            <w:fldChar w:fldCharType="end"/>
          </w:r>
          <w:r>
            <w:rPr>
              <w:color w:val="auto"/>
            </w:rPr>
            <w:fldChar w:fldCharType="end"/>
          </w:r>
        </w:p>
        <w:p w14:paraId="1D0E7FAC">
          <w:pPr>
            <w:pStyle w:val="13"/>
            <w:tabs>
              <w:tab w:val="right" w:leader="dot" w:pos="8306"/>
            </w:tabs>
            <w:spacing w:line="312" w:lineRule="auto"/>
            <w:rPr>
              <w:color w:val="auto"/>
            </w:rPr>
          </w:pPr>
          <w:r>
            <w:rPr>
              <w:color w:val="auto"/>
            </w:rPr>
            <w:fldChar w:fldCharType="begin"/>
          </w:r>
          <w:r>
            <w:rPr>
              <w:color w:val="auto"/>
            </w:rPr>
            <w:instrText xml:space="preserve"> HYPERLINK \l "_Toc20737" </w:instrText>
          </w:r>
          <w:r>
            <w:rPr>
              <w:color w:val="auto"/>
            </w:rPr>
            <w:fldChar w:fldCharType="separate"/>
          </w:r>
          <w:r>
            <w:rPr>
              <w:bCs/>
              <w:color w:val="auto"/>
            </w:rPr>
            <w:t>6</w:t>
          </w:r>
          <w:r>
            <w:rPr>
              <w:rFonts w:hint="eastAsia"/>
              <w:color w:val="auto"/>
            </w:rPr>
            <w:t xml:space="preserve">  </w:t>
          </w:r>
          <w:r>
            <w:rPr>
              <w:rFonts w:hint="eastAsia"/>
              <w:bCs/>
              <w:color w:val="auto"/>
            </w:rPr>
            <w:t>结构设计</w:t>
          </w:r>
          <w:r>
            <w:rPr>
              <w:color w:val="auto"/>
            </w:rPr>
            <w:tab/>
          </w:r>
          <w:r>
            <w:rPr>
              <w:color w:val="auto"/>
            </w:rPr>
            <w:fldChar w:fldCharType="begin"/>
          </w:r>
          <w:r>
            <w:rPr>
              <w:color w:val="auto"/>
            </w:rPr>
            <w:instrText xml:space="preserve"> PAGEREF _Toc20737 \h </w:instrText>
          </w:r>
          <w:r>
            <w:rPr>
              <w:color w:val="auto"/>
            </w:rPr>
            <w:fldChar w:fldCharType="separate"/>
          </w:r>
          <w:r>
            <w:rPr>
              <w:color w:val="auto"/>
            </w:rPr>
            <w:t>21</w:t>
          </w:r>
          <w:r>
            <w:rPr>
              <w:color w:val="auto"/>
            </w:rPr>
            <w:fldChar w:fldCharType="end"/>
          </w:r>
          <w:r>
            <w:rPr>
              <w:color w:val="auto"/>
            </w:rPr>
            <w:fldChar w:fldCharType="end"/>
          </w:r>
        </w:p>
        <w:p w14:paraId="6B4CA752">
          <w:pPr>
            <w:pStyle w:val="14"/>
            <w:tabs>
              <w:tab w:val="right" w:leader="dot" w:pos="8306"/>
            </w:tabs>
            <w:spacing w:line="312" w:lineRule="auto"/>
            <w:rPr>
              <w:color w:val="auto"/>
            </w:rPr>
          </w:pPr>
          <w:r>
            <w:rPr>
              <w:color w:val="auto"/>
            </w:rPr>
            <w:fldChar w:fldCharType="begin"/>
          </w:r>
          <w:r>
            <w:rPr>
              <w:color w:val="auto"/>
            </w:rPr>
            <w:instrText xml:space="preserve"> HYPERLINK \l "_Toc1353" </w:instrText>
          </w:r>
          <w:r>
            <w:rPr>
              <w:color w:val="auto"/>
            </w:rPr>
            <w:fldChar w:fldCharType="separate"/>
          </w:r>
          <w:r>
            <w:rPr>
              <w:color w:val="auto"/>
            </w:rPr>
            <w:t>6</w:t>
          </w:r>
          <w:r>
            <w:rPr>
              <w:rFonts w:hint="eastAsia"/>
              <w:color w:val="auto"/>
            </w:rPr>
            <w:t>.</w:t>
          </w:r>
          <w:r>
            <w:rPr>
              <w:color w:val="auto"/>
            </w:rPr>
            <w:t>1</w:t>
          </w:r>
          <w:r>
            <w:rPr>
              <w:rFonts w:hint="eastAsia"/>
              <w:color w:val="auto"/>
            </w:rPr>
            <w:t xml:space="preserve">  一般规定</w:t>
          </w:r>
          <w:r>
            <w:rPr>
              <w:color w:val="auto"/>
            </w:rPr>
            <w:tab/>
          </w:r>
          <w:r>
            <w:rPr>
              <w:color w:val="auto"/>
            </w:rPr>
            <w:fldChar w:fldCharType="begin"/>
          </w:r>
          <w:r>
            <w:rPr>
              <w:color w:val="auto"/>
            </w:rPr>
            <w:instrText xml:space="preserve"> PAGEREF _Toc1353 \h </w:instrText>
          </w:r>
          <w:r>
            <w:rPr>
              <w:color w:val="auto"/>
            </w:rPr>
            <w:fldChar w:fldCharType="separate"/>
          </w:r>
          <w:r>
            <w:rPr>
              <w:color w:val="auto"/>
            </w:rPr>
            <w:t>21</w:t>
          </w:r>
          <w:r>
            <w:rPr>
              <w:color w:val="auto"/>
            </w:rPr>
            <w:fldChar w:fldCharType="end"/>
          </w:r>
          <w:r>
            <w:rPr>
              <w:color w:val="auto"/>
            </w:rPr>
            <w:fldChar w:fldCharType="end"/>
          </w:r>
        </w:p>
        <w:p w14:paraId="0F93FCC0">
          <w:pPr>
            <w:pStyle w:val="14"/>
            <w:tabs>
              <w:tab w:val="right" w:leader="dot" w:pos="8306"/>
            </w:tabs>
            <w:spacing w:line="312" w:lineRule="auto"/>
            <w:rPr>
              <w:color w:val="auto"/>
            </w:rPr>
          </w:pPr>
          <w:r>
            <w:rPr>
              <w:color w:val="auto"/>
            </w:rPr>
            <w:fldChar w:fldCharType="begin"/>
          </w:r>
          <w:r>
            <w:rPr>
              <w:color w:val="auto"/>
            </w:rPr>
            <w:instrText xml:space="preserve"> HYPERLINK \l "_Toc28035" </w:instrText>
          </w:r>
          <w:r>
            <w:rPr>
              <w:color w:val="auto"/>
            </w:rPr>
            <w:fldChar w:fldCharType="separate"/>
          </w:r>
          <w:r>
            <w:rPr>
              <w:color w:val="auto"/>
            </w:rPr>
            <w:t>6</w:t>
          </w:r>
          <w:r>
            <w:rPr>
              <w:rFonts w:hint="eastAsia"/>
              <w:color w:val="auto"/>
            </w:rPr>
            <w:t>.</w:t>
          </w:r>
          <w:r>
            <w:rPr>
              <w:color w:val="auto"/>
            </w:rPr>
            <w:t>2</w:t>
          </w:r>
          <w:r>
            <w:rPr>
              <w:rFonts w:hint="eastAsia"/>
              <w:color w:val="auto"/>
            </w:rPr>
            <w:t xml:space="preserve">  结构体系</w:t>
          </w:r>
          <w:r>
            <w:rPr>
              <w:color w:val="auto"/>
            </w:rPr>
            <w:tab/>
          </w:r>
          <w:r>
            <w:rPr>
              <w:color w:val="auto"/>
            </w:rPr>
            <w:fldChar w:fldCharType="begin"/>
          </w:r>
          <w:r>
            <w:rPr>
              <w:color w:val="auto"/>
            </w:rPr>
            <w:instrText xml:space="preserve"> PAGEREF _Toc28035 \h </w:instrText>
          </w:r>
          <w:r>
            <w:rPr>
              <w:color w:val="auto"/>
            </w:rPr>
            <w:fldChar w:fldCharType="separate"/>
          </w:r>
          <w:r>
            <w:rPr>
              <w:color w:val="auto"/>
            </w:rPr>
            <w:t>24</w:t>
          </w:r>
          <w:r>
            <w:rPr>
              <w:color w:val="auto"/>
            </w:rPr>
            <w:fldChar w:fldCharType="end"/>
          </w:r>
          <w:r>
            <w:rPr>
              <w:color w:val="auto"/>
            </w:rPr>
            <w:fldChar w:fldCharType="end"/>
          </w:r>
        </w:p>
        <w:p w14:paraId="41117600">
          <w:pPr>
            <w:pStyle w:val="14"/>
            <w:tabs>
              <w:tab w:val="right" w:leader="dot" w:pos="8306"/>
            </w:tabs>
            <w:spacing w:line="312" w:lineRule="auto"/>
            <w:rPr>
              <w:color w:val="auto"/>
            </w:rPr>
          </w:pPr>
          <w:r>
            <w:rPr>
              <w:color w:val="auto"/>
            </w:rPr>
            <w:fldChar w:fldCharType="begin"/>
          </w:r>
          <w:r>
            <w:rPr>
              <w:color w:val="auto"/>
            </w:rPr>
            <w:instrText xml:space="preserve"> HYPERLINK \l "_Toc29394" </w:instrText>
          </w:r>
          <w:r>
            <w:rPr>
              <w:color w:val="auto"/>
            </w:rPr>
            <w:fldChar w:fldCharType="separate"/>
          </w:r>
          <w:r>
            <w:rPr>
              <w:color w:val="auto"/>
            </w:rPr>
            <w:t>6</w:t>
          </w:r>
          <w:r>
            <w:rPr>
              <w:rFonts w:hint="eastAsia"/>
              <w:color w:val="auto"/>
            </w:rPr>
            <w:t>.</w:t>
          </w:r>
          <w:r>
            <w:rPr>
              <w:color w:val="auto"/>
            </w:rPr>
            <w:t>3  结构布置</w:t>
          </w:r>
          <w:r>
            <w:rPr>
              <w:color w:val="auto"/>
            </w:rPr>
            <w:tab/>
          </w:r>
          <w:r>
            <w:rPr>
              <w:color w:val="auto"/>
            </w:rPr>
            <w:fldChar w:fldCharType="begin"/>
          </w:r>
          <w:r>
            <w:rPr>
              <w:color w:val="auto"/>
            </w:rPr>
            <w:instrText xml:space="preserve"> PAGEREF _Toc29394 \h </w:instrText>
          </w:r>
          <w:r>
            <w:rPr>
              <w:color w:val="auto"/>
            </w:rPr>
            <w:fldChar w:fldCharType="separate"/>
          </w:r>
          <w:r>
            <w:rPr>
              <w:color w:val="auto"/>
            </w:rPr>
            <w:t>32</w:t>
          </w:r>
          <w:r>
            <w:rPr>
              <w:color w:val="auto"/>
            </w:rPr>
            <w:fldChar w:fldCharType="end"/>
          </w:r>
          <w:r>
            <w:rPr>
              <w:color w:val="auto"/>
            </w:rPr>
            <w:fldChar w:fldCharType="end"/>
          </w:r>
        </w:p>
        <w:p w14:paraId="45DDDE40">
          <w:pPr>
            <w:pStyle w:val="14"/>
            <w:tabs>
              <w:tab w:val="right" w:leader="dot" w:pos="8306"/>
            </w:tabs>
            <w:spacing w:line="312" w:lineRule="auto"/>
            <w:rPr>
              <w:color w:val="auto"/>
            </w:rPr>
          </w:pPr>
          <w:r>
            <w:rPr>
              <w:color w:val="auto"/>
            </w:rPr>
            <w:fldChar w:fldCharType="begin"/>
          </w:r>
          <w:r>
            <w:rPr>
              <w:color w:val="auto"/>
            </w:rPr>
            <w:instrText xml:space="preserve"> HYPERLINK \l "_Toc353" </w:instrText>
          </w:r>
          <w:r>
            <w:rPr>
              <w:color w:val="auto"/>
            </w:rPr>
            <w:fldChar w:fldCharType="separate"/>
          </w:r>
          <w:r>
            <w:rPr>
              <w:color w:val="auto"/>
            </w:rPr>
            <w:t xml:space="preserve">6.4  </w:t>
          </w:r>
          <w:r>
            <w:rPr>
              <w:rFonts w:hint="eastAsia"/>
              <w:color w:val="auto"/>
            </w:rPr>
            <w:t>结构分析</w:t>
          </w:r>
          <w:r>
            <w:rPr>
              <w:color w:val="auto"/>
            </w:rPr>
            <w:tab/>
          </w:r>
          <w:r>
            <w:rPr>
              <w:color w:val="auto"/>
            </w:rPr>
            <w:fldChar w:fldCharType="begin"/>
          </w:r>
          <w:r>
            <w:rPr>
              <w:color w:val="auto"/>
            </w:rPr>
            <w:instrText xml:space="preserve"> PAGEREF _Toc353 \h </w:instrText>
          </w:r>
          <w:r>
            <w:rPr>
              <w:color w:val="auto"/>
            </w:rPr>
            <w:fldChar w:fldCharType="separate"/>
          </w:r>
          <w:r>
            <w:rPr>
              <w:color w:val="auto"/>
            </w:rPr>
            <w:t>33</w:t>
          </w:r>
          <w:r>
            <w:rPr>
              <w:color w:val="auto"/>
            </w:rPr>
            <w:fldChar w:fldCharType="end"/>
          </w:r>
          <w:r>
            <w:rPr>
              <w:color w:val="auto"/>
            </w:rPr>
            <w:fldChar w:fldCharType="end"/>
          </w:r>
        </w:p>
        <w:p w14:paraId="5E78C535">
          <w:pPr>
            <w:pStyle w:val="13"/>
            <w:tabs>
              <w:tab w:val="right" w:leader="dot" w:pos="8306"/>
            </w:tabs>
            <w:spacing w:line="312" w:lineRule="auto"/>
            <w:rPr>
              <w:color w:val="auto"/>
            </w:rPr>
          </w:pPr>
          <w:r>
            <w:rPr>
              <w:color w:val="auto"/>
            </w:rPr>
            <w:fldChar w:fldCharType="begin"/>
          </w:r>
          <w:r>
            <w:rPr>
              <w:color w:val="auto"/>
            </w:rPr>
            <w:instrText xml:space="preserve"> HYPERLINK \l "_Toc12524" </w:instrText>
          </w:r>
          <w:r>
            <w:rPr>
              <w:color w:val="auto"/>
            </w:rPr>
            <w:fldChar w:fldCharType="separate"/>
          </w:r>
          <w:r>
            <w:rPr>
              <w:bCs/>
              <w:color w:val="auto"/>
            </w:rPr>
            <w:t>7</w:t>
          </w:r>
          <w:r>
            <w:rPr>
              <w:rFonts w:hint="eastAsia"/>
              <w:color w:val="auto"/>
            </w:rPr>
            <w:t xml:space="preserve">  </w:t>
          </w:r>
          <w:r>
            <w:rPr>
              <w:rFonts w:hint="eastAsia"/>
              <w:bCs/>
              <w:color w:val="auto"/>
            </w:rPr>
            <w:t>模块单元设计</w:t>
          </w:r>
          <w:r>
            <w:rPr>
              <w:color w:val="auto"/>
            </w:rPr>
            <w:tab/>
          </w:r>
          <w:r>
            <w:rPr>
              <w:color w:val="auto"/>
            </w:rPr>
            <w:fldChar w:fldCharType="begin"/>
          </w:r>
          <w:r>
            <w:rPr>
              <w:color w:val="auto"/>
            </w:rPr>
            <w:instrText xml:space="preserve"> PAGEREF _Toc12524 \h </w:instrText>
          </w:r>
          <w:r>
            <w:rPr>
              <w:color w:val="auto"/>
            </w:rPr>
            <w:fldChar w:fldCharType="separate"/>
          </w:r>
          <w:r>
            <w:rPr>
              <w:color w:val="auto"/>
            </w:rPr>
            <w:t>38</w:t>
          </w:r>
          <w:r>
            <w:rPr>
              <w:color w:val="auto"/>
            </w:rPr>
            <w:fldChar w:fldCharType="end"/>
          </w:r>
          <w:r>
            <w:rPr>
              <w:color w:val="auto"/>
            </w:rPr>
            <w:fldChar w:fldCharType="end"/>
          </w:r>
        </w:p>
        <w:p w14:paraId="6FBED2C8">
          <w:pPr>
            <w:pStyle w:val="14"/>
            <w:tabs>
              <w:tab w:val="right" w:leader="dot" w:pos="8306"/>
            </w:tabs>
            <w:spacing w:line="312" w:lineRule="auto"/>
            <w:rPr>
              <w:color w:val="auto"/>
            </w:rPr>
          </w:pPr>
          <w:r>
            <w:rPr>
              <w:color w:val="auto"/>
            </w:rPr>
            <w:fldChar w:fldCharType="begin"/>
          </w:r>
          <w:r>
            <w:rPr>
              <w:color w:val="auto"/>
            </w:rPr>
            <w:instrText xml:space="preserve"> HYPERLINK \l "_Toc1754" </w:instrText>
          </w:r>
          <w:r>
            <w:rPr>
              <w:color w:val="auto"/>
            </w:rPr>
            <w:fldChar w:fldCharType="separate"/>
          </w:r>
          <w:r>
            <w:rPr>
              <w:color w:val="auto"/>
            </w:rPr>
            <w:t>7</w:t>
          </w:r>
          <w:r>
            <w:rPr>
              <w:rFonts w:hint="eastAsia"/>
              <w:color w:val="auto"/>
            </w:rPr>
            <w:t>.</w:t>
          </w:r>
          <w:r>
            <w:rPr>
              <w:color w:val="auto"/>
            </w:rPr>
            <w:t>1</w:t>
          </w:r>
          <w:r>
            <w:rPr>
              <w:rFonts w:hint="eastAsia"/>
              <w:color w:val="auto"/>
            </w:rPr>
            <w:t xml:space="preserve">  一般规定</w:t>
          </w:r>
          <w:r>
            <w:rPr>
              <w:color w:val="auto"/>
            </w:rPr>
            <w:tab/>
          </w:r>
          <w:r>
            <w:rPr>
              <w:color w:val="auto"/>
            </w:rPr>
            <w:fldChar w:fldCharType="begin"/>
          </w:r>
          <w:r>
            <w:rPr>
              <w:color w:val="auto"/>
            </w:rPr>
            <w:instrText xml:space="preserve"> PAGEREF _Toc1754 \h </w:instrText>
          </w:r>
          <w:r>
            <w:rPr>
              <w:color w:val="auto"/>
            </w:rPr>
            <w:fldChar w:fldCharType="separate"/>
          </w:r>
          <w:r>
            <w:rPr>
              <w:color w:val="auto"/>
            </w:rPr>
            <w:t>38</w:t>
          </w:r>
          <w:r>
            <w:rPr>
              <w:color w:val="auto"/>
            </w:rPr>
            <w:fldChar w:fldCharType="end"/>
          </w:r>
          <w:r>
            <w:rPr>
              <w:color w:val="auto"/>
            </w:rPr>
            <w:fldChar w:fldCharType="end"/>
          </w:r>
        </w:p>
        <w:p w14:paraId="103B90CE">
          <w:pPr>
            <w:pStyle w:val="14"/>
            <w:tabs>
              <w:tab w:val="right" w:leader="dot" w:pos="8306"/>
            </w:tabs>
            <w:spacing w:line="312" w:lineRule="auto"/>
            <w:rPr>
              <w:color w:val="auto"/>
            </w:rPr>
          </w:pPr>
          <w:r>
            <w:rPr>
              <w:color w:val="auto"/>
            </w:rPr>
            <w:fldChar w:fldCharType="begin"/>
          </w:r>
          <w:r>
            <w:rPr>
              <w:color w:val="auto"/>
            </w:rPr>
            <w:instrText xml:space="preserve"> HYPERLINK \l "_Toc2991" </w:instrText>
          </w:r>
          <w:r>
            <w:rPr>
              <w:color w:val="auto"/>
            </w:rPr>
            <w:fldChar w:fldCharType="separate"/>
          </w:r>
          <w:r>
            <w:rPr>
              <w:color w:val="auto"/>
            </w:rPr>
            <w:t>7</w:t>
          </w:r>
          <w:r>
            <w:rPr>
              <w:rFonts w:hint="eastAsia"/>
              <w:color w:val="auto"/>
            </w:rPr>
            <w:t>.</w:t>
          </w:r>
          <w:r>
            <w:rPr>
              <w:color w:val="auto"/>
            </w:rPr>
            <w:t>2</w:t>
          </w:r>
          <w:r>
            <w:rPr>
              <w:rFonts w:hint="eastAsia"/>
              <w:color w:val="auto"/>
            </w:rPr>
            <w:t xml:space="preserve">  短暂设计状况的验算</w:t>
          </w:r>
          <w:r>
            <w:rPr>
              <w:color w:val="auto"/>
            </w:rPr>
            <w:tab/>
          </w:r>
          <w:r>
            <w:rPr>
              <w:color w:val="auto"/>
            </w:rPr>
            <w:fldChar w:fldCharType="begin"/>
          </w:r>
          <w:r>
            <w:rPr>
              <w:color w:val="auto"/>
            </w:rPr>
            <w:instrText xml:space="preserve"> PAGEREF _Toc2991 \h </w:instrText>
          </w:r>
          <w:r>
            <w:rPr>
              <w:color w:val="auto"/>
            </w:rPr>
            <w:fldChar w:fldCharType="separate"/>
          </w:r>
          <w:r>
            <w:rPr>
              <w:color w:val="auto"/>
            </w:rPr>
            <w:t>38</w:t>
          </w:r>
          <w:r>
            <w:rPr>
              <w:color w:val="auto"/>
            </w:rPr>
            <w:fldChar w:fldCharType="end"/>
          </w:r>
          <w:r>
            <w:rPr>
              <w:color w:val="auto"/>
            </w:rPr>
            <w:fldChar w:fldCharType="end"/>
          </w:r>
        </w:p>
        <w:p w14:paraId="1C865EDA">
          <w:pPr>
            <w:pStyle w:val="14"/>
            <w:tabs>
              <w:tab w:val="right" w:leader="dot" w:pos="8306"/>
            </w:tabs>
            <w:spacing w:line="312" w:lineRule="auto"/>
            <w:rPr>
              <w:color w:val="auto"/>
            </w:rPr>
          </w:pPr>
          <w:r>
            <w:rPr>
              <w:color w:val="auto"/>
            </w:rPr>
            <w:fldChar w:fldCharType="begin"/>
          </w:r>
          <w:r>
            <w:rPr>
              <w:color w:val="auto"/>
            </w:rPr>
            <w:instrText xml:space="preserve"> HYPERLINK \l "_Toc4120" </w:instrText>
          </w:r>
          <w:r>
            <w:rPr>
              <w:color w:val="auto"/>
            </w:rPr>
            <w:fldChar w:fldCharType="separate"/>
          </w:r>
          <w:r>
            <w:rPr>
              <w:color w:val="auto"/>
            </w:rPr>
            <w:t>7</w:t>
          </w:r>
          <w:r>
            <w:rPr>
              <w:rFonts w:hint="eastAsia"/>
              <w:color w:val="auto"/>
            </w:rPr>
            <w:t>.</w:t>
          </w:r>
          <w:r>
            <w:rPr>
              <w:color w:val="auto"/>
            </w:rPr>
            <w:t>3</w:t>
          </w:r>
          <w:r>
            <w:rPr>
              <w:rFonts w:hint="eastAsia"/>
              <w:color w:val="auto"/>
            </w:rPr>
            <w:t xml:space="preserve">  构造要求</w:t>
          </w:r>
          <w:r>
            <w:rPr>
              <w:color w:val="auto"/>
            </w:rPr>
            <w:tab/>
          </w:r>
          <w:r>
            <w:rPr>
              <w:color w:val="auto"/>
            </w:rPr>
            <w:fldChar w:fldCharType="begin"/>
          </w:r>
          <w:r>
            <w:rPr>
              <w:color w:val="auto"/>
            </w:rPr>
            <w:instrText xml:space="preserve"> PAGEREF _Toc4120 \h </w:instrText>
          </w:r>
          <w:r>
            <w:rPr>
              <w:color w:val="auto"/>
            </w:rPr>
            <w:fldChar w:fldCharType="separate"/>
          </w:r>
          <w:r>
            <w:rPr>
              <w:color w:val="auto"/>
            </w:rPr>
            <w:t>42</w:t>
          </w:r>
          <w:r>
            <w:rPr>
              <w:color w:val="auto"/>
            </w:rPr>
            <w:fldChar w:fldCharType="end"/>
          </w:r>
          <w:r>
            <w:rPr>
              <w:color w:val="auto"/>
            </w:rPr>
            <w:fldChar w:fldCharType="end"/>
          </w:r>
        </w:p>
        <w:p w14:paraId="3D1AE14E">
          <w:pPr>
            <w:pStyle w:val="13"/>
            <w:tabs>
              <w:tab w:val="right" w:leader="dot" w:pos="8306"/>
            </w:tabs>
            <w:spacing w:line="312" w:lineRule="auto"/>
            <w:rPr>
              <w:color w:val="auto"/>
            </w:rPr>
          </w:pPr>
          <w:r>
            <w:rPr>
              <w:color w:val="auto"/>
            </w:rPr>
            <w:fldChar w:fldCharType="begin"/>
          </w:r>
          <w:r>
            <w:rPr>
              <w:color w:val="auto"/>
            </w:rPr>
            <w:instrText xml:space="preserve"> HYPERLINK \l "_Toc8466" </w:instrText>
          </w:r>
          <w:r>
            <w:rPr>
              <w:color w:val="auto"/>
            </w:rPr>
            <w:fldChar w:fldCharType="separate"/>
          </w:r>
          <w:r>
            <w:rPr>
              <w:bCs/>
              <w:color w:val="auto"/>
            </w:rPr>
            <w:t>8</w:t>
          </w:r>
          <w:r>
            <w:rPr>
              <w:rFonts w:hint="eastAsia"/>
              <w:color w:val="auto"/>
            </w:rPr>
            <w:t xml:space="preserve">  设备、管线与内装系统设计</w:t>
          </w:r>
          <w:r>
            <w:rPr>
              <w:color w:val="auto"/>
            </w:rPr>
            <w:tab/>
          </w:r>
          <w:r>
            <w:rPr>
              <w:color w:val="auto"/>
            </w:rPr>
            <w:fldChar w:fldCharType="begin"/>
          </w:r>
          <w:r>
            <w:rPr>
              <w:color w:val="auto"/>
            </w:rPr>
            <w:instrText xml:space="preserve"> PAGEREF _Toc8466 \h </w:instrText>
          </w:r>
          <w:r>
            <w:rPr>
              <w:color w:val="auto"/>
            </w:rPr>
            <w:fldChar w:fldCharType="separate"/>
          </w:r>
          <w:r>
            <w:rPr>
              <w:color w:val="auto"/>
            </w:rPr>
            <w:t>44</w:t>
          </w:r>
          <w:r>
            <w:rPr>
              <w:color w:val="auto"/>
            </w:rPr>
            <w:fldChar w:fldCharType="end"/>
          </w:r>
          <w:r>
            <w:rPr>
              <w:color w:val="auto"/>
            </w:rPr>
            <w:fldChar w:fldCharType="end"/>
          </w:r>
        </w:p>
        <w:p w14:paraId="2D5F8320">
          <w:pPr>
            <w:pStyle w:val="14"/>
            <w:tabs>
              <w:tab w:val="right" w:leader="dot" w:pos="8306"/>
            </w:tabs>
            <w:spacing w:line="312" w:lineRule="auto"/>
            <w:rPr>
              <w:color w:val="auto"/>
            </w:rPr>
          </w:pPr>
          <w:r>
            <w:rPr>
              <w:color w:val="auto"/>
            </w:rPr>
            <w:fldChar w:fldCharType="begin"/>
          </w:r>
          <w:r>
            <w:rPr>
              <w:color w:val="auto"/>
            </w:rPr>
            <w:instrText xml:space="preserve"> HYPERLINK \l "_Toc20149" </w:instrText>
          </w:r>
          <w:r>
            <w:rPr>
              <w:color w:val="auto"/>
            </w:rPr>
            <w:fldChar w:fldCharType="separate"/>
          </w:r>
          <w:r>
            <w:rPr>
              <w:color w:val="auto"/>
            </w:rPr>
            <w:t>8</w:t>
          </w:r>
          <w:r>
            <w:rPr>
              <w:rFonts w:hint="eastAsia"/>
              <w:color w:val="auto"/>
            </w:rPr>
            <w:t>.</w:t>
          </w:r>
          <w:r>
            <w:rPr>
              <w:color w:val="auto"/>
            </w:rPr>
            <w:t>1</w:t>
          </w:r>
          <w:r>
            <w:rPr>
              <w:rFonts w:hint="eastAsia"/>
              <w:color w:val="auto"/>
            </w:rPr>
            <w:t xml:space="preserve">  一般规定</w:t>
          </w:r>
          <w:r>
            <w:rPr>
              <w:color w:val="auto"/>
            </w:rPr>
            <w:tab/>
          </w:r>
          <w:r>
            <w:rPr>
              <w:color w:val="auto"/>
            </w:rPr>
            <w:fldChar w:fldCharType="begin"/>
          </w:r>
          <w:r>
            <w:rPr>
              <w:color w:val="auto"/>
            </w:rPr>
            <w:instrText xml:space="preserve"> PAGEREF _Toc20149 \h </w:instrText>
          </w:r>
          <w:r>
            <w:rPr>
              <w:color w:val="auto"/>
            </w:rPr>
            <w:fldChar w:fldCharType="separate"/>
          </w:r>
          <w:r>
            <w:rPr>
              <w:color w:val="auto"/>
            </w:rPr>
            <w:t>44</w:t>
          </w:r>
          <w:r>
            <w:rPr>
              <w:color w:val="auto"/>
            </w:rPr>
            <w:fldChar w:fldCharType="end"/>
          </w:r>
          <w:r>
            <w:rPr>
              <w:color w:val="auto"/>
            </w:rPr>
            <w:fldChar w:fldCharType="end"/>
          </w:r>
        </w:p>
        <w:p w14:paraId="557CBE41">
          <w:pPr>
            <w:pStyle w:val="14"/>
            <w:tabs>
              <w:tab w:val="right" w:leader="dot" w:pos="8306"/>
            </w:tabs>
            <w:spacing w:line="312" w:lineRule="auto"/>
            <w:rPr>
              <w:color w:val="auto"/>
            </w:rPr>
          </w:pPr>
          <w:r>
            <w:rPr>
              <w:color w:val="auto"/>
            </w:rPr>
            <w:fldChar w:fldCharType="begin"/>
          </w:r>
          <w:r>
            <w:rPr>
              <w:color w:val="auto"/>
            </w:rPr>
            <w:instrText xml:space="preserve"> HYPERLINK \l "_Toc12937" </w:instrText>
          </w:r>
          <w:r>
            <w:rPr>
              <w:color w:val="auto"/>
            </w:rPr>
            <w:fldChar w:fldCharType="separate"/>
          </w:r>
          <w:r>
            <w:rPr>
              <w:color w:val="auto"/>
            </w:rPr>
            <w:t>8</w:t>
          </w:r>
          <w:r>
            <w:rPr>
              <w:rFonts w:hint="eastAsia"/>
              <w:color w:val="auto"/>
            </w:rPr>
            <w:t>.</w:t>
          </w:r>
          <w:r>
            <w:rPr>
              <w:color w:val="auto"/>
            </w:rPr>
            <w:t>2</w:t>
          </w:r>
          <w:r>
            <w:rPr>
              <w:rFonts w:hint="eastAsia"/>
              <w:color w:val="auto"/>
            </w:rPr>
            <w:t xml:space="preserve">  给水排水</w:t>
          </w:r>
          <w:r>
            <w:rPr>
              <w:color w:val="auto"/>
            </w:rPr>
            <w:tab/>
          </w:r>
          <w:r>
            <w:rPr>
              <w:color w:val="auto"/>
            </w:rPr>
            <w:fldChar w:fldCharType="begin"/>
          </w:r>
          <w:r>
            <w:rPr>
              <w:color w:val="auto"/>
            </w:rPr>
            <w:instrText xml:space="preserve"> PAGEREF _Toc12937 \h </w:instrText>
          </w:r>
          <w:r>
            <w:rPr>
              <w:color w:val="auto"/>
            </w:rPr>
            <w:fldChar w:fldCharType="separate"/>
          </w:r>
          <w:r>
            <w:rPr>
              <w:color w:val="auto"/>
            </w:rPr>
            <w:t>45</w:t>
          </w:r>
          <w:r>
            <w:rPr>
              <w:color w:val="auto"/>
            </w:rPr>
            <w:fldChar w:fldCharType="end"/>
          </w:r>
          <w:r>
            <w:rPr>
              <w:color w:val="auto"/>
            </w:rPr>
            <w:fldChar w:fldCharType="end"/>
          </w:r>
        </w:p>
        <w:p w14:paraId="60437230">
          <w:pPr>
            <w:pStyle w:val="14"/>
            <w:tabs>
              <w:tab w:val="right" w:leader="dot" w:pos="8306"/>
            </w:tabs>
            <w:spacing w:line="312" w:lineRule="auto"/>
            <w:rPr>
              <w:color w:val="auto"/>
            </w:rPr>
          </w:pPr>
          <w:r>
            <w:rPr>
              <w:color w:val="auto"/>
            </w:rPr>
            <w:fldChar w:fldCharType="begin"/>
          </w:r>
          <w:r>
            <w:rPr>
              <w:color w:val="auto"/>
            </w:rPr>
            <w:instrText xml:space="preserve"> HYPERLINK \l "_Toc21894" </w:instrText>
          </w:r>
          <w:r>
            <w:rPr>
              <w:color w:val="auto"/>
            </w:rPr>
            <w:fldChar w:fldCharType="separate"/>
          </w:r>
          <w:r>
            <w:rPr>
              <w:color w:val="auto"/>
            </w:rPr>
            <w:t>8</w:t>
          </w:r>
          <w:r>
            <w:rPr>
              <w:rFonts w:hint="eastAsia"/>
              <w:color w:val="auto"/>
            </w:rPr>
            <w:t>.</w:t>
          </w:r>
          <w:r>
            <w:rPr>
              <w:color w:val="auto"/>
            </w:rPr>
            <w:t>3</w:t>
          </w:r>
          <w:r>
            <w:rPr>
              <w:rFonts w:hint="eastAsia"/>
              <w:color w:val="auto"/>
            </w:rPr>
            <w:t xml:space="preserve">  供暖、通风、空调及燃气</w:t>
          </w:r>
          <w:r>
            <w:rPr>
              <w:color w:val="auto"/>
            </w:rPr>
            <w:tab/>
          </w:r>
          <w:r>
            <w:rPr>
              <w:color w:val="auto"/>
            </w:rPr>
            <w:fldChar w:fldCharType="begin"/>
          </w:r>
          <w:r>
            <w:rPr>
              <w:color w:val="auto"/>
            </w:rPr>
            <w:instrText xml:space="preserve"> PAGEREF _Toc21894 \h </w:instrText>
          </w:r>
          <w:r>
            <w:rPr>
              <w:color w:val="auto"/>
            </w:rPr>
            <w:fldChar w:fldCharType="separate"/>
          </w:r>
          <w:r>
            <w:rPr>
              <w:color w:val="auto"/>
            </w:rPr>
            <w:t>45</w:t>
          </w:r>
          <w:r>
            <w:rPr>
              <w:color w:val="auto"/>
            </w:rPr>
            <w:fldChar w:fldCharType="end"/>
          </w:r>
          <w:r>
            <w:rPr>
              <w:color w:val="auto"/>
            </w:rPr>
            <w:fldChar w:fldCharType="end"/>
          </w:r>
        </w:p>
        <w:p w14:paraId="4E61CD63">
          <w:pPr>
            <w:pStyle w:val="14"/>
            <w:tabs>
              <w:tab w:val="right" w:leader="dot" w:pos="8306"/>
            </w:tabs>
            <w:spacing w:line="312" w:lineRule="auto"/>
            <w:rPr>
              <w:color w:val="auto"/>
            </w:rPr>
          </w:pPr>
          <w:r>
            <w:rPr>
              <w:color w:val="auto"/>
            </w:rPr>
            <w:fldChar w:fldCharType="begin"/>
          </w:r>
          <w:r>
            <w:rPr>
              <w:color w:val="auto"/>
            </w:rPr>
            <w:instrText xml:space="preserve"> HYPERLINK \l "_Toc790" </w:instrText>
          </w:r>
          <w:r>
            <w:rPr>
              <w:color w:val="auto"/>
            </w:rPr>
            <w:fldChar w:fldCharType="separate"/>
          </w:r>
          <w:r>
            <w:rPr>
              <w:color w:val="auto"/>
            </w:rPr>
            <w:t>8</w:t>
          </w:r>
          <w:r>
            <w:rPr>
              <w:rFonts w:hint="eastAsia"/>
              <w:color w:val="auto"/>
            </w:rPr>
            <w:t>.</w:t>
          </w:r>
          <w:r>
            <w:rPr>
              <w:color w:val="auto"/>
            </w:rPr>
            <w:t>4</w:t>
          </w:r>
          <w:r>
            <w:rPr>
              <w:rFonts w:hint="eastAsia"/>
              <w:color w:val="auto"/>
            </w:rPr>
            <w:t xml:space="preserve">  电气</w:t>
          </w:r>
          <w:r>
            <w:rPr>
              <w:color w:val="auto"/>
            </w:rPr>
            <w:tab/>
          </w:r>
          <w:r>
            <w:rPr>
              <w:color w:val="auto"/>
            </w:rPr>
            <w:fldChar w:fldCharType="begin"/>
          </w:r>
          <w:r>
            <w:rPr>
              <w:color w:val="auto"/>
            </w:rPr>
            <w:instrText xml:space="preserve"> PAGEREF _Toc790 \h </w:instrText>
          </w:r>
          <w:r>
            <w:rPr>
              <w:color w:val="auto"/>
            </w:rPr>
            <w:fldChar w:fldCharType="separate"/>
          </w:r>
          <w:r>
            <w:rPr>
              <w:color w:val="auto"/>
            </w:rPr>
            <w:t>46</w:t>
          </w:r>
          <w:r>
            <w:rPr>
              <w:color w:val="auto"/>
            </w:rPr>
            <w:fldChar w:fldCharType="end"/>
          </w:r>
          <w:r>
            <w:rPr>
              <w:color w:val="auto"/>
            </w:rPr>
            <w:fldChar w:fldCharType="end"/>
          </w:r>
        </w:p>
        <w:p w14:paraId="7387AA73">
          <w:pPr>
            <w:pStyle w:val="14"/>
            <w:tabs>
              <w:tab w:val="right" w:leader="dot" w:pos="8306"/>
            </w:tabs>
            <w:spacing w:line="312" w:lineRule="auto"/>
            <w:rPr>
              <w:color w:val="auto"/>
            </w:rPr>
          </w:pPr>
          <w:r>
            <w:rPr>
              <w:color w:val="auto"/>
            </w:rPr>
            <w:fldChar w:fldCharType="begin"/>
          </w:r>
          <w:r>
            <w:rPr>
              <w:color w:val="auto"/>
            </w:rPr>
            <w:instrText xml:space="preserve"> HYPERLINK \l "_Toc28924" </w:instrText>
          </w:r>
          <w:r>
            <w:rPr>
              <w:color w:val="auto"/>
            </w:rPr>
            <w:fldChar w:fldCharType="separate"/>
          </w:r>
          <w:r>
            <w:rPr>
              <w:color w:val="auto"/>
            </w:rPr>
            <w:t>8</w:t>
          </w:r>
          <w:r>
            <w:rPr>
              <w:rFonts w:hint="eastAsia"/>
              <w:color w:val="auto"/>
            </w:rPr>
            <w:t>.</w:t>
          </w:r>
          <w:r>
            <w:rPr>
              <w:color w:val="auto"/>
            </w:rPr>
            <w:t>5</w:t>
          </w:r>
          <w:r>
            <w:rPr>
              <w:rFonts w:hint="eastAsia"/>
              <w:color w:val="auto"/>
            </w:rPr>
            <w:t xml:space="preserve">  内装系统</w:t>
          </w:r>
          <w:r>
            <w:rPr>
              <w:color w:val="auto"/>
            </w:rPr>
            <w:tab/>
          </w:r>
          <w:r>
            <w:rPr>
              <w:color w:val="auto"/>
            </w:rPr>
            <w:fldChar w:fldCharType="begin"/>
          </w:r>
          <w:r>
            <w:rPr>
              <w:color w:val="auto"/>
            </w:rPr>
            <w:instrText xml:space="preserve"> PAGEREF _Toc28924 \h </w:instrText>
          </w:r>
          <w:r>
            <w:rPr>
              <w:color w:val="auto"/>
            </w:rPr>
            <w:fldChar w:fldCharType="separate"/>
          </w:r>
          <w:r>
            <w:rPr>
              <w:color w:val="auto"/>
            </w:rPr>
            <w:t>47</w:t>
          </w:r>
          <w:r>
            <w:rPr>
              <w:color w:val="auto"/>
            </w:rPr>
            <w:fldChar w:fldCharType="end"/>
          </w:r>
          <w:r>
            <w:rPr>
              <w:color w:val="auto"/>
            </w:rPr>
            <w:fldChar w:fldCharType="end"/>
          </w:r>
        </w:p>
        <w:p w14:paraId="2121FEAC">
          <w:pPr>
            <w:pStyle w:val="13"/>
            <w:tabs>
              <w:tab w:val="right" w:leader="dot" w:pos="8306"/>
            </w:tabs>
            <w:spacing w:line="312" w:lineRule="auto"/>
            <w:rPr>
              <w:color w:val="auto"/>
            </w:rPr>
          </w:pPr>
          <w:r>
            <w:rPr>
              <w:color w:val="auto"/>
            </w:rPr>
            <w:fldChar w:fldCharType="begin"/>
          </w:r>
          <w:r>
            <w:rPr>
              <w:color w:val="auto"/>
            </w:rPr>
            <w:instrText xml:space="preserve"> HYPERLINK \l "_Toc21754" </w:instrText>
          </w:r>
          <w:r>
            <w:rPr>
              <w:color w:val="auto"/>
            </w:rPr>
            <w:fldChar w:fldCharType="separate"/>
          </w:r>
          <w:r>
            <w:rPr>
              <w:bCs/>
              <w:color w:val="auto"/>
            </w:rPr>
            <w:t>9</w:t>
          </w:r>
          <w:r>
            <w:rPr>
              <w:rFonts w:hint="eastAsia"/>
              <w:color w:val="auto"/>
            </w:rPr>
            <w:t xml:space="preserve">  </w:t>
          </w:r>
          <w:r>
            <w:rPr>
              <w:rFonts w:hint="eastAsia"/>
              <w:bCs/>
              <w:color w:val="auto"/>
            </w:rPr>
            <w:t>生产与运输</w:t>
          </w:r>
          <w:r>
            <w:rPr>
              <w:color w:val="auto"/>
            </w:rPr>
            <w:tab/>
          </w:r>
          <w:r>
            <w:rPr>
              <w:color w:val="auto"/>
            </w:rPr>
            <w:fldChar w:fldCharType="begin"/>
          </w:r>
          <w:r>
            <w:rPr>
              <w:color w:val="auto"/>
            </w:rPr>
            <w:instrText xml:space="preserve"> PAGEREF _Toc21754 \h </w:instrText>
          </w:r>
          <w:r>
            <w:rPr>
              <w:color w:val="auto"/>
            </w:rPr>
            <w:fldChar w:fldCharType="separate"/>
          </w:r>
          <w:r>
            <w:rPr>
              <w:color w:val="auto"/>
            </w:rPr>
            <w:t>49</w:t>
          </w:r>
          <w:r>
            <w:rPr>
              <w:color w:val="auto"/>
            </w:rPr>
            <w:fldChar w:fldCharType="end"/>
          </w:r>
          <w:r>
            <w:rPr>
              <w:color w:val="auto"/>
            </w:rPr>
            <w:fldChar w:fldCharType="end"/>
          </w:r>
        </w:p>
        <w:p w14:paraId="15BCC126">
          <w:pPr>
            <w:pStyle w:val="14"/>
            <w:tabs>
              <w:tab w:val="right" w:leader="dot" w:pos="8306"/>
            </w:tabs>
            <w:spacing w:line="312" w:lineRule="auto"/>
            <w:rPr>
              <w:color w:val="auto"/>
            </w:rPr>
          </w:pPr>
          <w:r>
            <w:rPr>
              <w:color w:val="auto"/>
            </w:rPr>
            <w:fldChar w:fldCharType="begin"/>
          </w:r>
          <w:r>
            <w:rPr>
              <w:color w:val="auto"/>
            </w:rPr>
            <w:instrText xml:space="preserve"> HYPERLINK \l "_Toc11168" </w:instrText>
          </w:r>
          <w:r>
            <w:rPr>
              <w:color w:val="auto"/>
            </w:rPr>
            <w:fldChar w:fldCharType="separate"/>
          </w:r>
          <w:r>
            <w:rPr>
              <w:color w:val="auto"/>
            </w:rPr>
            <w:t>9</w:t>
          </w:r>
          <w:r>
            <w:rPr>
              <w:rFonts w:hint="eastAsia"/>
              <w:color w:val="auto"/>
            </w:rPr>
            <w:t>.</w:t>
          </w:r>
          <w:r>
            <w:rPr>
              <w:color w:val="auto"/>
            </w:rPr>
            <w:t>1</w:t>
          </w:r>
          <w:r>
            <w:rPr>
              <w:rFonts w:hint="eastAsia"/>
              <w:color w:val="auto"/>
            </w:rPr>
            <w:t xml:space="preserve">  一般规定</w:t>
          </w:r>
          <w:r>
            <w:rPr>
              <w:color w:val="auto"/>
            </w:rPr>
            <w:tab/>
          </w:r>
          <w:r>
            <w:rPr>
              <w:color w:val="auto"/>
            </w:rPr>
            <w:fldChar w:fldCharType="begin"/>
          </w:r>
          <w:r>
            <w:rPr>
              <w:color w:val="auto"/>
            </w:rPr>
            <w:instrText xml:space="preserve"> PAGEREF _Toc11168 \h </w:instrText>
          </w:r>
          <w:r>
            <w:rPr>
              <w:color w:val="auto"/>
            </w:rPr>
            <w:fldChar w:fldCharType="separate"/>
          </w:r>
          <w:r>
            <w:rPr>
              <w:color w:val="auto"/>
            </w:rPr>
            <w:t>49</w:t>
          </w:r>
          <w:r>
            <w:rPr>
              <w:color w:val="auto"/>
            </w:rPr>
            <w:fldChar w:fldCharType="end"/>
          </w:r>
          <w:r>
            <w:rPr>
              <w:color w:val="auto"/>
            </w:rPr>
            <w:fldChar w:fldCharType="end"/>
          </w:r>
        </w:p>
        <w:p w14:paraId="6E1A1975">
          <w:pPr>
            <w:pStyle w:val="14"/>
            <w:tabs>
              <w:tab w:val="right" w:leader="dot" w:pos="8306"/>
            </w:tabs>
            <w:spacing w:line="312" w:lineRule="auto"/>
            <w:rPr>
              <w:color w:val="auto"/>
            </w:rPr>
          </w:pPr>
          <w:r>
            <w:rPr>
              <w:color w:val="auto"/>
            </w:rPr>
            <w:fldChar w:fldCharType="begin"/>
          </w:r>
          <w:r>
            <w:rPr>
              <w:color w:val="auto"/>
            </w:rPr>
            <w:instrText xml:space="preserve"> HYPERLINK \l "_Toc15544" </w:instrText>
          </w:r>
          <w:r>
            <w:rPr>
              <w:color w:val="auto"/>
            </w:rPr>
            <w:fldChar w:fldCharType="separate"/>
          </w:r>
          <w:r>
            <w:rPr>
              <w:color w:val="auto"/>
            </w:rPr>
            <w:t>9</w:t>
          </w:r>
          <w:r>
            <w:rPr>
              <w:rFonts w:hint="eastAsia"/>
              <w:color w:val="auto"/>
            </w:rPr>
            <w:t>.2  模具</w:t>
          </w:r>
          <w:r>
            <w:rPr>
              <w:color w:val="auto"/>
            </w:rPr>
            <w:tab/>
          </w:r>
          <w:r>
            <w:rPr>
              <w:color w:val="auto"/>
            </w:rPr>
            <w:fldChar w:fldCharType="begin"/>
          </w:r>
          <w:r>
            <w:rPr>
              <w:color w:val="auto"/>
            </w:rPr>
            <w:instrText xml:space="preserve"> PAGEREF _Toc15544 \h </w:instrText>
          </w:r>
          <w:r>
            <w:rPr>
              <w:color w:val="auto"/>
            </w:rPr>
            <w:fldChar w:fldCharType="separate"/>
          </w:r>
          <w:r>
            <w:rPr>
              <w:color w:val="auto"/>
            </w:rPr>
            <w:t>50</w:t>
          </w:r>
          <w:r>
            <w:rPr>
              <w:color w:val="auto"/>
            </w:rPr>
            <w:fldChar w:fldCharType="end"/>
          </w:r>
          <w:r>
            <w:rPr>
              <w:color w:val="auto"/>
            </w:rPr>
            <w:fldChar w:fldCharType="end"/>
          </w:r>
        </w:p>
        <w:p w14:paraId="623FAA90">
          <w:pPr>
            <w:pStyle w:val="14"/>
            <w:tabs>
              <w:tab w:val="right" w:leader="dot" w:pos="8306"/>
            </w:tabs>
            <w:spacing w:line="312" w:lineRule="auto"/>
            <w:rPr>
              <w:color w:val="auto"/>
            </w:rPr>
          </w:pPr>
          <w:r>
            <w:rPr>
              <w:color w:val="auto"/>
            </w:rPr>
            <w:fldChar w:fldCharType="begin"/>
          </w:r>
          <w:r>
            <w:rPr>
              <w:color w:val="auto"/>
            </w:rPr>
            <w:instrText xml:space="preserve"> HYPERLINK \l "_Toc13192" </w:instrText>
          </w:r>
          <w:r>
            <w:rPr>
              <w:color w:val="auto"/>
            </w:rPr>
            <w:fldChar w:fldCharType="separate"/>
          </w:r>
          <w:r>
            <w:rPr>
              <w:color w:val="auto"/>
            </w:rPr>
            <w:t>9</w:t>
          </w:r>
          <w:r>
            <w:rPr>
              <w:rFonts w:hint="eastAsia"/>
              <w:color w:val="auto"/>
            </w:rPr>
            <w:t>.3  钢筋及预埋件</w:t>
          </w:r>
          <w:r>
            <w:rPr>
              <w:color w:val="auto"/>
            </w:rPr>
            <w:tab/>
          </w:r>
          <w:r>
            <w:rPr>
              <w:color w:val="auto"/>
            </w:rPr>
            <w:fldChar w:fldCharType="begin"/>
          </w:r>
          <w:r>
            <w:rPr>
              <w:color w:val="auto"/>
            </w:rPr>
            <w:instrText xml:space="preserve"> PAGEREF _Toc13192 \h </w:instrText>
          </w:r>
          <w:r>
            <w:rPr>
              <w:color w:val="auto"/>
            </w:rPr>
            <w:fldChar w:fldCharType="separate"/>
          </w:r>
          <w:r>
            <w:rPr>
              <w:color w:val="auto"/>
            </w:rPr>
            <w:t>52</w:t>
          </w:r>
          <w:r>
            <w:rPr>
              <w:color w:val="auto"/>
            </w:rPr>
            <w:fldChar w:fldCharType="end"/>
          </w:r>
          <w:r>
            <w:rPr>
              <w:color w:val="auto"/>
            </w:rPr>
            <w:fldChar w:fldCharType="end"/>
          </w:r>
        </w:p>
        <w:p w14:paraId="09DC1BEA">
          <w:pPr>
            <w:pStyle w:val="14"/>
            <w:tabs>
              <w:tab w:val="right" w:leader="dot" w:pos="8306"/>
            </w:tabs>
            <w:spacing w:line="312" w:lineRule="auto"/>
            <w:rPr>
              <w:color w:val="auto"/>
            </w:rPr>
          </w:pPr>
          <w:r>
            <w:rPr>
              <w:color w:val="auto"/>
            </w:rPr>
            <w:fldChar w:fldCharType="begin"/>
          </w:r>
          <w:r>
            <w:rPr>
              <w:color w:val="auto"/>
            </w:rPr>
            <w:instrText xml:space="preserve"> HYPERLINK \l "_Toc21829" </w:instrText>
          </w:r>
          <w:r>
            <w:rPr>
              <w:color w:val="auto"/>
            </w:rPr>
            <w:fldChar w:fldCharType="separate"/>
          </w:r>
          <w:r>
            <w:rPr>
              <w:color w:val="auto"/>
            </w:rPr>
            <w:t>9</w:t>
          </w:r>
          <w:r>
            <w:rPr>
              <w:rFonts w:hint="eastAsia"/>
              <w:color w:val="auto"/>
            </w:rPr>
            <w:t>.4  成型、养护及脱模</w:t>
          </w:r>
          <w:r>
            <w:rPr>
              <w:color w:val="auto"/>
            </w:rPr>
            <w:tab/>
          </w:r>
          <w:r>
            <w:rPr>
              <w:color w:val="auto"/>
            </w:rPr>
            <w:fldChar w:fldCharType="begin"/>
          </w:r>
          <w:r>
            <w:rPr>
              <w:color w:val="auto"/>
            </w:rPr>
            <w:instrText xml:space="preserve"> PAGEREF _Toc21829 \h </w:instrText>
          </w:r>
          <w:r>
            <w:rPr>
              <w:color w:val="auto"/>
            </w:rPr>
            <w:fldChar w:fldCharType="separate"/>
          </w:r>
          <w:r>
            <w:rPr>
              <w:color w:val="auto"/>
            </w:rPr>
            <w:t>53</w:t>
          </w:r>
          <w:r>
            <w:rPr>
              <w:color w:val="auto"/>
            </w:rPr>
            <w:fldChar w:fldCharType="end"/>
          </w:r>
          <w:r>
            <w:rPr>
              <w:color w:val="auto"/>
            </w:rPr>
            <w:fldChar w:fldCharType="end"/>
          </w:r>
        </w:p>
        <w:p w14:paraId="7BF9F9A2">
          <w:pPr>
            <w:pStyle w:val="14"/>
            <w:tabs>
              <w:tab w:val="right" w:leader="dot" w:pos="8306"/>
            </w:tabs>
            <w:spacing w:line="312" w:lineRule="auto"/>
            <w:rPr>
              <w:color w:val="auto"/>
            </w:rPr>
          </w:pPr>
          <w:r>
            <w:rPr>
              <w:color w:val="auto"/>
            </w:rPr>
            <w:fldChar w:fldCharType="begin"/>
          </w:r>
          <w:r>
            <w:rPr>
              <w:color w:val="auto"/>
            </w:rPr>
            <w:instrText xml:space="preserve"> HYPERLINK \l "_Toc4151" </w:instrText>
          </w:r>
          <w:r>
            <w:rPr>
              <w:color w:val="auto"/>
            </w:rPr>
            <w:fldChar w:fldCharType="separate"/>
          </w:r>
          <w:r>
            <w:rPr>
              <w:color w:val="auto"/>
            </w:rPr>
            <w:t>9</w:t>
          </w:r>
          <w:r>
            <w:rPr>
              <w:rFonts w:hint="eastAsia"/>
              <w:color w:val="auto"/>
            </w:rPr>
            <w:t>.5  设备管线安装及装修</w:t>
          </w:r>
          <w:r>
            <w:rPr>
              <w:color w:val="auto"/>
            </w:rPr>
            <w:tab/>
          </w:r>
          <w:r>
            <w:rPr>
              <w:color w:val="auto"/>
            </w:rPr>
            <w:fldChar w:fldCharType="begin"/>
          </w:r>
          <w:r>
            <w:rPr>
              <w:color w:val="auto"/>
            </w:rPr>
            <w:instrText xml:space="preserve"> PAGEREF _Toc4151 \h </w:instrText>
          </w:r>
          <w:r>
            <w:rPr>
              <w:color w:val="auto"/>
            </w:rPr>
            <w:fldChar w:fldCharType="separate"/>
          </w:r>
          <w:r>
            <w:rPr>
              <w:color w:val="auto"/>
            </w:rPr>
            <w:t>55</w:t>
          </w:r>
          <w:r>
            <w:rPr>
              <w:color w:val="auto"/>
            </w:rPr>
            <w:fldChar w:fldCharType="end"/>
          </w:r>
          <w:r>
            <w:rPr>
              <w:color w:val="auto"/>
            </w:rPr>
            <w:fldChar w:fldCharType="end"/>
          </w:r>
        </w:p>
        <w:p w14:paraId="1FAEC11D">
          <w:pPr>
            <w:pStyle w:val="14"/>
            <w:tabs>
              <w:tab w:val="right" w:leader="dot" w:pos="8306"/>
            </w:tabs>
            <w:spacing w:line="312" w:lineRule="auto"/>
            <w:rPr>
              <w:color w:val="auto"/>
            </w:rPr>
          </w:pPr>
          <w:r>
            <w:rPr>
              <w:color w:val="auto"/>
            </w:rPr>
            <w:fldChar w:fldCharType="begin"/>
          </w:r>
          <w:r>
            <w:rPr>
              <w:color w:val="auto"/>
            </w:rPr>
            <w:instrText xml:space="preserve"> HYPERLINK \l "_Toc9941" </w:instrText>
          </w:r>
          <w:r>
            <w:rPr>
              <w:color w:val="auto"/>
            </w:rPr>
            <w:fldChar w:fldCharType="separate"/>
          </w:r>
          <w:r>
            <w:rPr>
              <w:color w:val="auto"/>
            </w:rPr>
            <w:t>9</w:t>
          </w:r>
          <w:r>
            <w:rPr>
              <w:rFonts w:hint="eastAsia"/>
              <w:color w:val="auto"/>
            </w:rPr>
            <w:t>.6  驻厂监造</w:t>
          </w:r>
          <w:r>
            <w:rPr>
              <w:color w:val="auto"/>
            </w:rPr>
            <w:tab/>
          </w:r>
          <w:r>
            <w:rPr>
              <w:color w:val="auto"/>
            </w:rPr>
            <w:fldChar w:fldCharType="begin"/>
          </w:r>
          <w:r>
            <w:rPr>
              <w:color w:val="auto"/>
            </w:rPr>
            <w:instrText xml:space="preserve"> PAGEREF _Toc9941 \h </w:instrText>
          </w:r>
          <w:r>
            <w:rPr>
              <w:color w:val="auto"/>
            </w:rPr>
            <w:fldChar w:fldCharType="separate"/>
          </w:r>
          <w:r>
            <w:rPr>
              <w:color w:val="auto"/>
            </w:rPr>
            <w:t>55</w:t>
          </w:r>
          <w:r>
            <w:rPr>
              <w:color w:val="auto"/>
            </w:rPr>
            <w:fldChar w:fldCharType="end"/>
          </w:r>
          <w:r>
            <w:rPr>
              <w:color w:val="auto"/>
            </w:rPr>
            <w:fldChar w:fldCharType="end"/>
          </w:r>
        </w:p>
        <w:p w14:paraId="28C388B1">
          <w:pPr>
            <w:pStyle w:val="14"/>
            <w:tabs>
              <w:tab w:val="right" w:leader="dot" w:pos="8306"/>
            </w:tabs>
            <w:spacing w:line="312" w:lineRule="auto"/>
            <w:rPr>
              <w:color w:val="auto"/>
            </w:rPr>
          </w:pPr>
          <w:r>
            <w:rPr>
              <w:color w:val="auto"/>
            </w:rPr>
            <w:fldChar w:fldCharType="begin"/>
          </w:r>
          <w:r>
            <w:rPr>
              <w:color w:val="auto"/>
            </w:rPr>
            <w:instrText xml:space="preserve"> HYPERLINK \l "_Toc21708" </w:instrText>
          </w:r>
          <w:r>
            <w:rPr>
              <w:color w:val="auto"/>
            </w:rPr>
            <w:fldChar w:fldCharType="separate"/>
          </w:r>
          <w:r>
            <w:rPr>
              <w:color w:val="auto"/>
            </w:rPr>
            <w:t>9</w:t>
          </w:r>
          <w:r>
            <w:rPr>
              <w:rFonts w:hint="eastAsia"/>
              <w:color w:val="auto"/>
            </w:rPr>
            <w:t>.7  出厂检验及资料交付</w:t>
          </w:r>
          <w:r>
            <w:rPr>
              <w:color w:val="auto"/>
            </w:rPr>
            <w:tab/>
          </w:r>
          <w:r>
            <w:rPr>
              <w:color w:val="auto"/>
            </w:rPr>
            <w:fldChar w:fldCharType="begin"/>
          </w:r>
          <w:r>
            <w:rPr>
              <w:color w:val="auto"/>
            </w:rPr>
            <w:instrText xml:space="preserve"> PAGEREF _Toc21708 \h </w:instrText>
          </w:r>
          <w:r>
            <w:rPr>
              <w:color w:val="auto"/>
            </w:rPr>
            <w:fldChar w:fldCharType="separate"/>
          </w:r>
          <w:r>
            <w:rPr>
              <w:color w:val="auto"/>
            </w:rPr>
            <w:t>58</w:t>
          </w:r>
          <w:r>
            <w:rPr>
              <w:color w:val="auto"/>
            </w:rPr>
            <w:fldChar w:fldCharType="end"/>
          </w:r>
          <w:r>
            <w:rPr>
              <w:color w:val="auto"/>
            </w:rPr>
            <w:fldChar w:fldCharType="end"/>
          </w:r>
        </w:p>
        <w:p w14:paraId="1DA82F04">
          <w:pPr>
            <w:pStyle w:val="14"/>
            <w:tabs>
              <w:tab w:val="right" w:leader="dot" w:pos="8306"/>
            </w:tabs>
            <w:spacing w:line="312" w:lineRule="auto"/>
            <w:rPr>
              <w:color w:val="auto"/>
            </w:rPr>
          </w:pPr>
          <w:r>
            <w:rPr>
              <w:color w:val="auto"/>
            </w:rPr>
            <w:fldChar w:fldCharType="begin"/>
          </w:r>
          <w:r>
            <w:rPr>
              <w:color w:val="auto"/>
            </w:rPr>
            <w:instrText xml:space="preserve"> HYPERLINK \l "_Toc23774" </w:instrText>
          </w:r>
          <w:r>
            <w:rPr>
              <w:color w:val="auto"/>
            </w:rPr>
            <w:fldChar w:fldCharType="separate"/>
          </w:r>
          <w:r>
            <w:rPr>
              <w:color w:val="auto"/>
            </w:rPr>
            <w:t>9</w:t>
          </w:r>
          <w:r>
            <w:rPr>
              <w:rFonts w:hint="eastAsia"/>
              <w:color w:val="auto"/>
            </w:rPr>
            <w:t>.8  吊装、运输、存放及防护</w:t>
          </w:r>
          <w:r>
            <w:rPr>
              <w:color w:val="auto"/>
            </w:rPr>
            <w:tab/>
          </w:r>
          <w:r>
            <w:rPr>
              <w:color w:val="auto"/>
            </w:rPr>
            <w:fldChar w:fldCharType="begin"/>
          </w:r>
          <w:r>
            <w:rPr>
              <w:color w:val="auto"/>
            </w:rPr>
            <w:instrText xml:space="preserve"> PAGEREF _Toc23774 \h </w:instrText>
          </w:r>
          <w:r>
            <w:rPr>
              <w:color w:val="auto"/>
            </w:rPr>
            <w:fldChar w:fldCharType="separate"/>
          </w:r>
          <w:r>
            <w:rPr>
              <w:color w:val="auto"/>
            </w:rPr>
            <w:t>63</w:t>
          </w:r>
          <w:r>
            <w:rPr>
              <w:color w:val="auto"/>
            </w:rPr>
            <w:fldChar w:fldCharType="end"/>
          </w:r>
          <w:r>
            <w:rPr>
              <w:color w:val="auto"/>
            </w:rPr>
            <w:fldChar w:fldCharType="end"/>
          </w:r>
        </w:p>
        <w:p w14:paraId="30E4D944">
          <w:pPr>
            <w:pStyle w:val="13"/>
            <w:tabs>
              <w:tab w:val="right" w:leader="dot" w:pos="8306"/>
            </w:tabs>
            <w:spacing w:line="312" w:lineRule="auto"/>
            <w:rPr>
              <w:color w:val="auto"/>
            </w:rPr>
          </w:pPr>
          <w:r>
            <w:rPr>
              <w:color w:val="auto"/>
            </w:rPr>
            <w:fldChar w:fldCharType="begin"/>
          </w:r>
          <w:r>
            <w:rPr>
              <w:color w:val="auto"/>
            </w:rPr>
            <w:instrText xml:space="preserve"> HYPERLINK \l "_Toc6260" </w:instrText>
          </w:r>
          <w:r>
            <w:rPr>
              <w:color w:val="auto"/>
            </w:rPr>
            <w:fldChar w:fldCharType="separate"/>
          </w:r>
          <w:r>
            <w:rPr>
              <w:bCs/>
              <w:color w:val="auto"/>
            </w:rPr>
            <w:t>10</w:t>
          </w:r>
          <w:r>
            <w:rPr>
              <w:color w:val="auto"/>
            </w:rPr>
            <w:t xml:space="preserve"> </w:t>
          </w:r>
          <w:r>
            <w:rPr>
              <w:rFonts w:hint="eastAsia"/>
              <w:color w:val="auto"/>
            </w:rPr>
            <w:t xml:space="preserve"> </w:t>
          </w:r>
          <w:r>
            <w:rPr>
              <w:rFonts w:hint="eastAsia"/>
              <w:bCs/>
              <w:color w:val="auto"/>
            </w:rPr>
            <w:t>施工安装</w:t>
          </w:r>
          <w:r>
            <w:rPr>
              <w:color w:val="auto"/>
            </w:rPr>
            <w:tab/>
          </w:r>
          <w:r>
            <w:rPr>
              <w:color w:val="auto"/>
            </w:rPr>
            <w:fldChar w:fldCharType="begin"/>
          </w:r>
          <w:r>
            <w:rPr>
              <w:color w:val="auto"/>
            </w:rPr>
            <w:instrText xml:space="preserve"> PAGEREF _Toc6260 \h </w:instrText>
          </w:r>
          <w:r>
            <w:rPr>
              <w:color w:val="auto"/>
            </w:rPr>
            <w:fldChar w:fldCharType="separate"/>
          </w:r>
          <w:r>
            <w:rPr>
              <w:color w:val="auto"/>
            </w:rPr>
            <w:t>65</w:t>
          </w:r>
          <w:r>
            <w:rPr>
              <w:color w:val="auto"/>
            </w:rPr>
            <w:fldChar w:fldCharType="end"/>
          </w:r>
          <w:r>
            <w:rPr>
              <w:color w:val="auto"/>
            </w:rPr>
            <w:fldChar w:fldCharType="end"/>
          </w:r>
        </w:p>
        <w:p w14:paraId="4EE5B645">
          <w:pPr>
            <w:pStyle w:val="14"/>
            <w:tabs>
              <w:tab w:val="right" w:leader="dot" w:pos="8306"/>
            </w:tabs>
            <w:spacing w:line="312" w:lineRule="auto"/>
            <w:rPr>
              <w:color w:val="auto"/>
            </w:rPr>
          </w:pPr>
          <w:r>
            <w:rPr>
              <w:color w:val="auto"/>
            </w:rPr>
            <w:fldChar w:fldCharType="begin"/>
          </w:r>
          <w:r>
            <w:rPr>
              <w:color w:val="auto"/>
            </w:rPr>
            <w:instrText xml:space="preserve"> HYPERLINK \l "_Toc3391" </w:instrText>
          </w:r>
          <w:r>
            <w:rPr>
              <w:color w:val="auto"/>
            </w:rPr>
            <w:fldChar w:fldCharType="separate"/>
          </w:r>
          <w:r>
            <w:rPr>
              <w:color w:val="auto"/>
            </w:rPr>
            <w:t>10</w:t>
          </w:r>
          <w:r>
            <w:rPr>
              <w:rFonts w:hint="eastAsia"/>
              <w:color w:val="auto"/>
            </w:rPr>
            <w:t>.</w:t>
          </w:r>
          <w:r>
            <w:rPr>
              <w:color w:val="auto"/>
            </w:rPr>
            <w:t>1</w:t>
          </w:r>
          <w:r>
            <w:rPr>
              <w:rFonts w:hint="eastAsia"/>
              <w:color w:val="auto"/>
            </w:rPr>
            <w:t xml:space="preserve">  一般规定</w:t>
          </w:r>
          <w:r>
            <w:rPr>
              <w:color w:val="auto"/>
            </w:rPr>
            <w:tab/>
          </w:r>
          <w:r>
            <w:rPr>
              <w:color w:val="auto"/>
            </w:rPr>
            <w:fldChar w:fldCharType="begin"/>
          </w:r>
          <w:r>
            <w:rPr>
              <w:color w:val="auto"/>
            </w:rPr>
            <w:instrText xml:space="preserve"> PAGEREF _Toc3391 \h </w:instrText>
          </w:r>
          <w:r>
            <w:rPr>
              <w:color w:val="auto"/>
            </w:rPr>
            <w:fldChar w:fldCharType="separate"/>
          </w:r>
          <w:r>
            <w:rPr>
              <w:color w:val="auto"/>
            </w:rPr>
            <w:t>65</w:t>
          </w:r>
          <w:r>
            <w:rPr>
              <w:color w:val="auto"/>
            </w:rPr>
            <w:fldChar w:fldCharType="end"/>
          </w:r>
          <w:r>
            <w:rPr>
              <w:color w:val="auto"/>
            </w:rPr>
            <w:fldChar w:fldCharType="end"/>
          </w:r>
        </w:p>
        <w:p w14:paraId="42F00BB3">
          <w:pPr>
            <w:pStyle w:val="14"/>
            <w:tabs>
              <w:tab w:val="right" w:leader="dot" w:pos="8306"/>
            </w:tabs>
            <w:spacing w:line="312" w:lineRule="auto"/>
            <w:rPr>
              <w:color w:val="auto"/>
            </w:rPr>
          </w:pPr>
          <w:r>
            <w:rPr>
              <w:color w:val="auto"/>
            </w:rPr>
            <w:fldChar w:fldCharType="begin"/>
          </w:r>
          <w:r>
            <w:rPr>
              <w:color w:val="auto"/>
            </w:rPr>
            <w:instrText xml:space="preserve"> HYPERLINK \l "_Toc3944" </w:instrText>
          </w:r>
          <w:r>
            <w:rPr>
              <w:color w:val="auto"/>
            </w:rPr>
            <w:fldChar w:fldCharType="separate"/>
          </w:r>
          <w:r>
            <w:rPr>
              <w:color w:val="auto"/>
            </w:rPr>
            <w:t>10</w:t>
          </w:r>
          <w:r>
            <w:rPr>
              <w:rFonts w:hint="eastAsia"/>
              <w:color w:val="auto"/>
            </w:rPr>
            <w:t>.</w:t>
          </w:r>
          <w:r>
            <w:rPr>
              <w:color w:val="auto"/>
            </w:rPr>
            <w:t>2</w:t>
          </w:r>
          <w:r>
            <w:rPr>
              <w:rFonts w:hint="eastAsia"/>
              <w:color w:val="auto"/>
            </w:rPr>
            <w:t xml:space="preserve">  施工准备</w:t>
          </w:r>
          <w:r>
            <w:rPr>
              <w:color w:val="auto"/>
            </w:rPr>
            <w:tab/>
          </w:r>
          <w:r>
            <w:rPr>
              <w:color w:val="auto"/>
            </w:rPr>
            <w:fldChar w:fldCharType="begin"/>
          </w:r>
          <w:r>
            <w:rPr>
              <w:color w:val="auto"/>
            </w:rPr>
            <w:instrText xml:space="preserve"> PAGEREF _Toc3944 \h </w:instrText>
          </w:r>
          <w:r>
            <w:rPr>
              <w:color w:val="auto"/>
            </w:rPr>
            <w:fldChar w:fldCharType="separate"/>
          </w:r>
          <w:r>
            <w:rPr>
              <w:color w:val="auto"/>
            </w:rPr>
            <w:t>65</w:t>
          </w:r>
          <w:r>
            <w:rPr>
              <w:color w:val="auto"/>
            </w:rPr>
            <w:fldChar w:fldCharType="end"/>
          </w:r>
          <w:r>
            <w:rPr>
              <w:color w:val="auto"/>
            </w:rPr>
            <w:fldChar w:fldCharType="end"/>
          </w:r>
        </w:p>
        <w:p w14:paraId="6809AC9B">
          <w:pPr>
            <w:pStyle w:val="14"/>
            <w:tabs>
              <w:tab w:val="right" w:leader="dot" w:pos="8306"/>
            </w:tabs>
            <w:spacing w:line="312" w:lineRule="auto"/>
            <w:rPr>
              <w:color w:val="auto"/>
            </w:rPr>
          </w:pPr>
          <w:r>
            <w:rPr>
              <w:color w:val="auto"/>
            </w:rPr>
            <w:fldChar w:fldCharType="begin"/>
          </w:r>
          <w:r>
            <w:rPr>
              <w:color w:val="auto"/>
            </w:rPr>
            <w:instrText xml:space="preserve"> HYPERLINK \l "_Toc8634" </w:instrText>
          </w:r>
          <w:r>
            <w:rPr>
              <w:color w:val="auto"/>
            </w:rPr>
            <w:fldChar w:fldCharType="separate"/>
          </w:r>
          <w:r>
            <w:rPr>
              <w:color w:val="auto"/>
            </w:rPr>
            <w:t>10</w:t>
          </w:r>
          <w:r>
            <w:rPr>
              <w:rFonts w:hint="eastAsia"/>
              <w:color w:val="auto"/>
            </w:rPr>
            <w:t>.</w:t>
          </w:r>
          <w:r>
            <w:rPr>
              <w:color w:val="auto"/>
            </w:rPr>
            <w:t>3</w:t>
          </w:r>
          <w:r>
            <w:rPr>
              <w:rFonts w:hint="eastAsia"/>
              <w:color w:val="auto"/>
            </w:rPr>
            <w:t xml:space="preserve">  模块单元安装</w:t>
          </w:r>
          <w:r>
            <w:rPr>
              <w:color w:val="auto"/>
            </w:rPr>
            <w:tab/>
          </w:r>
          <w:r>
            <w:rPr>
              <w:color w:val="auto"/>
            </w:rPr>
            <w:fldChar w:fldCharType="begin"/>
          </w:r>
          <w:r>
            <w:rPr>
              <w:color w:val="auto"/>
            </w:rPr>
            <w:instrText xml:space="preserve"> PAGEREF _Toc8634 \h </w:instrText>
          </w:r>
          <w:r>
            <w:rPr>
              <w:color w:val="auto"/>
            </w:rPr>
            <w:fldChar w:fldCharType="separate"/>
          </w:r>
          <w:r>
            <w:rPr>
              <w:color w:val="auto"/>
            </w:rPr>
            <w:t>67</w:t>
          </w:r>
          <w:r>
            <w:rPr>
              <w:color w:val="auto"/>
            </w:rPr>
            <w:fldChar w:fldCharType="end"/>
          </w:r>
          <w:r>
            <w:rPr>
              <w:color w:val="auto"/>
            </w:rPr>
            <w:fldChar w:fldCharType="end"/>
          </w:r>
        </w:p>
        <w:p w14:paraId="3308B655">
          <w:pPr>
            <w:pStyle w:val="14"/>
            <w:tabs>
              <w:tab w:val="right" w:leader="dot" w:pos="8306"/>
            </w:tabs>
            <w:spacing w:line="312" w:lineRule="auto"/>
            <w:rPr>
              <w:color w:val="auto"/>
            </w:rPr>
          </w:pPr>
          <w:r>
            <w:rPr>
              <w:color w:val="auto"/>
            </w:rPr>
            <w:fldChar w:fldCharType="begin"/>
          </w:r>
          <w:r>
            <w:rPr>
              <w:color w:val="auto"/>
            </w:rPr>
            <w:instrText xml:space="preserve"> HYPERLINK \l "_Toc12561" </w:instrText>
          </w:r>
          <w:r>
            <w:rPr>
              <w:color w:val="auto"/>
            </w:rPr>
            <w:fldChar w:fldCharType="separate"/>
          </w:r>
          <w:r>
            <w:rPr>
              <w:color w:val="auto"/>
            </w:rPr>
            <w:t>10</w:t>
          </w:r>
          <w:r>
            <w:rPr>
              <w:rFonts w:hint="eastAsia"/>
              <w:color w:val="auto"/>
            </w:rPr>
            <w:t>.</w:t>
          </w:r>
          <w:r>
            <w:rPr>
              <w:color w:val="auto"/>
            </w:rPr>
            <w:t>4</w:t>
          </w:r>
          <w:r>
            <w:rPr>
              <w:rFonts w:hint="eastAsia"/>
              <w:color w:val="auto"/>
            </w:rPr>
            <w:t xml:space="preserve">  模块单元连接</w:t>
          </w:r>
          <w:r>
            <w:rPr>
              <w:color w:val="auto"/>
            </w:rPr>
            <w:tab/>
          </w:r>
          <w:r>
            <w:rPr>
              <w:color w:val="auto"/>
            </w:rPr>
            <w:fldChar w:fldCharType="begin"/>
          </w:r>
          <w:r>
            <w:rPr>
              <w:color w:val="auto"/>
            </w:rPr>
            <w:instrText xml:space="preserve"> PAGEREF _Toc12561 \h </w:instrText>
          </w:r>
          <w:r>
            <w:rPr>
              <w:color w:val="auto"/>
            </w:rPr>
            <w:fldChar w:fldCharType="separate"/>
          </w:r>
          <w:r>
            <w:rPr>
              <w:color w:val="auto"/>
            </w:rPr>
            <w:t>68</w:t>
          </w:r>
          <w:r>
            <w:rPr>
              <w:color w:val="auto"/>
            </w:rPr>
            <w:fldChar w:fldCharType="end"/>
          </w:r>
          <w:r>
            <w:rPr>
              <w:color w:val="auto"/>
            </w:rPr>
            <w:fldChar w:fldCharType="end"/>
          </w:r>
        </w:p>
        <w:p w14:paraId="3D4BF101">
          <w:pPr>
            <w:pStyle w:val="14"/>
            <w:tabs>
              <w:tab w:val="right" w:leader="dot" w:pos="8306"/>
            </w:tabs>
            <w:spacing w:line="312" w:lineRule="auto"/>
            <w:rPr>
              <w:color w:val="auto"/>
            </w:rPr>
          </w:pPr>
          <w:r>
            <w:rPr>
              <w:color w:val="auto"/>
            </w:rPr>
            <w:fldChar w:fldCharType="begin"/>
          </w:r>
          <w:r>
            <w:rPr>
              <w:color w:val="auto"/>
            </w:rPr>
            <w:instrText xml:space="preserve"> HYPERLINK \l "_Toc15899" </w:instrText>
          </w:r>
          <w:r>
            <w:rPr>
              <w:color w:val="auto"/>
            </w:rPr>
            <w:fldChar w:fldCharType="separate"/>
          </w:r>
          <w:r>
            <w:rPr>
              <w:color w:val="auto"/>
            </w:rPr>
            <w:t>10</w:t>
          </w:r>
          <w:r>
            <w:rPr>
              <w:rFonts w:hint="eastAsia"/>
              <w:color w:val="auto"/>
            </w:rPr>
            <w:t>.</w:t>
          </w:r>
          <w:r>
            <w:rPr>
              <w:color w:val="auto"/>
            </w:rPr>
            <w:t>5</w:t>
          </w:r>
          <w:r>
            <w:rPr>
              <w:rFonts w:hint="eastAsia"/>
              <w:color w:val="auto"/>
            </w:rPr>
            <w:t xml:space="preserve">  施工安全与环境保护</w:t>
          </w:r>
          <w:r>
            <w:rPr>
              <w:color w:val="auto"/>
            </w:rPr>
            <w:tab/>
          </w:r>
          <w:r>
            <w:rPr>
              <w:color w:val="auto"/>
            </w:rPr>
            <w:fldChar w:fldCharType="begin"/>
          </w:r>
          <w:r>
            <w:rPr>
              <w:color w:val="auto"/>
            </w:rPr>
            <w:instrText xml:space="preserve"> PAGEREF _Toc15899 \h </w:instrText>
          </w:r>
          <w:r>
            <w:rPr>
              <w:color w:val="auto"/>
            </w:rPr>
            <w:fldChar w:fldCharType="separate"/>
          </w:r>
          <w:r>
            <w:rPr>
              <w:color w:val="auto"/>
            </w:rPr>
            <w:t>71</w:t>
          </w:r>
          <w:r>
            <w:rPr>
              <w:color w:val="auto"/>
            </w:rPr>
            <w:fldChar w:fldCharType="end"/>
          </w:r>
          <w:r>
            <w:rPr>
              <w:color w:val="auto"/>
            </w:rPr>
            <w:fldChar w:fldCharType="end"/>
          </w:r>
        </w:p>
        <w:p w14:paraId="5230F49D">
          <w:pPr>
            <w:pStyle w:val="13"/>
            <w:tabs>
              <w:tab w:val="right" w:leader="dot" w:pos="8306"/>
            </w:tabs>
            <w:spacing w:line="312" w:lineRule="auto"/>
            <w:rPr>
              <w:color w:val="auto"/>
            </w:rPr>
          </w:pPr>
          <w:r>
            <w:rPr>
              <w:color w:val="auto"/>
            </w:rPr>
            <w:fldChar w:fldCharType="begin"/>
          </w:r>
          <w:r>
            <w:rPr>
              <w:color w:val="auto"/>
            </w:rPr>
            <w:instrText xml:space="preserve"> HYPERLINK \l "_Toc31740" </w:instrText>
          </w:r>
          <w:r>
            <w:rPr>
              <w:color w:val="auto"/>
            </w:rPr>
            <w:fldChar w:fldCharType="separate"/>
          </w:r>
          <w:r>
            <w:rPr>
              <w:bCs/>
              <w:color w:val="auto"/>
            </w:rPr>
            <w:t>11</w:t>
          </w:r>
          <w:r>
            <w:rPr>
              <w:rFonts w:hint="eastAsia"/>
              <w:color w:val="auto"/>
            </w:rPr>
            <w:t xml:space="preserve">  </w:t>
          </w:r>
          <w:r>
            <w:rPr>
              <w:rFonts w:hint="eastAsia"/>
              <w:bCs/>
              <w:color w:val="auto"/>
            </w:rPr>
            <w:t>质量验收</w:t>
          </w:r>
          <w:r>
            <w:rPr>
              <w:color w:val="auto"/>
            </w:rPr>
            <w:tab/>
          </w:r>
          <w:r>
            <w:rPr>
              <w:color w:val="auto"/>
            </w:rPr>
            <w:fldChar w:fldCharType="begin"/>
          </w:r>
          <w:r>
            <w:rPr>
              <w:color w:val="auto"/>
            </w:rPr>
            <w:instrText xml:space="preserve"> PAGEREF _Toc31740 \h </w:instrText>
          </w:r>
          <w:r>
            <w:rPr>
              <w:color w:val="auto"/>
            </w:rPr>
            <w:fldChar w:fldCharType="separate"/>
          </w:r>
          <w:r>
            <w:rPr>
              <w:color w:val="auto"/>
            </w:rPr>
            <w:t>72</w:t>
          </w:r>
          <w:r>
            <w:rPr>
              <w:color w:val="auto"/>
            </w:rPr>
            <w:fldChar w:fldCharType="end"/>
          </w:r>
          <w:r>
            <w:rPr>
              <w:color w:val="auto"/>
            </w:rPr>
            <w:fldChar w:fldCharType="end"/>
          </w:r>
        </w:p>
        <w:p w14:paraId="4F2CF58D">
          <w:pPr>
            <w:pStyle w:val="14"/>
            <w:tabs>
              <w:tab w:val="right" w:leader="dot" w:pos="8306"/>
            </w:tabs>
            <w:spacing w:line="312" w:lineRule="auto"/>
            <w:rPr>
              <w:color w:val="auto"/>
            </w:rPr>
          </w:pPr>
          <w:r>
            <w:rPr>
              <w:color w:val="auto"/>
            </w:rPr>
            <w:fldChar w:fldCharType="begin"/>
          </w:r>
          <w:r>
            <w:rPr>
              <w:color w:val="auto"/>
            </w:rPr>
            <w:instrText xml:space="preserve"> HYPERLINK \l "_Toc4296" </w:instrText>
          </w:r>
          <w:r>
            <w:rPr>
              <w:color w:val="auto"/>
            </w:rPr>
            <w:fldChar w:fldCharType="separate"/>
          </w:r>
          <w:r>
            <w:rPr>
              <w:color w:val="auto"/>
            </w:rPr>
            <w:t>11</w:t>
          </w:r>
          <w:r>
            <w:rPr>
              <w:rFonts w:hint="eastAsia"/>
              <w:color w:val="auto"/>
            </w:rPr>
            <w:t>.</w:t>
          </w:r>
          <w:r>
            <w:rPr>
              <w:color w:val="auto"/>
            </w:rPr>
            <w:t>1</w:t>
          </w:r>
          <w:r>
            <w:rPr>
              <w:rFonts w:hint="eastAsia"/>
              <w:color w:val="auto"/>
            </w:rPr>
            <w:t xml:space="preserve">  一般规定</w:t>
          </w:r>
          <w:r>
            <w:rPr>
              <w:color w:val="auto"/>
            </w:rPr>
            <w:tab/>
          </w:r>
          <w:r>
            <w:rPr>
              <w:color w:val="auto"/>
            </w:rPr>
            <w:fldChar w:fldCharType="begin"/>
          </w:r>
          <w:r>
            <w:rPr>
              <w:color w:val="auto"/>
            </w:rPr>
            <w:instrText xml:space="preserve"> PAGEREF _Toc4296 \h </w:instrText>
          </w:r>
          <w:r>
            <w:rPr>
              <w:color w:val="auto"/>
            </w:rPr>
            <w:fldChar w:fldCharType="separate"/>
          </w:r>
          <w:r>
            <w:rPr>
              <w:color w:val="auto"/>
            </w:rPr>
            <w:t>72</w:t>
          </w:r>
          <w:r>
            <w:rPr>
              <w:color w:val="auto"/>
            </w:rPr>
            <w:fldChar w:fldCharType="end"/>
          </w:r>
          <w:r>
            <w:rPr>
              <w:color w:val="auto"/>
            </w:rPr>
            <w:fldChar w:fldCharType="end"/>
          </w:r>
        </w:p>
        <w:p w14:paraId="3832339C">
          <w:pPr>
            <w:pStyle w:val="14"/>
            <w:tabs>
              <w:tab w:val="right" w:leader="dot" w:pos="8306"/>
            </w:tabs>
            <w:spacing w:line="312" w:lineRule="auto"/>
            <w:rPr>
              <w:color w:val="auto"/>
            </w:rPr>
          </w:pPr>
          <w:r>
            <w:rPr>
              <w:color w:val="auto"/>
            </w:rPr>
            <w:fldChar w:fldCharType="begin"/>
          </w:r>
          <w:r>
            <w:rPr>
              <w:color w:val="auto"/>
            </w:rPr>
            <w:instrText xml:space="preserve"> HYPERLINK \l "_Toc11976" </w:instrText>
          </w:r>
          <w:r>
            <w:rPr>
              <w:color w:val="auto"/>
            </w:rPr>
            <w:fldChar w:fldCharType="separate"/>
          </w:r>
          <w:r>
            <w:rPr>
              <w:color w:val="auto"/>
            </w:rPr>
            <w:t>11</w:t>
          </w:r>
          <w:r>
            <w:rPr>
              <w:rFonts w:hint="eastAsia"/>
              <w:color w:val="auto"/>
            </w:rPr>
            <w:t>.</w:t>
          </w:r>
          <w:r>
            <w:rPr>
              <w:color w:val="auto"/>
            </w:rPr>
            <w:t>2</w:t>
          </w:r>
          <w:r>
            <w:rPr>
              <w:rFonts w:hint="eastAsia"/>
              <w:color w:val="auto"/>
            </w:rPr>
            <w:t xml:space="preserve">  模块单元进场验收</w:t>
          </w:r>
          <w:r>
            <w:rPr>
              <w:color w:val="auto"/>
            </w:rPr>
            <w:tab/>
          </w:r>
          <w:r>
            <w:rPr>
              <w:color w:val="auto"/>
            </w:rPr>
            <w:fldChar w:fldCharType="begin"/>
          </w:r>
          <w:r>
            <w:rPr>
              <w:color w:val="auto"/>
            </w:rPr>
            <w:instrText xml:space="preserve"> PAGEREF _Toc11976 \h </w:instrText>
          </w:r>
          <w:r>
            <w:rPr>
              <w:color w:val="auto"/>
            </w:rPr>
            <w:fldChar w:fldCharType="separate"/>
          </w:r>
          <w:r>
            <w:rPr>
              <w:color w:val="auto"/>
            </w:rPr>
            <w:t>73</w:t>
          </w:r>
          <w:r>
            <w:rPr>
              <w:color w:val="auto"/>
            </w:rPr>
            <w:fldChar w:fldCharType="end"/>
          </w:r>
          <w:r>
            <w:rPr>
              <w:color w:val="auto"/>
            </w:rPr>
            <w:fldChar w:fldCharType="end"/>
          </w:r>
        </w:p>
        <w:p w14:paraId="7E100570">
          <w:pPr>
            <w:pStyle w:val="14"/>
            <w:tabs>
              <w:tab w:val="right" w:leader="dot" w:pos="8306"/>
            </w:tabs>
            <w:spacing w:line="312" w:lineRule="auto"/>
            <w:rPr>
              <w:color w:val="auto"/>
            </w:rPr>
          </w:pPr>
          <w:r>
            <w:rPr>
              <w:color w:val="auto"/>
            </w:rPr>
            <w:fldChar w:fldCharType="begin"/>
          </w:r>
          <w:r>
            <w:rPr>
              <w:color w:val="auto"/>
            </w:rPr>
            <w:instrText xml:space="preserve"> HYPERLINK \l "_Toc10376" </w:instrText>
          </w:r>
          <w:r>
            <w:rPr>
              <w:color w:val="auto"/>
            </w:rPr>
            <w:fldChar w:fldCharType="separate"/>
          </w:r>
          <w:r>
            <w:rPr>
              <w:color w:val="auto"/>
            </w:rPr>
            <w:t>11</w:t>
          </w:r>
          <w:r>
            <w:rPr>
              <w:rFonts w:hint="eastAsia"/>
              <w:color w:val="auto"/>
            </w:rPr>
            <w:t>.</w:t>
          </w:r>
          <w:r>
            <w:rPr>
              <w:color w:val="auto"/>
            </w:rPr>
            <w:t>3</w:t>
          </w:r>
          <w:r>
            <w:rPr>
              <w:rFonts w:hint="eastAsia"/>
              <w:color w:val="auto"/>
            </w:rPr>
            <w:t xml:space="preserve">  模块单元安装与连接</w:t>
          </w:r>
          <w:r>
            <w:rPr>
              <w:color w:val="auto"/>
            </w:rPr>
            <w:tab/>
          </w:r>
          <w:r>
            <w:rPr>
              <w:color w:val="auto"/>
            </w:rPr>
            <w:fldChar w:fldCharType="begin"/>
          </w:r>
          <w:r>
            <w:rPr>
              <w:color w:val="auto"/>
            </w:rPr>
            <w:instrText xml:space="preserve"> PAGEREF _Toc10376 \h </w:instrText>
          </w:r>
          <w:r>
            <w:rPr>
              <w:color w:val="auto"/>
            </w:rPr>
            <w:fldChar w:fldCharType="separate"/>
          </w:r>
          <w:r>
            <w:rPr>
              <w:color w:val="auto"/>
            </w:rPr>
            <w:t>74</w:t>
          </w:r>
          <w:r>
            <w:rPr>
              <w:color w:val="auto"/>
            </w:rPr>
            <w:fldChar w:fldCharType="end"/>
          </w:r>
          <w:r>
            <w:rPr>
              <w:color w:val="auto"/>
            </w:rPr>
            <w:fldChar w:fldCharType="end"/>
          </w:r>
        </w:p>
        <w:p w14:paraId="706BCA96">
          <w:pPr>
            <w:pStyle w:val="14"/>
            <w:tabs>
              <w:tab w:val="right" w:leader="dot" w:pos="8306"/>
            </w:tabs>
            <w:spacing w:line="312" w:lineRule="auto"/>
            <w:rPr>
              <w:color w:val="auto"/>
            </w:rPr>
          </w:pPr>
          <w:r>
            <w:rPr>
              <w:color w:val="auto"/>
            </w:rPr>
            <w:fldChar w:fldCharType="begin"/>
          </w:r>
          <w:r>
            <w:rPr>
              <w:color w:val="auto"/>
            </w:rPr>
            <w:instrText xml:space="preserve"> HYPERLINK \l "_Toc17722" </w:instrText>
          </w:r>
          <w:r>
            <w:rPr>
              <w:color w:val="auto"/>
            </w:rPr>
            <w:fldChar w:fldCharType="separate"/>
          </w:r>
          <w:r>
            <w:rPr>
              <w:color w:val="auto"/>
            </w:rPr>
            <w:t>11</w:t>
          </w:r>
          <w:r>
            <w:rPr>
              <w:rFonts w:hint="eastAsia"/>
              <w:color w:val="auto"/>
            </w:rPr>
            <w:t>.</w:t>
          </w:r>
          <w:r>
            <w:rPr>
              <w:color w:val="auto"/>
            </w:rPr>
            <w:t>4</w:t>
          </w:r>
          <w:r>
            <w:rPr>
              <w:rFonts w:hint="eastAsia"/>
              <w:color w:val="auto"/>
            </w:rPr>
            <w:t xml:space="preserve">  设备管线安装</w:t>
          </w:r>
          <w:r>
            <w:rPr>
              <w:color w:val="auto"/>
            </w:rPr>
            <w:tab/>
          </w:r>
          <w:r>
            <w:rPr>
              <w:color w:val="auto"/>
            </w:rPr>
            <w:fldChar w:fldCharType="begin"/>
          </w:r>
          <w:r>
            <w:rPr>
              <w:color w:val="auto"/>
            </w:rPr>
            <w:instrText xml:space="preserve"> PAGEREF _Toc17722 \h </w:instrText>
          </w:r>
          <w:r>
            <w:rPr>
              <w:color w:val="auto"/>
            </w:rPr>
            <w:fldChar w:fldCharType="separate"/>
          </w:r>
          <w:r>
            <w:rPr>
              <w:color w:val="auto"/>
            </w:rPr>
            <w:t>75</w:t>
          </w:r>
          <w:r>
            <w:rPr>
              <w:color w:val="auto"/>
            </w:rPr>
            <w:fldChar w:fldCharType="end"/>
          </w:r>
          <w:r>
            <w:rPr>
              <w:color w:val="auto"/>
            </w:rPr>
            <w:fldChar w:fldCharType="end"/>
          </w:r>
        </w:p>
        <w:p w14:paraId="6B412358">
          <w:pPr>
            <w:pStyle w:val="13"/>
            <w:tabs>
              <w:tab w:val="right" w:leader="dot" w:pos="8306"/>
            </w:tabs>
            <w:spacing w:line="312" w:lineRule="auto"/>
            <w:rPr>
              <w:color w:val="auto"/>
            </w:rPr>
          </w:pPr>
          <w:r>
            <w:rPr>
              <w:color w:val="auto"/>
            </w:rPr>
            <w:fldChar w:fldCharType="begin"/>
          </w:r>
          <w:r>
            <w:rPr>
              <w:color w:val="auto"/>
            </w:rPr>
            <w:instrText xml:space="preserve"> HYPERLINK \l "_Toc448" </w:instrText>
          </w:r>
          <w:r>
            <w:rPr>
              <w:color w:val="auto"/>
            </w:rPr>
            <w:fldChar w:fldCharType="separate"/>
          </w:r>
          <w:r>
            <w:rPr>
              <w:bCs/>
              <w:color w:val="auto"/>
            </w:rPr>
            <w:t>12</w:t>
          </w:r>
          <w:r>
            <w:rPr>
              <w:rFonts w:hint="eastAsia"/>
              <w:color w:val="auto"/>
            </w:rPr>
            <w:t xml:space="preserve">  </w:t>
          </w:r>
          <w:r>
            <w:rPr>
              <w:rFonts w:hint="eastAsia"/>
              <w:bCs/>
              <w:color w:val="auto"/>
            </w:rPr>
            <w:t>智能建造与运维</w:t>
          </w:r>
          <w:r>
            <w:rPr>
              <w:color w:val="auto"/>
            </w:rPr>
            <w:tab/>
          </w:r>
          <w:r>
            <w:rPr>
              <w:color w:val="auto"/>
            </w:rPr>
            <w:fldChar w:fldCharType="begin"/>
          </w:r>
          <w:r>
            <w:rPr>
              <w:color w:val="auto"/>
            </w:rPr>
            <w:instrText xml:space="preserve"> PAGEREF _Toc448 \h </w:instrText>
          </w:r>
          <w:r>
            <w:rPr>
              <w:color w:val="auto"/>
            </w:rPr>
            <w:fldChar w:fldCharType="separate"/>
          </w:r>
          <w:r>
            <w:rPr>
              <w:color w:val="auto"/>
            </w:rPr>
            <w:t>76</w:t>
          </w:r>
          <w:r>
            <w:rPr>
              <w:color w:val="auto"/>
            </w:rPr>
            <w:fldChar w:fldCharType="end"/>
          </w:r>
          <w:r>
            <w:rPr>
              <w:color w:val="auto"/>
            </w:rPr>
            <w:fldChar w:fldCharType="end"/>
          </w:r>
        </w:p>
        <w:p w14:paraId="57F8E02F">
          <w:pPr>
            <w:pStyle w:val="14"/>
            <w:tabs>
              <w:tab w:val="right" w:leader="dot" w:pos="8306"/>
            </w:tabs>
            <w:spacing w:line="312" w:lineRule="auto"/>
            <w:rPr>
              <w:color w:val="auto"/>
            </w:rPr>
          </w:pPr>
          <w:r>
            <w:rPr>
              <w:color w:val="auto"/>
            </w:rPr>
            <w:fldChar w:fldCharType="begin"/>
          </w:r>
          <w:r>
            <w:rPr>
              <w:color w:val="auto"/>
            </w:rPr>
            <w:instrText xml:space="preserve"> HYPERLINK \l "_Toc17164" </w:instrText>
          </w:r>
          <w:r>
            <w:rPr>
              <w:color w:val="auto"/>
            </w:rPr>
            <w:fldChar w:fldCharType="separate"/>
          </w:r>
          <w:r>
            <w:rPr>
              <w:color w:val="auto"/>
            </w:rPr>
            <w:t>12</w:t>
          </w:r>
          <w:r>
            <w:rPr>
              <w:rFonts w:hint="eastAsia"/>
              <w:color w:val="auto"/>
            </w:rPr>
            <w:t>.</w:t>
          </w:r>
          <w:r>
            <w:rPr>
              <w:color w:val="auto"/>
            </w:rPr>
            <w:t>1</w:t>
          </w:r>
          <w:r>
            <w:rPr>
              <w:rFonts w:hint="eastAsia"/>
              <w:color w:val="auto"/>
            </w:rPr>
            <w:t xml:space="preserve">  一般规定</w:t>
          </w:r>
          <w:r>
            <w:rPr>
              <w:color w:val="auto"/>
            </w:rPr>
            <w:tab/>
          </w:r>
          <w:r>
            <w:rPr>
              <w:color w:val="auto"/>
            </w:rPr>
            <w:fldChar w:fldCharType="begin"/>
          </w:r>
          <w:r>
            <w:rPr>
              <w:color w:val="auto"/>
            </w:rPr>
            <w:instrText xml:space="preserve"> PAGEREF _Toc17164 \h </w:instrText>
          </w:r>
          <w:r>
            <w:rPr>
              <w:color w:val="auto"/>
            </w:rPr>
            <w:fldChar w:fldCharType="separate"/>
          </w:r>
          <w:r>
            <w:rPr>
              <w:color w:val="auto"/>
            </w:rPr>
            <w:t>76</w:t>
          </w:r>
          <w:r>
            <w:rPr>
              <w:color w:val="auto"/>
            </w:rPr>
            <w:fldChar w:fldCharType="end"/>
          </w:r>
          <w:r>
            <w:rPr>
              <w:color w:val="auto"/>
            </w:rPr>
            <w:fldChar w:fldCharType="end"/>
          </w:r>
        </w:p>
        <w:p w14:paraId="2C7DF2E1">
          <w:pPr>
            <w:pStyle w:val="14"/>
            <w:tabs>
              <w:tab w:val="right" w:leader="dot" w:pos="8306"/>
            </w:tabs>
            <w:spacing w:line="312" w:lineRule="auto"/>
            <w:rPr>
              <w:color w:val="auto"/>
            </w:rPr>
          </w:pPr>
          <w:r>
            <w:rPr>
              <w:color w:val="auto"/>
            </w:rPr>
            <w:fldChar w:fldCharType="begin"/>
          </w:r>
          <w:r>
            <w:rPr>
              <w:color w:val="auto"/>
            </w:rPr>
            <w:instrText xml:space="preserve"> HYPERLINK \l "_Toc20098" </w:instrText>
          </w:r>
          <w:r>
            <w:rPr>
              <w:color w:val="auto"/>
            </w:rPr>
            <w:fldChar w:fldCharType="separate"/>
          </w:r>
          <w:r>
            <w:rPr>
              <w:color w:val="auto"/>
            </w:rPr>
            <w:t>12</w:t>
          </w:r>
          <w:r>
            <w:rPr>
              <w:rFonts w:hint="eastAsia"/>
              <w:color w:val="auto"/>
            </w:rPr>
            <w:t>.</w:t>
          </w:r>
          <w:r>
            <w:rPr>
              <w:color w:val="auto"/>
            </w:rPr>
            <w:t>2</w:t>
          </w:r>
          <w:r>
            <w:rPr>
              <w:rFonts w:hint="eastAsia"/>
              <w:color w:val="auto"/>
            </w:rPr>
            <w:t xml:space="preserve">  数字设计</w:t>
          </w:r>
          <w:r>
            <w:rPr>
              <w:color w:val="auto"/>
            </w:rPr>
            <w:tab/>
          </w:r>
          <w:r>
            <w:rPr>
              <w:color w:val="auto"/>
            </w:rPr>
            <w:fldChar w:fldCharType="begin"/>
          </w:r>
          <w:r>
            <w:rPr>
              <w:color w:val="auto"/>
            </w:rPr>
            <w:instrText xml:space="preserve"> PAGEREF _Toc20098 \h </w:instrText>
          </w:r>
          <w:r>
            <w:rPr>
              <w:color w:val="auto"/>
            </w:rPr>
            <w:fldChar w:fldCharType="separate"/>
          </w:r>
          <w:r>
            <w:rPr>
              <w:color w:val="auto"/>
            </w:rPr>
            <w:t>76</w:t>
          </w:r>
          <w:r>
            <w:rPr>
              <w:color w:val="auto"/>
            </w:rPr>
            <w:fldChar w:fldCharType="end"/>
          </w:r>
          <w:r>
            <w:rPr>
              <w:color w:val="auto"/>
            </w:rPr>
            <w:fldChar w:fldCharType="end"/>
          </w:r>
        </w:p>
        <w:p w14:paraId="12A46641">
          <w:pPr>
            <w:pStyle w:val="14"/>
            <w:tabs>
              <w:tab w:val="right" w:leader="dot" w:pos="8306"/>
            </w:tabs>
            <w:spacing w:line="312" w:lineRule="auto"/>
            <w:rPr>
              <w:color w:val="auto"/>
            </w:rPr>
          </w:pPr>
          <w:r>
            <w:rPr>
              <w:color w:val="auto"/>
            </w:rPr>
            <w:fldChar w:fldCharType="begin"/>
          </w:r>
          <w:r>
            <w:rPr>
              <w:color w:val="auto"/>
            </w:rPr>
            <w:instrText xml:space="preserve"> HYPERLINK \l "_Toc25152" </w:instrText>
          </w:r>
          <w:r>
            <w:rPr>
              <w:color w:val="auto"/>
            </w:rPr>
            <w:fldChar w:fldCharType="separate"/>
          </w:r>
          <w:r>
            <w:rPr>
              <w:color w:val="auto"/>
            </w:rPr>
            <w:t>12</w:t>
          </w:r>
          <w:r>
            <w:rPr>
              <w:rFonts w:hint="eastAsia"/>
              <w:color w:val="auto"/>
            </w:rPr>
            <w:t>.3  智能生产</w:t>
          </w:r>
          <w:r>
            <w:rPr>
              <w:color w:val="auto"/>
            </w:rPr>
            <w:tab/>
          </w:r>
          <w:r>
            <w:rPr>
              <w:color w:val="auto"/>
            </w:rPr>
            <w:fldChar w:fldCharType="begin"/>
          </w:r>
          <w:r>
            <w:rPr>
              <w:color w:val="auto"/>
            </w:rPr>
            <w:instrText xml:space="preserve"> PAGEREF _Toc25152 \h </w:instrText>
          </w:r>
          <w:r>
            <w:rPr>
              <w:color w:val="auto"/>
            </w:rPr>
            <w:fldChar w:fldCharType="separate"/>
          </w:r>
          <w:r>
            <w:rPr>
              <w:color w:val="auto"/>
            </w:rPr>
            <w:t>77</w:t>
          </w:r>
          <w:r>
            <w:rPr>
              <w:color w:val="auto"/>
            </w:rPr>
            <w:fldChar w:fldCharType="end"/>
          </w:r>
          <w:r>
            <w:rPr>
              <w:color w:val="auto"/>
            </w:rPr>
            <w:fldChar w:fldCharType="end"/>
          </w:r>
        </w:p>
        <w:p w14:paraId="191DBAE3">
          <w:pPr>
            <w:pStyle w:val="14"/>
            <w:tabs>
              <w:tab w:val="right" w:leader="dot" w:pos="8306"/>
            </w:tabs>
            <w:spacing w:line="312" w:lineRule="auto"/>
            <w:rPr>
              <w:color w:val="auto"/>
            </w:rPr>
          </w:pPr>
          <w:r>
            <w:rPr>
              <w:color w:val="auto"/>
            </w:rPr>
            <w:fldChar w:fldCharType="begin"/>
          </w:r>
          <w:r>
            <w:rPr>
              <w:color w:val="auto"/>
            </w:rPr>
            <w:instrText xml:space="preserve"> HYPERLINK \l "_Toc22555" </w:instrText>
          </w:r>
          <w:r>
            <w:rPr>
              <w:color w:val="auto"/>
            </w:rPr>
            <w:fldChar w:fldCharType="separate"/>
          </w:r>
          <w:r>
            <w:rPr>
              <w:color w:val="auto"/>
            </w:rPr>
            <w:t>12</w:t>
          </w:r>
          <w:r>
            <w:rPr>
              <w:rFonts w:hint="eastAsia"/>
              <w:color w:val="auto"/>
            </w:rPr>
            <w:t>.4  智能施工</w:t>
          </w:r>
          <w:r>
            <w:rPr>
              <w:color w:val="auto"/>
            </w:rPr>
            <w:tab/>
          </w:r>
          <w:r>
            <w:rPr>
              <w:color w:val="auto"/>
            </w:rPr>
            <w:fldChar w:fldCharType="begin"/>
          </w:r>
          <w:r>
            <w:rPr>
              <w:color w:val="auto"/>
            </w:rPr>
            <w:instrText xml:space="preserve"> PAGEREF _Toc22555 \h </w:instrText>
          </w:r>
          <w:r>
            <w:rPr>
              <w:color w:val="auto"/>
            </w:rPr>
            <w:fldChar w:fldCharType="separate"/>
          </w:r>
          <w:r>
            <w:rPr>
              <w:color w:val="auto"/>
            </w:rPr>
            <w:t>77</w:t>
          </w:r>
          <w:r>
            <w:rPr>
              <w:color w:val="auto"/>
            </w:rPr>
            <w:fldChar w:fldCharType="end"/>
          </w:r>
          <w:r>
            <w:rPr>
              <w:color w:val="auto"/>
            </w:rPr>
            <w:fldChar w:fldCharType="end"/>
          </w:r>
        </w:p>
        <w:p w14:paraId="7CB24B81">
          <w:pPr>
            <w:pStyle w:val="14"/>
            <w:tabs>
              <w:tab w:val="right" w:leader="dot" w:pos="8306"/>
            </w:tabs>
            <w:spacing w:line="312" w:lineRule="auto"/>
            <w:rPr>
              <w:color w:val="auto"/>
            </w:rPr>
          </w:pPr>
          <w:r>
            <w:rPr>
              <w:color w:val="auto"/>
            </w:rPr>
            <w:fldChar w:fldCharType="begin"/>
          </w:r>
          <w:r>
            <w:rPr>
              <w:color w:val="auto"/>
            </w:rPr>
            <w:instrText xml:space="preserve"> HYPERLINK \l "_Toc10488" </w:instrText>
          </w:r>
          <w:r>
            <w:rPr>
              <w:color w:val="auto"/>
            </w:rPr>
            <w:fldChar w:fldCharType="separate"/>
          </w:r>
          <w:r>
            <w:rPr>
              <w:color w:val="auto"/>
            </w:rPr>
            <w:t>12</w:t>
          </w:r>
          <w:r>
            <w:rPr>
              <w:rFonts w:hint="eastAsia"/>
              <w:color w:val="auto"/>
            </w:rPr>
            <w:t>.5  智慧运维</w:t>
          </w:r>
          <w:r>
            <w:rPr>
              <w:color w:val="auto"/>
            </w:rPr>
            <w:tab/>
          </w:r>
          <w:r>
            <w:rPr>
              <w:color w:val="auto"/>
            </w:rPr>
            <w:fldChar w:fldCharType="begin"/>
          </w:r>
          <w:r>
            <w:rPr>
              <w:color w:val="auto"/>
            </w:rPr>
            <w:instrText xml:space="preserve"> PAGEREF _Toc10488 \h </w:instrText>
          </w:r>
          <w:r>
            <w:rPr>
              <w:color w:val="auto"/>
            </w:rPr>
            <w:fldChar w:fldCharType="separate"/>
          </w:r>
          <w:r>
            <w:rPr>
              <w:color w:val="auto"/>
            </w:rPr>
            <w:t>78</w:t>
          </w:r>
          <w:r>
            <w:rPr>
              <w:color w:val="auto"/>
            </w:rPr>
            <w:fldChar w:fldCharType="end"/>
          </w:r>
          <w:r>
            <w:rPr>
              <w:color w:val="auto"/>
            </w:rPr>
            <w:fldChar w:fldCharType="end"/>
          </w:r>
        </w:p>
        <w:p w14:paraId="3F853DEF">
          <w:pPr>
            <w:pStyle w:val="13"/>
            <w:tabs>
              <w:tab w:val="right" w:leader="dot" w:pos="8306"/>
            </w:tabs>
            <w:spacing w:line="312" w:lineRule="auto"/>
            <w:rPr>
              <w:color w:val="auto"/>
            </w:rPr>
          </w:pPr>
          <w:r>
            <w:rPr>
              <w:color w:val="auto"/>
            </w:rPr>
            <w:fldChar w:fldCharType="begin"/>
          </w:r>
          <w:r>
            <w:rPr>
              <w:color w:val="auto"/>
            </w:rPr>
            <w:instrText xml:space="preserve"> HYPERLINK \l "_Toc3589" </w:instrText>
          </w:r>
          <w:r>
            <w:rPr>
              <w:color w:val="auto"/>
            </w:rPr>
            <w:fldChar w:fldCharType="separate"/>
          </w:r>
          <w:r>
            <w:rPr>
              <w:color w:val="auto"/>
            </w:rPr>
            <w:t>附录A</w:t>
          </w:r>
          <w:r>
            <w:rPr>
              <w:rFonts w:hint="eastAsia"/>
              <w:color w:val="auto"/>
            </w:rPr>
            <w:t xml:space="preserve">  </w:t>
          </w:r>
          <w:r>
            <w:rPr>
              <w:color w:val="auto"/>
            </w:rPr>
            <w:t>模块单元出厂合格证</w:t>
          </w:r>
          <w:r>
            <w:rPr>
              <w:color w:val="auto"/>
            </w:rPr>
            <w:tab/>
          </w:r>
          <w:r>
            <w:rPr>
              <w:color w:val="auto"/>
            </w:rPr>
            <w:fldChar w:fldCharType="begin"/>
          </w:r>
          <w:r>
            <w:rPr>
              <w:color w:val="auto"/>
            </w:rPr>
            <w:instrText xml:space="preserve"> PAGEREF _Toc3589 \h </w:instrText>
          </w:r>
          <w:r>
            <w:rPr>
              <w:color w:val="auto"/>
            </w:rPr>
            <w:fldChar w:fldCharType="separate"/>
          </w:r>
          <w:r>
            <w:rPr>
              <w:color w:val="auto"/>
            </w:rPr>
            <w:t>80</w:t>
          </w:r>
          <w:r>
            <w:rPr>
              <w:color w:val="auto"/>
            </w:rPr>
            <w:fldChar w:fldCharType="end"/>
          </w:r>
          <w:r>
            <w:rPr>
              <w:color w:val="auto"/>
            </w:rPr>
            <w:fldChar w:fldCharType="end"/>
          </w:r>
        </w:p>
        <w:p w14:paraId="1269A9CD">
          <w:pPr>
            <w:pStyle w:val="13"/>
            <w:tabs>
              <w:tab w:val="right" w:leader="dot" w:pos="8306"/>
            </w:tabs>
            <w:spacing w:line="312" w:lineRule="auto"/>
            <w:rPr>
              <w:color w:val="auto"/>
            </w:rPr>
          </w:pPr>
          <w:r>
            <w:rPr>
              <w:color w:val="auto"/>
            </w:rPr>
            <w:fldChar w:fldCharType="begin"/>
          </w:r>
          <w:r>
            <w:rPr>
              <w:color w:val="auto"/>
            </w:rPr>
            <w:instrText xml:space="preserve"> HYPERLINK \l "_Toc19236" </w:instrText>
          </w:r>
          <w:r>
            <w:rPr>
              <w:color w:val="auto"/>
            </w:rPr>
            <w:fldChar w:fldCharType="separate"/>
          </w:r>
          <w:r>
            <w:rPr>
              <w:rFonts w:hint="eastAsia"/>
              <w:color w:val="auto"/>
            </w:rPr>
            <w:t>附录B  模块单元产品质量验收记录</w:t>
          </w:r>
          <w:r>
            <w:rPr>
              <w:color w:val="auto"/>
            </w:rPr>
            <w:tab/>
          </w:r>
          <w:r>
            <w:rPr>
              <w:color w:val="auto"/>
            </w:rPr>
            <w:fldChar w:fldCharType="begin"/>
          </w:r>
          <w:r>
            <w:rPr>
              <w:color w:val="auto"/>
            </w:rPr>
            <w:instrText xml:space="preserve"> PAGEREF _Toc19236 \h </w:instrText>
          </w:r>
          <w:r>
            <w:rPr>
              <w:color w:val="auto"/>
            </w:rPr>
            <w:fldChar w:fldCharType="separate"/>
          </w:r>
          <w:r>
            <w:rPr>
              <w:color w:val="auto"/>
            </w:rPr>
            <w:t>81</w:t>
          </w:r>
          <w:r>
            <w:rPr>
              <w:color w:val="auto"/>
            </w:rPr>
            <w:fldChar w:fldCharType="end"/>
          </w:r>
          <w:r>
            <w:rPr>
              <w:color w:val="auto"/>
            </w:rPr>
            <w:fldChar w:fldCharType="end"/>
          </w:r>
        </w:p>
        <w:p w14:paraId="2B45170F">
          <w:pPr>
            <w:pStyle w:val="13"/>
            <w:tabs>
              <w:tab w:val="right" w:leader="dot" w:pos="8306"/>
            </w:tabs>
            <w:spacing w:line="312" w:lineRule="auto"/>
            <w:rPr>
              <w:color w:val="auto"/>
            </w:rPr>
          </w:pPr>
          <w:r>
            <w:rPr>
              <w:color w:val="auto"/>
            </w:rPr>
            <w:fldChar w:fldCharType="begin"/>
          </w:r>
          <w:r>
            <w:rPr>
              <w:color w:val="auto"/>
            </w:rPr>
            <w:instrText xml:space="preserve"> HYPERLINK \l "_Toc13666" </w:instrText>
          </w:r>
          <w:r>
            <w:rPr>
              <w:color w:val="auto"/>
            </w:rPr>
            <w:fldChar w:fldCharType="separate"/>
          </w:r>
          <w:r>
            <w:rPr>
              <w:rFonts w:hint="eastAsia"/>
              <w:color w:val="auto"/>
            </w:rPr>
            <w:t>附录C</w:t>
          </w:r>
          <w:r>
            <w:rPr>
              <w:color w:val="auto"/>
            </w:rPr>
            <w:t xml:space="preserve"> </w:t>
          </w:r>
          <w:r>
            <w:rPr>
              <w:rFonts w:hint="eastAsia"/>
              <w:color w:val="auto"/>
            </w:rPr>
            <w:t xml:space="preserve"> </w:t>
          </w:r>
          <w:r>
            <w:rPr>
              <w:rFonts w:hint="eastAsia"/>
              <w:bCs/>
              <w:color w:val="auto"/>
            </w:rPr>
            <w:t>模块单元吊装测试</w:t>
          </w:r>
          <w:r>
            <w:rPr>
              <w:color w:val="auto"/>
            </w:rPr>
            <w:tab/>
          </w:r>
          <w:r>
            <w:rPr>
              <w:color w:val="auto"/>
            </w:rPr>
            <w:fldChar w:fldCharType="begin"/>
          </w:r>
          <w:r>
            <w:rPr>
              <w:color w:val="auto"/>
            </w:rPr>
            <w:instrText xml:space="preserve"> PAGEREF _Toc13666 \h </w:instrText>
          </w:r>
          <w:r>
            <w:rPr>
              <w:color w:val="auto"/>
            </w:rPr>
            <w:fldChar w:fldCharType="separate"/>
          </w:r>
          <w:r>
            <w:rPr>
              <w:color w:val="auto"/>
            </w:rPr>
            <w:t>88</w:t>
          </w:r>
          <w:r>
            <w:rPr>
              <w:color w:val="auto"/>
            </w:rPr>
            <w:fldChar w:fldCharType="end"/>
          </w:r>
          <w:r>
            <w:rPr>
              <w:color w:val="auto"/>
            </w:rPr>
            <w:fldChar w:fldCharType="end"/>
          </w:r>
        </w:p>
        <w:p w14:paraId="69AE5F0A">
          <w:pPr>
            <w:pStyle w:val="13"/>
            <w:tabs>
              <w:tab w:val="right" w:leader="dot" w:pos="8306"/>
            </w:tabs>
            <w:spacing w:line="312" w:lineRule="auto"/>
            <w:rPr>
              <w:color w:val="auto"/>
            </w:rPr>
          </w:pPr>
          <w:r>
            <w:rPr>
              <w:color w:val="auto"/>
            </w:rPr>
            <w:fldChar w:fldCharType="begin"/>
          </w:r>
          <w:r>
            <w:rPr>
              <w:color w:val="auto"/>
            </w:rPr>
            <w:instrText xml:space="preserve"> HYPERLINK \l "_Toc7813" </w:instrText>
          </w:r>
          <w:r>
            <w:rPr>
              <w:color w:val="auto"/>
            </w:rPr>
            <w:fldChar w:fldCharType="separate"/>
          </w:r>
          <w:r>
            <w:rPr>
              <w:rFonts w:hint="eastAsia"/>
              <w:bCs/>
              <w:color w:val="auto"/>
            </w:rPr>
            <w:t>本标准用词说明</w:t>
          </w:r>
          <w:r>
            <w:rPr>
              <w:color w:val="auto"/>
            </w:rPr>
            <w:tab/>
          </w:r>
          <w:r>
            <w:rPr>
              <w:color w:val="auto"/>
            </w:rPr>
            <w:fldChar w:fldCharType="begin"/>
          </w:r>
          <w:r>
            <w:rPr>
              <w:color w:val="auto"/>
            </w:rPr>
            <w:instrText xml:space="preserve"> PAGEREF _Toc7813 \h </w:instrText>
          </w:r>
          <w:r>
            <w:rPr>
              <w:color w:val="auto"/>
            </w:rPr>
            <w:fldChar w:fldCharType="separate"/>
          </w:r>
          <w:r>
            <w:rPr>
              <w:color w:val="auto"/>
            </w:rPr>
            <w:t>89</w:t>
          </w:r>
          <w:r>
            <w:rPr>
              <w:color w:val="auto"/>
            </w:rPr>
            <w:fldChar w:fldCharType="end"/>
          </w:r>
          <w:r>
            <w:rPr>
              <w:color w:val="auto"/>
            </w:rPr>
            <w:fldChar w:fldCharType="end"/>
          </w:r>
        </w:p>
        <w:p w14:paraId="7B64C30E">
          <w:pPr>
            <w:pStyle w:val="13"/>
            <w:tabs>
              <w:tab w:val="right" w:leader="dot" w:pos="8306"/>
            </w:tabs>
            <w:spacing w:line="312" w:lineRule="auto"/>
            <w:rPr>
              <w:color w:val="auto"/>
            </w:rPr>
          </w:pPr>
          <w:r>
            <w:rPr>
              <w:color w:val="auto"/>
            </w:rPr>
            <w:fldChar w:fldCharType="begin"/>
          </w:r>
          <w:r>
            <w:rPr>
              <w:color w:val="auto"/>
            </w:rPr>
            <w:instrText xml:space="preserve"> HYPERLINK \l "_Toc1397" </w:instrText>
          </w:r>
          <w:r>
            <w:rPr>
              <w:color w:val="auto"/>
            </w:rPr>
            <w:fldChar w:fldCharType="separate"/>
          </w:r>
          <w:r>
            <w:rPr>
              <w:rFonts w:hint="eastAsia"/>
              <w:color w:val="auto"/>
            </w:rPr>
            <w:t>引用标准目录</w:t>
          </w:r>
          <w:r>
            <w:rPr>
              <w:color w:val="auto"/>
            </w:rPr>
            <w:tab/>
          </w:r>
          <w:r>
            <w:rPr>
              <w:color w:val="auto"/>
            </w:rPr>
            <w:fldChar w:fldCharType="begin"/>
          </w:r>
          <w:r>
            <w:rPr>
              <w:color w:val="auto"/>
            </w:rPr>
            <w:instrText xml:space="preserve"> PAGEREF _Toc1397 \h </w:instrText>
          </w:r>
          <w:r>
            <w:rPr>
              <w:color w:val="auto"/>
            </w:rPr>
            <w:fldChar w:fldCharType="separate"/>
          </w:r>
          <w:r>
            <w:rPr>
              <w:color w:val="auto"/>
            </w:rPr>
            <w:t>90</w:t>
          </w:r>
          <w:r>
            <w:rPr>
              <w:color w:val="auto"/>
            </w:rPr>
            <w:fldChar w:fldCharType="end"/>
          </w:r>
          <w:r>
            <w:rPr>
              <w:color w:val="auto"/>
            </w:rPr>
            <w:fldChar w:fldCharType="end"/>
          </w:r>
        </w:p>
        <w:p w14:paraId="4B3773A3">
          <w:pPr>
            <w:adjustRightInd w:val="0"/>
            <w:snapToGrid w:val="0"/>
            <w:spacing w:line="312" w:lineRule="auto"/>
            <w:jc w:val="center"/>
            <w:rPr>
              <w:color w:val="auto"/>
            </w:rPr>
          </w:pPr>
          <w:r>
            <w:rPr>
              <w:color w:val="auto"/>
              <w:szCs w:val="28"/>
            </w:rPr>
            <w:fldChar w:fldCharType="end"/>
          </w:r>
        </w:p>
      </w:sdtContent>
    </w:sdt>
    <w:p w14:paraId="48C00339">
      <w:pPr>
        <w:keepNext/>
        <w:keepLines/>
        <w:spacing w:line="312" w:lineRule="auto"/>
        <w:jc w:val="center"/>
        <w:outlineLvl w:val="0"/>
        <w:rPr>
          <w:rStyle w:val="24"/>
          <w:rFonts w:cs="Times New Roman"/>
          <w:color w:val="auto"/>
          <w:sz w:val="28"/>
          <w:szCs w:val="21"/>
        </w:rPr>
        <w:sectPr>
          <w:footerReference r:id="rId3" w:type="default"/>
          <w:pgSz w:w="11906" w:h="16838"/>
          <w:pgMar w:top="1440" w:right="1800" w:bottom="1440" w:left="1800" w:header="851" w:footer="992" w:gutter="0"/>
          <w:cols w:space="425" w:num="1"/>
          <w:docGrid w:type="lines" w:linePitch="312" w:charSpace="0"/>
        </w:sectPr>
      </w:pPr>
    </w:p>
    <w:p w14:paraId="7326521C">
      <w:pPr>
        <w:pStyle w:val="2"/>
        <w:keepNext w:val="0"/>
        <w:keepLines w:val="0"/>
        <w:spacing w:before="381" w:after="381"/>
        <w:rPr>
          <w:rFonts w:ascii="黑体" w:hAnsi="黑体" w:eastAsia="黑体" w:cs="黑体"/>
          <w:color w:val="auto"/>
          <w:szCs w:val="28"/>
        </w:rPr>
      </w:pPr>
      <w:bookmarkStart w:id="5" w:name="_Toc16348"/>
      <w:bookmarkStart w:id="6" w:name="_Toc201047767"/>
      <w:bookmarkStart w:id="7" w:name="_Toc14929"/>
      <w:bookmarkStart w:id="8" w:name="_Toc30011"/>
      <w:bookmarkStart w:id="9" w:name="_Toc23749"/>
      <w:bookmarkStart w:id="10" w:name="_Toc21562"/>
      <w:bookmarkStart w:id="11" w:name="_Toc18890"/>
      <w:bookmarkStart w:id="12" w:name="_Toc18335"/>
      <w:bookmarkStart w:id="13" w:name="_Toc5344"/>
      <w:bookmarkStart w:id="14" w:name="_Toc3198"/>
      <w:r>
        <w:rPr>
          <w:rFonts w:hint="eastAsia" w:ascii="黑体" w:hAnsi="黑体" w:eastAsia="黑体" w:cs="黑体"/>
          <w:color w:val="auto"/>
          <w:szCs w:val="28"/>
        </w:rPr>
        <w:t>前  言</w:t>
      </w:r>
      <w:bookmarkEnd w:id="5"/>
      <w:bookmarkEnd w:id="6"/>
    </w:p>
    <w:p w14:paraId="10ABAD74">
      <w:pPr>
        <w:tabs>
          <w:tab w:val="left" w:pos="992"/>
        </w:tabs>
        <w:ind w:firstLine="420" w:firstLineChars="200"/>
        <w:jc w:val="left"/>
        <w:rPr>
          <w:color w:val="auto"/>
        </w:rPr>
      </w:pPr>
      <w:r>
        <w:rPr>
          <w:color w:val="auto"/>
        </w:rPr>
        <w:t>本文件按照</w:t>
      </w:r>
      <w:r>
        <w:rPr>
          <w:rFonts w:hint="eastAsia"/>
          <w:color w:val="auto"/>
        </w:rPr>
        <w:t>G</w:t>
      </w:r>
      <w:r>
        <w:rPr>
          <w:color w:val="auto"/>
        </w:rPr>
        <w:t>B</w:t>
      </w:r>
      <w:r>
        <w:rPr>
          <w:rFonts w:hint="eastAsia"/>
          <w:color w:val="auto"/>
        </w:rPr>
        <w:t>/</w:t>
      </w:r>
      <w:r>
        <w:rPr>
          <w:color w:val="auto"/>
        </w:rPr>
        <w:t>T 1.1-2020</w:t>
      </w:r>
      <w:r>
        <w:rPr>
          <w:rFonts w:hint="eastAsia"/>
          <w:color w:val="auto"/>
        </w:rPr>
        <w:t>《标准化工作导则 第1部分：标准化文件的结构和起草规则》的规定起草。</w:t>
      </w:r>
    </w:p>
    <w:p w14:paraId="0AF5E9E7">
      <w:pPr>
        <w:tabs>
          <w:tab w:val="left" w:pos="992"/>
        </w:tabs>
        <w:ind w:firstLine="420" w:firstLineChars="200"/>
        <w:jc w:val="left"/>
        <w:rPr>
          <w:color w:val="auto"/>
        </w:rPr>
      </w:pPr>
      <w:r>
        <w:rPr>
          <w:color w:val="auto"/>
        </w:rPr>
        <w:t>本文件根据</w:t>
      </w:r>
      <w:r>
        <w:rPr>
          <w:rFonts w:hint="eastAsia"/>
          <w:color w:val="auto"/>
        </w:rPr>
        <w:t>《广州市建筑业联合会关于&lt;钢-混凝土组合模块化建筑技术规程&gt;等3项体标准立项的通知》（穗建联〔2025]88号）</w:t>
      </w:r>
      <w:r>
        <w:rPr>
          <w:color w:val="auto"/>
        </w:rPr>
        <w:t>的要求，标准编制组经认真调查研究，认真总结实践经验，参考了国内相关标准和规范性文件，并充分征求了行业主管部门、工程建设企业、相关协会及专家等多方面的意见，经过反复修改完善，最终形成本文件。</w:t>
      </w:r>
    </w:p>
    <w:p w14:paraId="094F4B5A">
      <w:pPr>
        <w:tabs>
          <w:tab w:val="left" w:pos="992"/>
        </w:tabs>
        <w:ind w:firstLine="420" w:firstLineChars="200"/>
        <w:jc w:val="left"/>
        <w:rPr>
          <w:color w:val="auto"/>
        </w:rPr>
      </w:pPr>
      <w:r>
        <w:rPr>
          <w:rFonts w:hint="eastAsia"/>
          <w:color w:val="auto"/>
        </w:rPr>
        <w:t>本文件的主要技术内容包括12章：总则、术语和符号、基本规定、材料、建筑设计、结构设计、模块单元设计、设备、管线与内装系统设计、生产与运输、施工安装、质量验收、智能建造与运维。</w:t>
      </w:r>
    </w:p>
    <w:p w14:paraId="29683D76">
      <w:pPr>
        <w:tabs>
          <w:tab w:val="left" w:pos="992"/>
        </w:tabs>
        <w:ind w:firstLine="420" w:firstLineChars="200"/>
        <w:jc w:val="left"/>
        <w:rPr>
          <w:color w:val="auto"/>
        </w:rPr>
      </w:pPr>
      <w:r>
        <w:rPr>
          <w:color w:val="auto"/>
        </w:rPr>
        <w:t>本文件的某些内容可能涉及专利。本文件的发布机构不承担识别专利的责任。</w:t>
      </w:r>
    </w:p>
    <w:p w14:paraId="10995820">
      <w:pPr>
        <w:tabs>
          <w:tab w:val="left" w:pos="992"/>
        </w:tabs>
        <w:ind w:firstLine="420" w:firstLineChars="200"/>
        <w:jc w:val="left"/>
        <w:rPr>
          <w:color w:val="auto"/>
        </w:rPr>
      </w:pPr>
      <w:r>
        <w:rPr>
          <w:rFonts w:hint="eastAsia"/>
          <w:color w:val="auto"/>
        </w:rPr>
        <w:t xml:space="preserve">本文件由广州市建筑业联合会提出并归口管理。 </w:t>
      </w:r>
    </w:p>
    <w:p w14:paraId="1A256B30">
      <w:pPr>
        <w:pStyle w:val="39"/>
        <w:spacing w:line="360" w:lineRule="auto"/>
        <w:ind w:firstLine="420"/>
        <w:rPr>
          <w:color w:val="auto"/>
          <w:sz w:val="21"/>
          <w:lang w:eastAsia="zh-CN"/>
        </w:rPr>
      </w:pPr>
    </w:p>
    <w:p w14:paraId="6D0EBD15">
      <w:pPr>
        <w:pStyle w:val="39"/>
        <w:spacing w:line="360" w:lineRule="auto"/>
        <w:ind w:firstLine="420"/>
        <w:rPr>
          <w:color w:val="auto"/>
          <w:sz w:val="21"/>
          <w:lang w:eastAsia="zh-CN"/>
        </w:rPr>
      </w:pPr>
    </w:p>
    <w:p w14:paraId="78713232">
      <w:pPr>
        <w:pStyle w:val="39"/>
        <w:spacing w:line="360" w:lineRule="auto"/>
        <w:ind w:firstLine="580"/>
        <w:rPr>
          <w:color w:val="auto"/>
          <w:sz w:val="21"/>
          <w:lang w:eastAsia="zh-CN"/>
        </w:rPr>
      </w:pPr>
      <w:r>
        <w:rPr>
          <w:rFonts w:hint="eastAsia"/>
          <w:color w:val="auto"/>
          <w:spacing w:val="40"/>
          <w:sz w:val="21"/>
          <w:lang w:eastAsia="zh-CN"/>
        </w:rPr>
        <w:t>本文件起草单位</w:t>
      </w:r>
      <w:r>
        <w:rPr>
          <w:rFonts w:hint="eastAsia"/>
          <w:color w:val="auto"/>
          <w:sz w:val="21"/>
          <w:lang w:eastAsia="zh-CN"/>
        </w:rPr>
        <w:t>：XXX</w:t>
      </w:r>
    </w:p>
    <w:p w14:paraId="2A9A13DC">
      <w:pPr>
        <w:pStyle w:val="39"/>
        <w:spacing w:line="360" w:lineRule="auto"/>
        <w:ind w:firstLine="580"/>
        <w:rPr>
          <w:color w:val="auto"/>
          <w:sz w:val="21"/>
          <w:lang w:eastAsia="zh-CN"/>
        </w:rPr>
      </w:pPr>
      <w:r>
        <w:rPr>
          <w:rFonts w:hint="eastAsia"/>
          <w:color w:val="auto"/>
          <w:spacing w:val="40"/>
          <w:sz w:val="21"/>
          <w:lang w:eastAsia="zh-CN"/>
        </w:rPr>
        <w:t>本文件参编单位</w:t>
      </w:r>
      <w:r>
        <w:rPr>
          <w:rFonts w:hint="eastAsia"/>
          <w:color w:val="auto"/>
          <w:sz w:val="21"/>
          <w:lang w:eastAsia="zh-CN"/>
        </w:rPr>
        <w:t>：XXX</w:t>
      </w:r>
    </w:p>
    <w:p w14:paraId="6622588D">
      <w:pPr>
        <w:pStyle w:val="39"/>
        <w:spacing w:line="360" w:lineRule="auto"/>
        <w:ind w:firstLine="580"/>
        <w:rPr>
          <w:color w:val="auto"/>
          <w:spacing w:val="40"/>
          <w:sz w:val="21"/>
          <w:lang w:eastAsia="zh-CN"/>
        </w:rPr>
      </w:pPr>
    </w:p>
    <w:p w14:paraId="37ED8789">
      <w:pPr>
        <w:spacing w:line="360" w:lineRule="auto"/>
        <w:ind w:firstLine="2551" w:firstLineChars="1215"/>
        <w:rPr>
          <w:rFonts w:cs="庞中华简体 V2007"/>
          <w:color w:val="auto"/>
          <w:szCs w:val="21"/>
        </w:rPr>
      </w:pPr>
    </w:p>
    <w:p w14:paraId="4CB312FF">
      <w:pPr>
        <w:pStyle w:val="39"/>
        <w:spacing w:line="360" w:lineRule="auto"/>
        <w:ind w:firstLine="580"/>
        <w:rPr>
          <w:color w:val="auto"/>
          <w:spacing w:val="40"/>
          <w:sz w:val="21"/>
          <w:lang w:eastAsia="zh-CN"/>
        </w:rPr>
      </w:pPr>
      <w:r>
        <w:rPr>
          <w:rFonts w:hint="eastAsia"/>
          <w:color w:val="auto"/>
          <w:spacing w:val="40"/>
          <w:sz w:val="21"/>
          <w:lang w:eastAsia="zh-CN"/>
        </w:rPr>
        <w:t>本文件主要起草人员：。</w:t>
      </w:r>
    </w:p>
    <w:p w14:paraId="33FC0F8D">
      <w:pPr>
        <w:spacing w:line="360" w:lineRule="auto"/>
        <w:ind w:left="3080" w:leftChars="253" w:hanging="2549" w:hangingChars="1214"/>
        <w:rPr>
          <w:rFonts w:cs="庞中华简体 V2007"/>
          <w:color w:val="auto"/>
          <w:szCs w:val="21"/>
        </w:rPr>
      </w:pPr>
    </w:p>
    <w:p w14:paraId="1CDF134F">
      <w:pPr>
        <w:pStyle w:val="39"/>
        <w:spacing w:line="360" w:lineRule="auto"/>
        <w:ind w:firstLine="580"/>
        <w:rPr>
          <w:color w:val="auto"/>
          <w:spacing w:val="40"/>
          <w:sz w:val="28"/>
          <w:szCs w:val="28"/>
          <w:lang w:eastAsia="zh-CN"/>
        </w:rPr>
      </w:pPr>
      <w:r>
        <w:rPr>
          <w:rFonts w:hint="eastAsia"/>
          <w:color w:val="auto"/>
          <w:spacing w:val="40"/>
          <w:sz w:val="21"/>
          <w:lang w:eastAsia="zh-CN"/>
        </w:rPr>
        <w:t>本文件主要审查人员：。</w:t>
      </w:r>
    </w:p>
    <w:p w14:paraId="48CCF215">
      <w:pPr>
        <w:ind w:firstLine="2551" w:firstLineChars="1215"/>
        <w:rPr>
          <w:rFonts w:cs="庞中华简体 V2007"/>
          <w:color w:val="auto"/>
          <w:szCs w:val="21"/>
        </w:rPr>
      </w:pPr>
    </w:p>
    <w:p w14:paraId="0F8B56BC">
      <w:pPr>
        <w:rPr>
          <w:color w:val="auto"/>
        </w:rPr>
      </w:pPr>
    </w:p>
    <w:p w14:paraId="5BBBA289">
      <w:pPr>
        <w:rPr>
          <w:color w:val="auto"/>
        </w:rPr>
      </w:pPr>
    </w:p>
    <w:p w14:paraId="31723C21">
      <w:pPr>
        <w:rPr>
          <w:color w:val="auto"/>
        </w:rPr>
      </w:pPr>
    </w:p>
    <w:p w14:paraId="307B3CC3">
      <w:pPr>
        <w:rPr>
          <w:color w:val="auto"/>
        </w:rPr>
        <w:sectPr>
          <w:pgSz w:w="11906" w:h="16838"/>
          <w:pgMar w:top="1418" w:right="1134" w:bottom="1134" w:left="1418" w:header="794" w:footer="283" w:gutter="0"/>
          <w:pgNumType w:fmt="upperRoman" w:start="1"/>
          <w:cols w:space="425" w:num="1"/>
          <w:docGrid w:type="lines" w:linePitch="381" w:charSpace="0"/>
        </w:sectPr>
      </w:pPr>
    </w:p>
    <w:p w14:paraId="117A156D">
      <w:pPr>
        <w:pStyle w:val="2"/>
        <w:rPr>
          <w:color w:val="auto"/>
        </w:rPr>
      </w:pPr>
      <w:bookmarkStart w:id="15" w:name="_Toc18119"/>
      <w:r>
        <w:rPr>
          <w:b/>
          <w:bCs/>
          <w:color w:val="auto"/>
        </w:rPr>
        <w:t>1</w:t>
      </w:r>
      <w:r>
        <w:rPr>
          <w:color w:val="auto"/>
        </w:rPr>
        <w:t xml:space="preserve">  </w:t>
      </w:r>
      <w:r>
        <w:rPr>
          <w:bCs/>
          <w:color w:val="auto"/>
        </w:rPr>
        <w:t>总则</w:t>
      </w:r>
      <w:bookmarkEnd w:id="7"/>
      <w:bookmarkEnd w:id="8"/>
      <w:bookmarkEnd w:id="9"/>
      <w:bookmarkEnd w:id="10"/>
      <w:bookmarkEnd w:id="11"/>
      <w:bookmarkEnd w:id="12"/>
      <w:bookmarkEnd w:id="13"/>
      <w:bookmarkEnd w:id="14"/>
      <w:bookmarkEnd w:id="15"/>
    </w:p>
    <w:p w14:paraId="217B0EB0">
      <w:pPr>
        <w:spacing w:line="312" w:lineRule="auto"/>
        <w:rPr>
          <w:color w:val="auto"/>
          <w:szCs w:val="21"/>
        </w:rPr>
      </w:pPr>
      <w:r>
        <w:rPr>
          <w:b/>
          <w:bCs/>
          <w:color w:val="auto"/>
          <w:szCs w:val="21"/>
        </w:rPr>
        <w:t>1</w:t>
      </w:r>
      <w:r>
        <w:rPr>
          <w:rFonts w:ascii="宋体" w:hAnsi="宋体"/>
          <w:b/>
          <w:bCs/>
          <w:color w:val="auto"/>
          <w:szCs w:val="21"/>
        </w:rPr>
        <w:t>.</w:t>
      </w:r>
      <w:r>
        <w:rPr>
          <w:b/>
          <w:bCs/>
          <w:color w:val="auto"/>
          <w:szCs w:val="21"/>
        </w:rPr>
        <w:t>0</w:t>
      </w:r>
      <w:r>
        <w:rPr>
          <w:rFonts w:ascii="宋体" w:hAnsi="宋体"/>
          <w:b/>
          <w:bCs/>
          <w:color w:val="auto"/>
          <w:szCs w:val="21"/>
        </w:rPr>
        <w:t>.</w:t>
      </w:r>
      <w:r>
        <w:rPr>
          <w:b/>
          <w:bCs/>
          <w:color w:val="auto"/>
          <w:szCs w:val="21"/>
        </w:rPr>
        <w:t xml:space="preserve">1  </w:t>
      </w:r>
      <w:r>
        <w:rPr>
          <w:rFonts w:hint="eastAsia"/>
          <w:color w:val="auto"/>
          <w:szCs w:val="21"/>
        </w:rPr>
        <w:t>为推动建筑业转型升级，服务城市更新现实需求，促进混凝土模块化建筑更好发展，规范混凝土模块化建筑的建设，按照安全适用、技术先进、经济合理、施工方便的要求，制定本标准。</w:t>
      </w:r>
    </w:p>
    <w:p w14:paraId="1305C222">
      <w:pPr>
        <w:adjustRightInd w:val="0"/>
        <w:spacing w:line="312" w:lineRule="auto"/>
        <w:ind w:firstLine="420" w:firstLineChars="200"/>
        <w:rPr>
          <w:rFonts w:eastAsia="楷体"/>
          <w:color w:val="auto"/>
          <w:szCs w:val="21"/>
        </w:rPr>
      </w:pPr>
      <w:r>
        <w:rPr>
          <w:rFonts w:eastAsia="楷体"/>
          <w:color w:val="auto"/>
          <w:szCs w:val="21"/>
        </w:rPr>
        <w:t>【条文说明】当前，国家大力发展建筑工业化，推动建筑业转型升级，混凝土模块化建筑以其具有建筑空间模块化、设计制作集成化、生产工艺标准化、建筑施工装配化的特征，以及高集成度、高装配率、施工速度快等优势，在国内已有较多应用案例，如安徽广德科创实验学校、合肥安庆路第三小学荷塘路校区、深圳华章新筑、北京桦皮厂胡同8号楼、上海田林路65弄、嘉兴百步经济开发区工业社区邻里中心7号楼、青岛光电产业园宿舍等项目，是绿色建筑和建筑工业化的发展方向之一。</w:t>
      </w:r>
    </w:p>
    <w:p w14:paraId="10D4353D">
      <w:pPr>
        <w:adjustRightInd w:val="0"/>
        <w:spacing w:line="312" w:lineRule="auto"/>
        <w:ind w:firstLine="420" w:firstLineChars="200"/>
        <w:rPr>
          <w:rFonts w:eastAsia="楷体"/>
          <w:color w:val="auto"/>
          <w:szCs w:val="21"/>
        </w:rPr>
      </w:pPr>
      <w:r>
        <w:rPr>
          <w:rFonts w:hint="eastAsia" w:eastAsia="楷体"/>
          <w:color w:val="auto"/>
          <w:szCs w:val="21"/>
        </w:rPr>
        <w:t>本标准</w:t>
      </w:r>
      <w:r>
        <w:rPr>
          <w:rFonts w:eastAsia="楷体"/>
          <w:color w:val="auto"/>
          <w:szCs w:val="21"/>
        </w:rPr>
        <w:t>根据近年来的科研成果和工程实践经验，总结了混凝土模块化建筑的相关应用情况，研究提出了适用于多层和高层的模块化框架结构、模块化预制剪力墙结构、模块化叠合剪力墙结构和模块化现浇结构等体系，特编制</w:t>
      </w:r>
      <w:r>
        <w:rPr>
          <w:rFonts w:hint="eastAsia" w:eastAsia="楷体"/>
          <w:color w:val="auto"/>
          <w:szCs w:val="21"/>
        </w:rPr>
        <w:t>本标准</w:t>
      </w:r>
      <w:r>
        <w:rPr>
          <w:rFonts w:eastAsia="楷体"/>
          <w:color w:val="auto"/>
          <w:szCs w:val="21"/>
        </w:rPr>
        <w:t>，以推广这一新型的工业化建筑体系的使用。</w:t>
      </w:r>
    </w:p>
    <w:p w14:paraId="313FC9C7">
      <w:pPr>
        <w:spacing w:line="312" w:lineRule="auto"/>
        <w:rPr>
          <w:color w:val="auto"/>
          <w:szCs w:val="21"/>
        </w:rPr>
      </w:pPr>
      <w:r>
        <w:rPr>
          <w:b/>
          <w:bCs/>
          <w:color w:val="auto"/>
          <w:szCs w:val="21"/>
        </w:rPr>
        <w:t>1</w:t>
      </w:r>
      <w:r>
        <w:rPr>
          <w:rFonts w:ascii="宋体" w:hAnsi="宋体"/>
          <w:b/>
          <w:bCs/>
          <w:color w:val="auto"/>
          <w:szCs w:val="21"/>
        </w:rPr>
        <w:t>.</w:t>
      </w:r>
      <w:r>
        <w:rPr>
          <w:b/>
          <w:bCs/>
          <w:color w:val="auto"/>
          <w:szCs w:val="21"/>
        </w:rPr>
        <w:t>0</w:t>
      </w:r>
      <w:r>
        <w:rPr>
          <w:rFonts w:ascii="宋体" w:hAnsi="宋体"/>
          <w:b/>
          <w:bCs/>
          <w:color w:val="auto"/>
          <w:szCs w:val="21"/>
        </w:rPr>
        <w:t>.</w:t>
      </w:r>
      <w:r>
        <w:rPr>
          <w:b/>
          <w:bCs/>
          <w:color w:val="auto"/>
          <w:szCs w:val="21"/>
        </w:rPr>
        <w:t xml:space="preserve">2  </w:t>
      </w:r>
      <w:r>
        <w:rPr>
          <w:rFonts w:hint="eastAsia"/>
          <w:color w:val="auto"/>
          <w:szCs w:val="21"/>
        </w:rPr>
        <w:t>本标准适用于混凝土模块化建筑的设计、生产、运输、施工安装、质量验收及运营维护。</w:t>
      </w:r>
    </w:p>
    <w:p w14:paraId="3BC8CC20">
      <w:pPr>
        <w:adjustRightInd w:val="0"/>
        <w:spacing w:line="312" w:lineRule="auto"/>
        <w:ind w:firstLine="420" w:firstLineChars="200"/>
        <w:rPr>
          <w:rFonts w:ascii="楷体" w:hAnsi="楷体" w:eastAsia="楷体" w:cs="楷体"/>
          <w:color w:val="auto"/>
          <w:szCs w:val="21"/>
        </w:rPr>
      </w:pPr>
      <w:r>
        <w:rPr>
          <w:rFonts w:hint="eastAsia" w:ascii="楷体" w:hAnsi="楷体" w:eastAsia="楷体" w:cs="楷体"/>
          <w:color w:val="auto"/>
          <w:szCs w:val="21"/>
        </w:rPr>
        <w:t>【条文说明】本标准可用于混凝土模块化建筑的建筑设计、结构设计、模块单元设计、内装设备管线设计，及其质量验收和相关维护，以及模块单元的生产运输、安装施工等。混凝土模块化建筑可适用于多层和高层的建筑，对于学校、酒店、公寓、住宅等标准化程度较高的建筑类型的建设优势明显。</w:t>
      </w:r>
    </w:p>
    <w:p w14:paraId="027DBDEB">
      <w:pPr>
        <w:spacing w:line="312" w:lineRule="auto"/>
        <w:rPr>
          <w:color w:val="auto"/>
          <w:szCs w:val="21"/>
        </w:rPr>
      </w:pPr>
      <w:r>
        <w:rPr>
          <w:b/>
          <w:bCs/>
          <w:color w:val="auto"/>
          <w:szCs w:val="21"/>
        </w:rPr>
        <w:t>1</w:t>
      </w:r>
      <w:r>
        <w:rPr>
          <w:rFonts w:ascii="宋体" w:hAnsi="宋体"/>
          <w:b/>
          <w:bCs/>
          <w:color w:val="auto"/>
          <w:szCs w:val="21"/>
        </w:rPr>
        <w:t>.</w:t>
      </w:r>
      <w:r>
        <w:rPr>
          <w:b/>
          <w:bCs/>
          <w:color w:val="auto"/>
          <w:szCs w:val="21"/>
        </w:rPr>
        <w:t>0</w:t>
      </w:r>
      <w:r>
        <w:rPr>
          <w:rFonts w:ascii="宋体" w:hAnsi="宋体"/>
          <w:b/>
          <w:bCs/>
          <w:color w:val="auto"/>
          <w:szCs w:val="21"/>
        </w:rPr>
        <w:t>.</w:t>
      </w:r>
      <w:r>
        <w:rPr>
          <w:b/>
          <w:bCs/>
          <w:color w:val="auto"/>
          <w:szCs w:val="21"/>
        </w:rPr>
        <w:t>3</w:t>
      </w:r>
      <w:r>
        <w:rPr>
          <w:rFonts w:hint="eastAsia"/>
          <w:color w:val="auto"/>
          <w:szCs w:val="21"/>
        </w:rPr>
        <w:t xml:space="preserve"> </w:t>
      </w:r>
      <w:r>
        <w:rPr>
          <w:color w:val="auto"/>
          <w:szCs w:val="21"/>
        </w:rPr>
        <w:t xml:space="preserve"> </w:t>
      </w:r>
      <w:r>
        <w:rPr>
          <w:rFonts w:hint="eastAsia"/>
          <w:color w:val="auto"/>
          <w:szCs w:val="21"/>
        </w:rPr>
        <w:t>混凝土模块化建筑的设计、生产、运输、施工安装、质量验收及运营维护，除应符合本标准外，尚宜符合国家、行业、地方相关现行标准的规定。</w:t>
      </w:r>
    </w:p>
    <w:p w14:paraId="3ABBA3FE">
      <w:pPr>
        <w:spacing w:line="312" w:lineRule="auto"/>
        <w:rPr>
          <w:color w:val="auto"/>
          <w:szCs w:val="21"/>
        </w:rPr>
      </w:pPr>
      <w:r>
        <w:rPr>
          <w:b/>
          <w:bCs/>
          <w:color w:val="auto"/>
          <w:szCs w:val="21"/>
        </w:rPr>
        <w:t>1</w:t>
      </w:r>
      <w:r>
        <w:rPr>
          <w:rFonts w:ascii="宋体" w:hAnsi="宋体"/>
          <w:b/>
          <w:bCs/>
          <w:color w:val="auto"/>
          <w:szCs w:val="21"/>
        </w:rPr>
        <w:t>.</w:t>
      </w:r>
      <w:r>
        <w:rPr>
          <w:b/>
          <w:bCs/>
          <w:color w:val="auto"/>
          <w:szCs w:val="21"/>
        </w:rPr>
        <w:t>0</w:t>
      </w:r>
      <w:r>
        <w:rPr>
          <w:rFonts w:ascii="宋体" w:hAnsi="宋体"/>
          <w:b/>
          <w:bCs/>
          <w:color w:val="auto"/>
          <w:szCs w:val="21"/>
        </w:rPr>
        <w:t>.</w:t>
      </w:r>
      <w:r>
        <w:rPr>
          <w:rFonts w:hint="eastAsia"/>
          <w:b/>
          <w:bCs/>
          <w:color w:val="auto"/>
          <w:szCs w:val="21"/>
        </w:rPr>
        <w:t>4</w:t>
      </w:r>
      <w:r>
        <w:rPr>
          <w:rFonts w:hint="eastAsia"/>
          <w:color w:val="auto"/>
          <w:szCs w:val="21"/>
        </w:rPr>
        <w:t xml:space="preserve"> </w:t>
      </w:r>
      <w:r>
        <w:rPr>
          <w:color w:val="auto"/>
          <w:szCs w:val="21"/>
        </w:rPr>
        <w:t xml:space="preserve"> </w:t>
      </w:r>
      <w:r>
        <w:rPr>
          <w:rFonts w:hint="eastAsia"/>
          <w:color w:val="auto"/>
          <w:szCs w:val="21"/>
        </w:rPr>
        <w:t>新建住宅工程、新建保障性住房和安置房项目在开工前，相关单位应当按照广州市现行有关规定投保工程质量潜在缺陷保险、安全生产责任保险。</w:t>
      </w:r>
    </w:p>
    <w:p w14:paraId="7C98440B">
      <w:pPr>
        <w:spacing w:line="312" w:lineRule="auto"/>
        <w:rPr>
          <w:color w:val="auto"/>
          <w:szCs w:val="21"/>
        </w:rPr>
      </w:pPr>
      <w:r>
        <w:rPr>
          <w:b/>
          <w:bCs/>
          <w:color w:val="auto"/>
          <w:szCs w:val="21"/>
        </w:rPr>
        <w:t>1</w:t>
      </w:r>
      <w:r>
        <w:rPr>
          <w:rFonts w:ascii="宋体" w:hAnsi="宋体"/>
          <w:b/>
          <w:bCs/>
          <w:color w:val="auto"/>
          <w:szCs w:val="21"/>
        </w:rPr>
        <w:t>.</w:t>
      </w:r>
      <w:r>
        <w:rPr>
          <w:b/>
          <w:bCs/>
          <w:color w:val="auto"/>
          <w:szCs w:val="21"/>
        </w:rPr>
        <w:t>0</w:t>
      </w:r>
      <w:r>
        <w:rPr>
          <w:rFonts w:ascii="宋体" w:hAnsi="宋体"/>
          <w:b/>
          <w:bCs/>
          <w:color w:val="auto"/>
          <w:szCs w:val="21"/>
        </w:rPr>
        <w:t>.</w:t>
      </w:r>
      <w:r>
        <w:rPr>
          <w:rFonts w:hint="eastAsia"/>
          <w:b/>
          <w:bCs/>
          <w:color w:val="auto"/>
          <w:szCs w:val="21"/>
        </w:rPr>
        <w:t>5</w:t>
      </w:r>
      <w:r>
        <w:rPr>
          <w:rFonts w:hint="eastAsia"/>
          <w:color w:val="auto"/>
          <w:szCs w:val="21"/>
        </w:rPr>
        <w:t xml:space="preserve"> </w:t>
      </w:r>
      <w:r>
        <w:rPr>
          <w:color w:val="auto"/>
          <w:szCs w:val="21"/>
        </w:rPr>
        <w:t xml:space="preserve"> </w:t>
      </w:r>
      <w:r>
        <w:rPr>
          <w:rFonts w:hint="eastAsia"/>
          <w:color w:val="auto"/>
          <w:szCs w:val="21"/>
        </w:rPr>
        <w:t>本标准所提及的管理措施和方法是否符合现行规范要求，由相关责任主体判定。其中，创新性的管理措施和方法应进行论证实施。</w:t>
      </w:r>
    </w:p>
    <w:p w14:paraId="1E0F28D2">
      <w:pPr>
        <w:pStyle w:val="16"/>
        <w:spacing w:line="312" w:lineRule="auto"/>
        <w:ind w:firstLine="0" w:firstLineChars="0"/>
        <w:rPr>
          <w:rFonts w:ascii="楷体" w:hAnsi="楷体" w:eastAsia="楷体" w:cs="楷体"/>
          <w:color w:val="auto"/>
          <w:sz w:val="21"/>
          <w:szCs w:val="21"/>
        </w:rPr>
      </w:pPr>
    </w:p>
    <w:p w14:paraId="702FC7D3">
      <w:pPr>
        <w:rPr>
          <w:color w:val="auto"/>
        </w:rPr>
      </w:pPr>
    </w:p>
    <w:p w14:paraId="3252AC11">
      <w:pPr>
        <w:rPr>
          <w:color w:val="auto"/>
        </w:rPr>
      </w:pPr>
    </w:p>
    <w:p w14:paraId="6FA10F25">
      <w:pPr>
        <w:rPr>
          <w:color w:val="auto"/>
        </w:rPr>
      </w:pPr>
    </w:p>
    <w:p w14:paraId="2A6513D9">
      <w:pPr>
        <w:rPr>
          <w:color w:val="auto"/>
        </w:rPr>
      </w:pPr>
    </w:p>
    <w:p w14:paraId="24258CF8">
      <w:pPr>
        <w:rPr>
          <w:color w:val="auto"/>
        </w:rPr>
      </w:pPr>
    </w:p>
    <w:p w14:paraId="2AC09680">
      <w:pPr>
        <w:rPr>
          <w:color w:val="auto"/>
        </w:rPr>
      </w:pPr>
    </w:p>
    <w:p w14:paraId="29905C2D">
      <w:pPr>
        <w:tabs>
          <w:tab w:val="left" w:pos="6249"/>
        </w:tabs>
        <w:rPr>
          <w:rFonts w:ascii="楷体" w:hAnsi="楷体" w:eastAsia="楷体" w:cs="楷体"/>
          <w:color w:val="auto"/>
          <w:szCs w:val="21"/>
        </w:rPr>
      </w:pPr>
      <w:r>
        <w:rPr>
          <w:rFonts w:hint="eastAsia" w:ascii="楷体" w:hAnsi="楷体" w:eastAsia="楷体" w:cs="楷体"/>
          <w:color w:val="auto"/>
          <w:szCs w:val="21"/>
        </w:rPr>
        <w:tab/>
      </w:r>
    </w:p>
    <w:p w14:paraId="79C8CB1A">
      <w:pPr>
        <w:rPr>
          <w:rFonts w:ascii="楷体" w:hAnsi="楷体" w:eastAsia="楷体" w:cs="楷体"/>
          <w:color w:val="auto"/>
          <w:szCs w:val="21"/>
        </w:rPr>
      </w:pPr>
    </w:p>
    <w:p w14:paraId="0BB80E0B">
      <w:pPr>
        <w:rPr>
          <w:color w:val="auto"/>
        </w:rPr>
        <w:sectPr>
          <w:footerReference r:id="rId4" w:type="default"/>
          <w:pgSz w:w="11906" w:h="16838"/>
          <w:pgMar w:top="1440" w:right="1800" w:bottom="1440" w:left="1800" w:header="851" w:footer="992" w:gutter="0"/>
          <w:cols w:space="425" w:num="1"/>
          <w:docGrid w:type="lines" w:linePitch="312" w:charSpace="0"/>
        </w:sectPr>
      </w:pPr>
    </w:p>
    <w:p w14:paraId="7A0ECBED">
      <w:pPr>
        <w:pStyle w:val="2"/>
        <w:rPr>
          <w:bCs/>
          <w:color w:val="auto"/>
        </w:rPr>
      </w:pPr>
      <w:bookmarkStart w:id="16" w:name="_Toc23332"/>
      <w:bookmarkStart w:id="17" w:name="_Toc28115"/>
      <w:bookmarkStart w:id="18" w:name="_Toc11666"/>
      <w:bookmarkStart w:id="19" w:name="_Toc110958464"/>
      <w:bookmarkStart w:id="20" w:name="_Toc110952696"/>
      <w:bookmarkStart w:id="21" w:name="_Toc6453"/>
      <w:bookmarkStart w:id="22" w:name="_Toc11287"/>
      <w:bookmarkStart w:id="23" w:name="_Toc22520"/>
      <w:bookmarkStart w:id="24" w:name="_Toc11609"/>
      <w:bookmarkStart w:id="25" w:name="_Toc25458"/>
      <w:bookmarkStart w:id="26" w:name="_Toc26080"/>
      <w:r>
        <w:rPr>
          <w:b/>
          <w:bCs/>
          <w:color w:val="auto"/>
        </w:rPr>
        <w:t>2</w:t>
      </w:r>
      <w:r>
        <w:rPr>
          <w:rFonts w:hint="eastAsia"/>
          <w:color w:val="auto"/>
        </w:rPr>
        <w:t xml:space="preserve">  </w:t>
      </w:r>
      <w:r>
        <w:rPr>
          <w:rFonts w:hint="eastAsia"/>
          <w:bCs/>
          <w:color w:val="auto"/>
        </w:rPr>
        <w:t>术语和符号</w:t>
      </w:r>
      <w:bookmarkEnd w:id="16"/>
      <w:bookmarkEnd w:id="17"/>
      <w:bookmarkEnd w:id="18"/>
      <w:bookmarkEnd w:id="19"/>
      <w:bookmarkEnd w:id="20"/>
      <w:bookmarkEnd w:id="21"/>
      <w:bookmarkEnd w:id="22"/>
      <w:bookmarkEnd w:id="23"/>
      <w:bookmarkEnd w:id="24"/>
      <w:bookmarkEnd w:id="25"/>
      <w:bookmarkEnd w:id="26"/>
    </w:p>
    <w:p w14:paraId="4FB4470E">
      <w:pPr>
        <w:pStyle w:val="3"/>
        <w:rPr>
          <w:color w:val="auto"/>
        </w:rPr>
      </w:pPr>
      <w:bookmarkStart w:id="27" w:name="_Toc29956"/>
      <w:bookmarkStart w:id="28" w:name="_Toc110952697"/>
      <w:bookmarkStart w:id="29" w:name="_Toc4568"/>
      <w:bookmarkStart w:id="30" w:name="_Toc16810"/>
      <w:bookmarkStart w:id="31" w:name="_Toc110958465"/>
      <w:bookmarkStart w:id="32" w:name="_Toc27362"/>
      <w:bookmarkStart w:id="33" w:name="_Toc19751"/>
      <w:bookmarkStart w:id="34" w:name="_Toc16366"/>
      <w:bookmarkStart w:id="35" w:name="_Toc22957"/>
      <w:bookmarkStart w:id="36" w:name="_Toc30569"/>
      <w:bookmarkStart w:id="37" w:name="_Toc24771"/>
      <w:r>
        <w:rPr>
          <w:b/>
          <w:bCs w:val="0"/>
          <w:color w:val="auto"/>
        </w:rPr>
        <w:t>2</w:t>
      </w:r>
      <w:r>
        <w:rPr>
          <w:rFonts w:hint="eastAsia"/>
          <w:b/>
          <w:bCs w:val="0"/>
          <w:color w:val="auto"/>
        </w:rPr>
        <w:t>.</w:t>
      </w:r>
      <w:r>
        <w:rPr>
          <w:b/>
          <w:bCs w:val="0"/>
          <w:color w:val="auto"/>
        </w:rPr>
        <w:t>1</w:t>
      </w:r>
      <w:r>
        <w:rPr>
          <w:rFonts w:hint="eastAsia"/>
          <w:color w:val="auto"/>
        </w:rPr>
        <w:t xml:space="preserve">  术语</w:t>
      </w:r>
      <w:bookmarkEnd w:id="27"/>
      <w:bookmarkEnd w:id="28"/>
      <w:bookmarkEnd w:id="29"/>
      <w:bookmarkEnd w:id="30"/>
      <w:bookmarkEnd w:id="31"/>
      <w:bookmarkEnd w:id="32"/>
      <w:bookmarkEnd w:id="33"/>
      <w:bookmarkEnd w:id="34"/>
      <w:bookmarkEnd w:id="35"/>
      <w:bookmarkEnd w:id="36"/>
      <w:bookmarkEnd w:id="37"/>
    </w:p>
    <w:p w14:paraId="7BEBC456">
      <w:pPr>
        <w:numPr>
          <w:ilvl w:val="0"/>
          <w:numId w:val="2"/>
        </w:numPr>
        <w:spacing w:line="312" w:lineRule="auto"/>
        <w:rPr>
          <w:color w:val="auto"/>
        </w:rPr>
      </w:pPr>
      <w:r>
        <w:rPr>
          <w:rFonts w:hint="eastAsia"/>
          <w:color w:val="auto"/>
        </w:rPr>
        <w:t>混凝土模块化建筑  concrete modular buildings</w:t>
      </w:r>
    </w:p>
    <w:p w14:paraId="2DB73726">
      <w:pPr>
        <w:spacing w:line="312" w:lineRule="auto"/>
        <w:ind w:firstLine="420" w:firstLineChars="200"/>
        <w:rPr>
          <w:color w:val="auto"/>
        </w:rPr>
      </w:pPr>
      <w:r>
        <w:rPr>
          <w:rFonts w:hint="eastAsia"/>
          <w:color w:val="auto"/>
        </w:rPr>
        <w:t>采用模块化集成建造技术，</w:t>
      </w:r>
      <w:r>
        <w:rPr>
          <w:color w:val="auto"/>
        </w:rPr>
        <w:t>由在工厂内制作完成的混凝土模块</w:t>
      </w:r>
      <w:r>
        <w:rPr>
          <w:rFonts w:hint="eastAsia"/>
          <w:color w:val="auto"/>
        </w:rPr>
        <w:t>单元，</w:t>
      </w:r>
      <w:r>
        <w:rPr>
          <w:color w:val="auto"/>
        </w:rPr>
        <w:t>通过现场</w:t>
      </w:r>
      <w:r>
        <w:rPr>
          <w:rFonts w:hint="eastAsia"/>
          <w:color w:val="auto"/>
        </w:rPr>
        <w:t>装配</w:t>
      </w:r>
      <w:r>
        <w:rPr>
          <w:color w:val="auto"/>
        </w:rPr>
        <w:t>的混凝土结构建筑</w:t>
      </w:r>
      <w:r>
        <w:rPr>
          <w:rFonts w:hint="eastAsia"/>
          <w:color w:val="auto"/>
        </w:rPr>
        <w:t>，本标准</w:t>
      </w:r>
      <w:r>
        <w:rPr>
          <w:color w:val="auto"/>
        </w:rPr>
        <w:t>简称为模块化建筑。</w:t>
      </w:r>
    </w:p>
    <w:p w14:paraId="4F90A38F">
      <w:pPr>
        <w:numPr>
          <w:ilvl w:val="255"/>
          <w:numId w:val="0"/>
        </w:numPr>
        <w:tabs>
          <w:tab w:val="left" w:pos="0"/>
        </w:tabs>
        <w:spacing w:line="312" w:lineRule="auto"/>
        <w:ind w:firstLine="420" w:firstLineChars="200"/>
        <w:rPr>
          <w:color w:val="auto"/>
        </w:rPr>
      </w:pPr>
      <w:r>
        <w:rPr>
          <w:rFonts w:hint="eastAsia" w:ascii="楷体" w:hAnsi="楷体" w:eastAsia="楷体" w:cs="楷体"/>
          <w:color w:val="auto"/>
          <w:szCs w:val="21"/>
        </w:rPr>
        <w:t>【条文说明】</w:t>
      </w:r>
      <w:r>
        <w:rPr>
          <w:rFonts w:eastAsia="楷体"/>
          <w:color w:val="auto"/>
          <w:szCs w:val="21"/>
        </w:rPr>
        <w:t>混凝土模块化建筑是通过工厂预制的混凝土模块单元在现场装配连接而成的建筑，具有标准化设计、工厂化生产、装配化施工、一体化装修、信息化管理和智能化应用等技术特点，快速建造、高度集成、施工便捷、节约资源、灵活应用的技术优势。</w:t>
      </w:r>
    </w:p>
    <w:p w14:paraId="03413398">
      <w:pPr>
        <w:numPr>
          <w:ilvl w:val="0"/>
          <w:numId w:val="2"/>
        </w:numPr>
        <w:spacing w:line="312" w:lineRule="auto"/>
        <w:rPr>
          <w:color w:val="auto"/>
        </w:rPr>
      </w:pPr>
      <w:r>
        <w:rPr>
          <w:rFonts w:hint="eastAsia"/>
          <w:color w:val="auto"/>
        </w:rPr>
        <w:t>模块化集成建造  modular integrated construction</w:t>
      </w:r>
    </w:p>
    <w:p w14:paraId="575FC3A7">
      <w:pPr>
        <w:spacing w:line="312" w:lineRule="auto"/>
        <w:ind w:firstLine="420" w:firstLineChars="200"/>
        <w:rPr>
          <w:color w:val="auto"/>
        </w:rPr>
      </w:pPr>
      <w:r>
        <w:rPr>
          <w:rFonts w:hint="eastAsia"/>
          <w:color w:val="auto"/>
        </w:rPr>
        <w:t>将建筑功能划分为不同模块单元，实现建筑、结构、装修和使用功能工厂化生产、现场智慧化安装的绿色建造技术。</w:t>
      </w:r>
    </w:p>
    <w:p w14:paraId="42B08B59">
      <w:pPr>
        <w:spacing w:line="312" w:lineRule="auto"/>
        <w:ind w:firstLine="420" w:firstLineChars="200"/>
        <w:rPr>
          <w:color w:val="auto"/>
        </w:rPr>
      </w:pPr>
      <w:r>
        <w:rPr>
          <w:rFonts w:eastAsia="楷体"/>
          <w:color w:val="auto"/>
          <w:szCs w:val="21"/>
        </w:rPr>
        <w:t xml:space="preserve">【条文说明】模块化集成建造（Modular </w:t>
      </w:r>
      <w:r>
        <w:rPr>
          <w:rFonts w:hint="eastAsia" w:eastAsia="楷体"/>
          <w:color w:val="auto"/>
          <w:szCs w:val="21"/>
        </w:rPr>
        <w:t>i</w:t>
      </w:r>
      <w:r>
        <w:rPr>
          <w:rFonts w:eastAsia="楷体"/>
          <w:color w:val="auto"/>
          <w:szCs w:val="21"/>
        </w:rPr>
        <w:t>ntegrated Construction，</w:t>
      </w:r>
      <w:r>
        <w:rPr>
          <w:rFonts w:hint="eastAsia" w:eastAsia="楷体"/>
          <w:color w:val="auto"/>
          <w:szCs w:val="21"/>
        </w:rPr>
        <w:t>简称</w:t>
      </w:r>
      <w:r>
        <w:rPr>
          <w:rFonts w:eastAsia="楷体"/>
          <w:color w:val="auto"/>
          <w:szCs w:val="21"/>
        </w:rPr>
        <w:t>MiC）是装配式建筑的高级表现形式，其核心在于将建筑</w:t>
      </w:r>
      <w:r>
        <w:rPr>
          <w:rFonts w:hint="eastAsia" w:eastAsia="楷体"/>
          <w:color w:val="auto"/>
          <w:szCs w:val="21"/>
        </w:rPr>
        <w:t>拆分</w:t>
      </w:r>
      <w:r>
        <w:rPr>
          <w:rFonts w:eastAsia="楷体"/>
          <w:color w:val="auto"/>
          <w:szCs w:val="21"/>
        </w:rPr>
        <w:t>为标准化、功能完备的三维空间模块单元</w:t>
      </w:r>
      <w:r>
        <w:rPr>
          <w:rFonts w:hint="eastAsia" w:eastAsia="楷体"/>
          <w:color w:val="auto"/>
          <w:szCs w:val="21"/>
        </w:rPr>
        <w:t>。</w:t>
      </w:r>
      <w:r>
        <w:rPr>
          <w:rFonts w:eastAsia="楷体"/>
          <w:color w:val="auto"/>
          <w:szCs w:val="21"/>
        </w:rPr>
        <w:t>相较于传统</w:t>
      </w:r>
      <w:r>
        <w:rPr>
          <w:rFonts w:hint="eastAsia" w:eastAsia="楷体"/>
          <w:color w:val="auto"/>
          <w:szCs w:val="21"/>
        </w:rPr>
        <w:t>装配式建筑</w:t>
      </w:r>
      <w:r>
        <w:rPr>
          <w:rFonts w:eastAsia="楷体"/>
          <w:color w:val="auto"/>
          <w:szCs w:val="21"/>
        </w:rPr>
        <w:t>，MiC</w:t>
      </w:r>
      <w:r>
        <w:rPr>
          <w:rFonts w:hint="eastAsia" w:eastAsia="楷体"/>
          <w:color w:val="auto"/>
          <w:szCs w:val="21"/>
        </w:rPr>
        <w:t>能够</w:t>
      </w:r>
      <w:r>
        <w:rPr>
          <w:rFonts w:eastAsia="楷体"/>
          <w:color w:val="auto"/>
          <w:szCs w:val="21"/>
        </w:rPr>
        <w:t>将建筑的结构系统、机电管线、室内装修及设备设施等多专业系统高度集成，模块</w:t>
      </w:r>
      <w:r>
        <w:rPr>
          <w:rFonts w:hint="eastAsia" w:eastAsia="楷体"/>
          <w:color w:val="auto"/>
          <w:szCs w:val="21"/>
        </w:rPr>
        <w:t>单元</w:t>
      </w:r>
      <w:r>
        <w:rPr>
          <w:rFonts w:eastAsia="楷体"/>
          <w:color w:val="auto"/>
          <w:szCs w:val="21"/>
        </w:rPr>
        <w:t>在工厂内的完成度可达90%以上，真正实现</w:t>
      </w:r>
      <w:r>
        <w:rPr>
          <w:rFonts w:hint="eastAsia" w:eastAsia="楷体"/>
          <w:color w:val="auto"/>
          <w:szCs w:val="21"/>
        </w:rPr>
        <w:t>“</w:t>
      </w:r>
      <w:r>
        <w:rPr>
          <w:rFonts w:eastAsia="楷体"/>
          <w:color w:val="auto"/>
          <w:szCs w:val="21"/>
        </w:rPr>
        <w:t>制造-运输-安装</w:t>
      </w:r>
      <w:r>
        <w:rPr>
          <w:rFonts w:hint="eastAsia" w:eastAsia="楷体"/>
          <w:color w:val="auto"/>
          <w:szCs w:val="21"/>
        </w:rPr>
        <w:t>”</w:t>
      </w:r>
      <w:r>
        <w:rPr>
          <w:rFonts w:eastAsia="楷体"/>
          <w:color w:val="auto"/>
          <w:szCs w:val="21"/>
        </w:rPr>
        <w:t>全流程标准化作业。类比汽车工业，</w:t>
      </w:r>
      <w:r>
        <w:rPr>
          <w:rFonts w:hint="eastAsia" w:eastAsia="楷体"/>
          <w:color w:val="auto"/>
          <w:szCs w:val="21"/>
        </w:rPr>
        <w:t>MiC通过</w:t>
      </w:r>
      <w:r>
        <w:rPr>
          <w:rFonts w:eastAsia="楷体"/>
          <w:color w:val="auto"/>
          <w:szCs w:val="21"/>
        </w:rPr>
        <w:t>全产业链协同设计、智能化工厂生产、高精度现场组装实现建造方式的革新</w:t>
      </w:r>
      <w:r>
        <w:rPr>
          <w:rFonts w:hint="eastAsia" w:eastAsia="楷体"/>
          <w:color w:val="auto"/>
          <w:szCs w:val="21"/>
        </w:rPr>
        <w:t>，使得</w:t>
      </w:r>
      <w:r>
        <w:rPr>
          <w:rFonts w:eastAsia="楷体"/>
          <w:color w:val="auto"/>
          <w:szCs w:val="21"/>
        </w:rPr>
        <w:t>建筑生产突破传统工地限制，真正达成</w:t>
      </w:r>
      <w:r>
        <w:rPr>
          <w:rFonts w:hint="eastAsia" w:eastAsia="楷体"/>
          <w:color w:val="auto"/>
          <w:szCs w:val="21"/>
        </w:rPr>
        <w:t>“</w:t>
      </w:r>
      <w:r>
        <w:rPr>
          <w:rFonts w:eastAsia="楷体"/>
          <w:color w:val="auto"/>
          <w:szCs w:val="21"/>
        </w:rPr>
        <w:t>把工地搬进工厂，把施工变为总装</w:t>
      </w:r>
      <w:r>
        <w:rPr>
          <w:rFonts w:hint="eastAsia" w:eastAsia="楷体"/>
          <w:color w:val="auto"/>
          <w:szCs w:val="21"/>
        </w:rPr>
        <w:t>”</w:t>
      </w:r>
      <w:r>
        <w:rPr>
          <w:rFonts w:eastAsia="楷体"/>
          <w:color w:val="auto"/>
          <w:szCs w:val="21"/>
        </w:rPr>
        <w:t>的产业升级，</w:t>
      </w:r>
      <w:r>
        <w:rPr>
          <w:rFonts w:hint="eastAsia" w:eastAsia="楷体"/>
          <w:color w:val="auto"/>
          <w:szCs w:val="21"/>
        </w:rPr>
        <w:t>推动“像造汽车一样造房子”理念实现。</w:t>
      </w:r>
    </w:p>
    <w:p w14:paraId="18D75695">
      <w:pPr>
        <w:numPr>
          <w:ilvl w:val="0"/>
          <w:numId w:val="2"/>
        </w:numPr>
        <w:spacing w:line="312" w:lineRule="auto"/>
        <w:rPr>
          <w:color w:val="auto"/>
        </w:rPr>
      </w:pPr>
      <w:r>
        <w:rPr>
          <w:rFonts w:hint="eastAsia"/>
          <w:color w:val="auto"/>
        </w:rPr>
        <w:t>混凝土模块单元  concrete modular unit</w:t>
      </w:r>
    </w:p>
    <w:p w14:paraId="3DC07888">
      <w:pPr>
        <w:spacing w:line="312" w:lineRule="auto"/>
        <w:ind w:firstLine="420" w:firstLineChars="200"/>
        <w:rPr>
          <w:color w:val="auto"/>
        </w:rPr>
      </w:pPr>
      <w:r>
        <w:rPr>
          <w:rFonts w:hint="eastAsia"/>
          <w:color w:val="auto"/>
        </w:rPr>
        <w:t>在工厂预制，集混凝土结构构件、围护部品、内装部品、设备管线等为一体，具有建筑使用功能的空间模块，是混凝土模块化建筑的基本单元，简称模块单元。可分为框架式模块、剪力墙式模块和箱模式模块。</w:t>
      </w:r>
    </w:p>
    <w:p w14:paraId="77433493">
      <w:pPr>
        <w:tabs>
          <w:tab w:val="left" w:pos="0"/>
        </w:tabs>
        <w:spacing w:line="312" w:lineRule="auto"/>
        <w:ind w:firstLine="420" w:firstLineChars="200"/>
        <w:rPr>
          <w:color w:val="auto"/>
        </w:rPr>
      </w:pPr>
      <w:r>
        <w:rPr>
          <w:rFonts w:hint="eastAsia" w:ascii="楷体" w:hAnsi="楷体" w:eastAsia="楷体" w:cs="楷体"/>
          <w:color w:val="auto"/>
          <w:szCs w:val="21"/>
        </w:rPr>
        <w:t>【条文说明】模块单元是组成模块化建筑的基本单元，模块化建筑可根据空间功能划分成不同的模块单元，模块单元集成了所形成建筑空间包含的结构构件、围护部品、内装部品、设备管线等，在工厂预制完成。</w:t>
      </w:r>
      <w:r>
        <w:rPr>
          <w:rFonts w:hint="eastAsia" w:eastAsia="楷体"/>
          <w:color w:val="auto"/>
          <w:szCs w:val="21"/>
        </w:rPr>
        <w:t>本标准中，根据结构特点和施工工艺，模块单元主要分为框架式模块、剪力墙式模块和箱模式模块。</w:t>
      </w:r>
    </w:p>
    <w:p w14:paraId="07CBD67B">
      <w:pPr>
        <w:numPr>
          <w:ilvl w:val="0"/>
          <w:numId w:val="2"/>
        </w:numPr>
        <w:spacing w:line="312" w:lineRule="auto"/>
        <w:rPr>
          <w:color w:val="auto"/>
        </w:rPr>
      </w:pPr>
      <w:bookmarkStart w:id="38" w:name="OLE_LINK1"/>
      <w:r>
        <w:rPr>
          <w:rFonts w:hint="eastAsia"/>
          <w:color w:val="auto"/>
        </w:rPr>
        <w:t>框架式模块</w:t>
      </w:r>
      <w:bookmarkEnd w:id="38"/>
      <w:r>
        <w:rPr>
          <w:rFonts w:hint="eastAsia"/>
          <w:color w:val="auto"/>
        </w:rPr>
        <w:t xml:space="preserve">  framework module</w:t>
      </w:r>
    </w:p>
    <w:p w14:paraId="7899AADF">
      <w:pPr>
        <w:spacing w:line="312" w:lineRule="auto"/>
        <w:ind w:firstLine="420" w:firstLineChars="200"/>
        <w:rPr>
          <w:color w:val="auto"/>
        </w:rPr>
      </w:pPr>
      <w:r>
        <w:rPr>
          <w:color w:val="auto"/>
        </w:rPr>
        <w:t>由框架结构柱、梁、顶板及</w:t>
      </w:r>
      <w:r>
        <w:rPr>
          <w:rFonts w:hint="eastAsia"/>
          <w:color w:val="auto"/>
        </w:rPr>
        <w:t>墙板</w:t>
      </w:r>
      <w:r>
        <w:rPr>
          <w:color w:val="auto"/>
        </w:rPr>
        <w:t>等共同</w:t>
      </w:r>
      <w:r>
        <w:rPr>
          <w:rFonts w:hint="eastAsia"/>
          <w:color w:val="auto"/>
        </w:rPr>
        <w:t>组成</w:t>
      </w:r>
      <w:r>
        <w:rPr>
          <w:color w:val="auto"/>
        </w:rPr>
        <w:t>的标准化建筑空间模块</w:t>
      </w:r>
      <w:r>
        <w:rPr>
          <w:rFonts w:hint="eastAsia"/>
          <w:color w:val="auto"/>
        </w:rPr>
        <w:t>，</w:t>
      </w:r>
      <w:r>
        <w:rPr>
          <w:color w:val="auto"/>
        </w:rPr>
        <w:t>在工厂预制</w:t>
      </w:r>
      <w:r>
        <w:rPr>
          <w:rFonts w:hint="eastAsia"/>
          <w:color w:val="auto"/>
        </w:rPr>
        <w:t>完成</w:t>
      </w:r>
      <w:r>
        <w:rPr>
          <w:color w:val="auto"/>
        </w:rPr>
        <w:t>。</w:t>
      </w:r>
    </w:p>
    <w:p w14:paraId="4B218988">
      <w:pPr>
        <w:spacing w:line="312" w:lineRule="auto"/>
        <w:ind w:firstLine="420" w:firstLineChars="200"/>
        <w:rPr>
          <w:rFonts w:eastAsia="楷体"/>
          <w:color w:val="auto"/>
          <w:szCs w:val="21"/>
        </w:rPr>
      </w:pPr>
      <w:r>
        <w:rPr>
          <w:rFonts w:hint="eastAsia" w:ascii="楷体" w:hAnsi="楷体" w:eastAsia="楷体" w:cs="楷体"/>
          <w:color w:val="auto"/>
          <w:szCs w:val="21"/>
        </w:rPr>
        <w:t>【条文说明】</w:t>
      </w:r>
      <w:r>
        <w:rPr>
          <w:rFonts w:eastAsia="楷体"/>
          <w:color w:val="auto"/>
          <w:szCs w:val="21"/>
        </w:rPr>
        <w:t>框架式模块一般由结构柱、梁、顶板及墙板</w:t>
      </w:r>
      <w:r>
        <w:rPr>
          <w:rFonts w:hint="eastAsia" w:eastAsia="楷体"/>
          <w:color w:val="auto"/>
          <w:szCs w:val="21"/>
        </w:rPr>
        <w:t>等</w:t>
      </w:r>
      <w:r>
        <w:rPr>
          <w:rFonts w:eastAsia="楷体"/>
          <w:color w:val="auto"/>
          <w:szCs w:val="21"/>
        </w:rPr>
        <w:t>共同围合成</w:t>
      </w:r>
      <w:r>
        <w:rPr>
          <w:rFonts w:hint="eastAsia" w:eastAsia="楷体"/>
          <w:color w:val="auto"/>
          <w:szCs w:val="21"/>
        </w:rPr>
        <w:t>的满足建筑功能的空间模块，可分为有底板框架式模块和无底板框架式模块两种类型，见图1。</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14EC4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02B43512">
            <w:pPr>
              <w:adjustRightInd w:val="0"/>
              <w:snapToGrid w:val="0"/>
              <w:jc w:val="center"/>
              <w:rPr>
                <w:color w:val="auto"/>
              </w:rPr>
            </w:pPr>
            <w:r>
              <w:rPr>
                <w:color w:val="auto"/>
              </w:rPr>
              <w:drawing>
                <wp:inline distT="0" distB="0" distL="114300" distR="114300">
                  <wp:extent cx="2511425" cy="1619885"/>
                  <wp:effectExtent l="0" t="0" r="3175" b="10795"/>
                  <wp:docPr id="4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9"/>
                          <pic:cNvPicPr>
                            <a:picLocks noChangeAspect="1"/>
                          </pic:cNvPicPr>
                        </pic:nvPicPr>
                        <pic:blipFill>
                          <a:blip r:embed="rId8"/>
                          <a:stretch>
                            <a:fillRect/>
                          </a:stretch>
                        </pic:blipFill>
                        <pic:spPr>
                          <a:xfrm>
                            <a:off x="0" y="0"/>
                            <a:ext cx="2511425" cy="1619885"/>
                          </a:xfrm>
                          <a:prstGeom prst="rect">
                            <a:avLst/>
                          </a:prstGeom>
                          <a:noFill/>
                          <a:ln>
                            <a:noFill/>
                          </a:ln>
                        </pic:spPr>
                      </pic:pic>
                    </a:graphicData>
                  </a:graphic>
                </wp:inline>
              </w:drawing>
            </w:r>
          </w:p>
        </w:tc>
        <w:tc>
          <w:tcPr>
            <w:tcW w:w="4261" w:type="dxa"/>
            <w:vAlign w:val="center"/>
          </w:tcPr>
          <w:p w14:paraId="1BBEB905">
            <w:pPr>
              <w:adjustRightInd w:val="0"/>
              <w:snapToGrid w:val="0"/>
              <w:jc w:val="center"/>
              <w:rPr>
                <w:color w:val="auto"/>
              </w:rPr>
            </w:pPr>
            <w:r>
              <w:rPr>
                <w:color w:val="auto"/>
              </w:rPr>
              <w:drawing>
                <wp:inline distT="0" distB="0" distL="114300" distR="114300">
                  <wp:extent cx="2439035" cy="1619885"/>
                  <wp:effectExtent l="0" t="0" r="14605" b="10795"/>
                  <wp:docPr id="4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8"/>
                          <pic:cNvPicPr>
                            <a:picLocks noChangeAspect="1"/>
                          </pic:cNvPicPr>
                        </pic:nvPicPr>
                        <pic:blipFill>
                          <a:blip r:embed="rId9"/>
                          <a:stretch>
                            <a:fillRect/>
                          </a:stretch>
                        </pic:blipFill>
                        <pic:spPr>
                          <a:xfrm>
                            <a:off x="0" y="0"/>
                            <a:ext cx="2439035" cy="1619885"/>
                          </a:xfrm>
                          <a:prstGeom prst="rect">
                            <a:avLst/>
                          </a:prstGeom>
                          <a:noFill/>
                          <a:ln>
                            <a:noFill/>
                          </a:ln>
                        </pic:spPr>
                      </pic:pic>
                    </a:graphicData>
                  </a:graphic>
                </wp:inline>
              </w:drawing>
            </w:r>
          </w:p>
        </w:tc>
      </w:tr>
      <w:tr w14:paraId="316E4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shd w:val="clear" w:color="auto" w:fill="auto"/>
          </w:tcPr>
          <w:p w14:paraId="546C3C07">
            <w:pPr>
              <w:pStyle w:val="26"/>
              <w:spacing w:line="312" w:lineRule="auto"/>
              <w:rPr>
                <w:rFonts w:eastAsia="楷体"/>
                <w:color w:val="auto"/>
                <w:sz w:val="21"/>
                <w:szCs w:val="24"/>
              </w:rPr>
            </w:pPr>
            <w:r>
              <w:rPr>
                <w:rFonts w:hint="eastAsia" w:eastAsia="楷体"/>
                <w:color w:val="auto"/>
                <w:sz w:val="21"/>
                <w:szCs w:val="24"/>
              </w:rPr>
              <w:t>（</w:t>
            </w:r>
            <w:r>
              <w:rPr>
                <w:rFonts w:eastAsia="楷体"/>
                <w:color w:val="auto"/>
                <w:sz w:val="21"/>
                <w:szCs w:val="24"/>
              </w:rPr>
              <w:t>a）有底板框架式模块</w:t>
            </w:r>
          </w:p>
        </w:tc>
        <w:tc>
          <w:tcPr>
            <w:tcW w:w="4261" w:type="dxa"/>
            <w:shd w:val="clear" w:color="auto" w:fill="auto"/>
          </w:tcPr>
          <w:p w14:paraId="35DE3A10">
            <w:pPr>
              <w:pStyle w:val="26"/>
              <w:spacing w:line="312" w:lineRule="auto"/>
              <w:rPr>
                <w:rFonts w:eastAsia="楷体"/>
                <w:color w:val="auto"/>
                <w:sz w:val="21"/>
                <w:szCs w:val="24"/>
              </w:rPr>
            </w:pPr>
            <w:r>
              <w:rPr>
                <w:rFonts w:hint="eastAsia" w:eastAsia="楷体"/>
                <w:color w:val="auto"/>
                <w:sz w:val="21"/>
                <w:szCs w:val="24"/>
              </w:rPr>
              <w:t>（</w:t>
            </w:r>
            <w:r>
              <w:rPr>
                <w:rFonts w:eastAsia="楷体"/>
                <w:color w:val="auto"/>
                <w:sz w:val="21"/>
                <w:szCs w:val="24"/>
              </w:rPr>
              <w:t>b）无底板框架式模块</w:t>
            </w:r>
          </w:p>
        </w:tc>
      </w:tr>
    </w:tbl>
    <w:p w14:paraId="7C35DD0C">
      <w:pPr>
        <w:pStyle w:val="26"/>
        <w:spacing w:line="312" w:lineRule="auto"/>
        <w:rPr>
          <w:rFonts w:eastAsia="楷体"/>
          <w:color w:val="auto"/>
          <w:sz w:val="21"/>
          <w:szCs w:val="24"/>
        </w:rPr>
      </w:pPr>
      <w:r>
        <w:rPr>
          <w:rFonts w:eastAsia="楷体"/>
          <w:color w:val="auto"/>
          <w:sz w:val="21"/>
          <w:szCs w:val="24"/>
        </w:rPr>
        <w:t xml:space="preserve">图1  </w:t>
      </w:r>
      <w:r>
        <w:rPr>
          <w:rFonts w:hint="eastAsia" w:eastAsia="楷体"/>
          <w:color w:val="auto"/>
          <w:sz w:val="21"/>
          <w:szCs w:val="24"/>
        </w:rPr>
        <w:t>有底板框架式模块示意</w:t>
      </w:r>
    </w:p>
    <w:p w14:paraId="206CE787">
      <w:pPr>
        <w:pStyle w:val="26"/>
        <w:spacing w:line="312" w:lineRule="auto"/>
        <w:rPr>
          <w:rFonts w:eastAsia="楷体"/>
          <w:color w:val="auto"/>
          <w:sz w:val="21"/>
        </w:rPr>
      </w:pPr>
      <w:r>
        <w:rPr>
          <w:rFonts w:eastAsia="楷体"/>
          <w:color w:val="auto"/>
          <w:sz w:val="21"/>
          <w:szCs w:val="24"/>
        </w:rPr>
        <w:t>1—框架柱；2—框架梁；</w:t>
      </w:r>
      <w:r>
        <w:rPr>
          <w:rFonts w:hint="eastAsia" w:eastAsia="楷体"/>
          <w:color w:val="auto"/>
          <w:sz w:val="21"/>
          <w:szCs w:val="24"/>
        </w:rPr>
        <w:t>3</w:t>
      </w:r>
      <w:r>
        <w:rPr>
          <w:rFonts w:eastAsia="楷体"/>
          <w:color w:val="auto"/>
          <w:sz w:val="21"/>
          <w:szCs w:val="24"/>
        </w:rPr>
        <w:t>—顶</w:t>
      </w:r>
      <w:r>
        <w:rPr>
          <w:rFonts w:hint="eastAsia" w:eastAsia="楷体"/>
          <w:color w:val="auto"/>
          <w:sz w:val="21"/>
          <w:szCs w:val="24"/>
        </w:rPr>
        <w:t>板；4</w:t>
      </w:r>
      <w:r>
        <w:rPr>
          <w:rFonts w:eastAsia="楷体"/>
          <w:color w:val="auto"/>
          <w:sz w:val="21"/>
          <w:szCs w:val="24"/>
        </w:rPr>
        <w:t>—</w:t>
      </w:r>
      <w:r>
        <w:rPr>
          <w:rFonts w:hint="eastAsia" w:eastAsia="楷体"/>
          <w:color w:val="auto"/>
          <w:sz w:val="21"/>
          <w:szCs w:val="24"/>
        </w:rPr>
        <w:t>墙板；</w:t>
      </w:r>
      <w:r>
        <w:rPr>
          <w:rFonts w:hint="eastAsia" w:eastAsia="楷体"/>
          <w:color w:val="auto"/>
          <w:sz w:val="21"/>
        </w:rPr>
        <w:t>5</w:t>
      </w:r>
      <w:r>
        <w:rPr>
          <w:rFonts w:eastAsia="楷体"/>
          <w:color w:val="auto"/>
          <w:sz w:val="21"/>
        </w:rPr>
        <w:t>—</w:t>
      </w:r>
      <w:r>
        <w:rPr>
          <w:rFonts w:hint="eastAsia" w:eastAsia="楷体"/>
          <w:color w:val="auto"/>
          <w:sz w:val="21"/>
        </w:rPr>
        <w:t>设备管线</w:t>
      </w:r>
      <w:r>
        <w:rPr>
          <w:rFonts w:eastAsia="楷体"/>
          <w:color w:val="auto"/>
          <w:sz w:val="21"/>
        </w:rPr>
        <w:t>；</w:t>
      </w:r>
    </w:p>
    <w:p w14:paraId="78A8964A">
      <w:pPr>
        <w:pStyle w:val="26"/>
        <w:spacing w:line="312" w:lineRule="auto"/>
        <w:rPr>
          <w:rFonts w:eastAsia="楷体"/>
          <w:color w:val="auto"/>
          <w:sz w:val="21"/>
          <w:szCs w:val="24"/>
        </w:rPr>
      </w:pPr>
      <w:r>
        <w:rPr>
          <w:rFonts w:hint="eastAsia" w:eastAsia="楷体"/>
          <w:color w:val="auto"/>
          <w:sz w:val="21"/>
          <w:szCs w:val="24"/>
        </w:rPr>
        <w:t>6</w:t>
      </w:r>
      <w:r>
        <w:rPr>
          <w:rFonts w:eastAsia="楷体"/>
          <w:color w:val="auto"/>
          <w:sz w:val="21"/>
          <w:szCs w:val="24"/>
        </w:rPr>
        <w:t>—洞口；</w:t>
      </w:r>
      <w:r>
        <w:rPr>
          <w:rFonts w:hint="eastAsia" w:eastAsia="楷体"/>
          <w:color w:val="auto"/>
          <w:sz w:val="21"/>
          <w:szCs w:val="24"/>
        </w:rPr>
        <w:t>7</w:t>
      </w:r>
      <w:r>
        <w:rPr>
          <w:rFonts w:eastAsia="楷体"/>
          <w:color w:val="auto"/>
          <w:sz w:val="21"/>
          <w:szCs w:val="24"/>
        </w:rPr>
        <w:t>—底板；</w:t>
      </w:r>
    </w:p>
    <w:p w14:paraId="212EB190">
      <w:pPr>
        <w:numPr>
          <w:ilvl w:val="0"/>
          <w:numId w:val="2"/>
        </w:numPr>
        <w:spacing w:line="312" w:lineRule="auto"/>
        <w:rPr>
          <w:color w:val="auto"/>
        </w:rPr>
      </w:pPr>
      <w:r>
        <w:rPr>
          <w:rFonts w:hint="eastAsia"/>
          <w:color w:val="auto"/>
        </w:rPr>
        <w:t>剪力墙式模块  shear wall module</w:t>
      </w:r>
    </w:p>
    <w:p w14:paraId="31EE269A">
      <w:pPr>
        <w:spacing w:line="312" w:lineRule="auto"/>
        <w:ind w:firstLine="420" w:firstLineChars="200"/>
        <w:rPr>
          <w:color w:val="auto"/>
        </w:rPr>
      </w:pPr>
      <w:r>
        <w:rPr>
          <w:rFonts w:hint="eastAsia"/>
          <w:color w:val="auto"/>
        </w:rPr>
        <w:t>由剪力墙构件、顶板及墙板等共同组成的标准化建筑空间模块，在工厂预制完成。剪力墙式模块包括预制剪力墙式模块和叠合剪力墙式模块等。</w:t>
      </w:r>
    </w:p>
    <w:p w14:paraId="28B89025">
      <w:pPr>
        <w:spacing w:line="312" w:lineRule="auto"/>
        <w:ind w:firstLine="420" w:firstLineChars="200"/>
        <w:rPr>
          <w:color w:val="auto"/>
        </w:rPr>
      </w:pPr>
      <w:r>
        <w:rPr>
          <w:rFonts w:hint="eastAsia" w:ascii="楷体" w:hAnsi="楷体" w:eastAsia="楷体" w:cs="楷体"/>
          <w:color w:val="auto"/>
          <w:szCs w:val="21"/>
        </w:rPr>
        <w:t>【条文说明】剪</w:t>
      </w:r>
      <w:r>
        <w:rPr>
          <w:rFonts w:hint="eastAsia" w:eastAsia="楷体"/>
          <w:color w:val="auto"/>
          <w:szCs w:val="21"/>
        </w:rPr>
        <w:t>力墙式模块</w:t>
      </w:r>
      <w:r>
        <w:rPr>
          <w:rFonts w:eastAsia="楷体"/>
          <w:color w:val="auto"/>
          <w:szCs w:val="21"/>
        </w:rPr>
        <w:t>一般由</w:t>
      </w:r>
      <w:r>
        <w:rPr>
          <w:rFonts w:hint="eastAsia" w:eastAsia="楷体"/>
          <w:color w:val="auto"/>
          <w:szCs w:val="21"/>
        </w:rPr>
        <w:t>剪力墙、顶板及墙板等共同围合成的满足建筑功能的空间模块，当模块局部集成模壳板时，模壳板可作为现场浇筑混凝土时的模板使用。</w:t>
      </w:r>
    </w:p>
    <w:p w14:paraId="59865FC1">
      <w:pPr>
        <w:numPr>
          <w:ilvl w:val="0"/>
          <w:numId w:val="2"/>
        </w:numPr>
        <w:spacing w:line="312" w:lineRule="auto"/>
        <w:rPr>
          <w:color w:val="auto"/>
        </w:rPr>
      </w:pPr>
      <w:r>
        <w:rPr>
          <w:rFonts w:hint="eastAsia"/>
          <w:color w:val="auto"/>
        </w:rPr>
        <w:t>预制剪力墙式模块  precast shear wall module</w:t>
      </w:r>
    </w:p>
    <w:p w14:paraId="76FDC561">
      <w:pPr>
        <w:spacing w:line="312" w:lineRule="auto"/>
        <w:ind w:firstLine="420" w:firstLineChars="200"/>
        <w:rPr>
          <w:color w:val="auto"/>
        </w:rPr>
      </w:pPr>
      <w:r>
        <w:rPr>
          <w:rFonts w:hint="eastAsia"/>
          <w:color w:val="auto"/>
        </w:rPr>
        <w:t>由预制剪力墙构件、顶板及墙板等共同组成的标准化建筑空间模块，在工厂预制完成。</w:t>
      </w:r>
    </w:p>
    <w:p w14:paraId="36D58603">
      <w:pPr>
        <w:spacing w:line="312" w:lineRule="auto"/>
        <w:ind w:firstLine="420" w:firstLineChars="200"/>
        <w:rPr>
          <w:rFonts w:eastAsia="楷体"/>
          <w:color w:val="auto"/>
          <w:szCs w:val="21"/>
        </w:rPr>
      </w:pPr>
      <w:r>
        <w:rPr>
          <w:rFonts w:hint="eastAsia" w:ascii="楷体" w:hAnsi="楷体" w:eastAsia="楷体" w:cs="楷体"/>
          <w:color w:val="auto"/>
          <w:szCs w:val="21"/>
        </w:rPr>
        <w:t>【条文说明】预制</w:t>
      </w:r>
      <w:r>
        <w:rPr>
          <w:rFonts w:hint="eastAsia" w:eastAsia="楷体"/>
          <w:color w:val="auto"/>
          <w:szCs w:val="21"/>
        </w:rPr>
        <w:t>剪力墙式模块一般由预制剪力墙、顶板及墙板等</w:t>
      </w:r>
      <w:r>
        <w:rPr>
          <w:rFonts w:eastAsia="楷体"/>
          <w:color w:val="auto"/>
          <w:szCs w:val="21"/>
        </w:rPr>
        <w:t>共同围</w:t>
      </w:r>
      <w:r>
        <w:rPr>
          <w:rFonts w:hint="eastAsia" w:eastAsia="楷体"/>
          <w:color w:val="auto"/>
          <w:szCs w:val="21"/>
        </w:rPr>
        <w:t>合成满足建筑功能的空间模块，见图2。</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5FDE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261" w:type="dxa"/>
          </w:tcPr>
          <w:p w14:paraId="068561CE">
            <w:pPr>
              <w:adjustRightInd w:val="0"/>
              <w:snapToGrid w:val="0"/>
              <w:jc w:val="center"/>
              <w:rPr>
                <w:color w:val="auto"/>
              </w:rPr>
            </w:pPr>
            <w:r>
              <w:rPr>
                <w:color w:val="auto"/>
              </w:rPr>
              <w:drawing>
                <wp:inline distT="0" distB="0" distL="114300" distR="114300">
                  <wp:extent cx="2086610" cy="1619885"/>
                  <wp:effectExtent l="0" t="0" r="1270" b="10795"/>
                  <wp:docPr id="4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1"/>
                          <pic:cNvPicPr>
                            <a:picLocks noChangeAspect="1"/>
                          </pic:cNvPicPr>
                        </pic:nvPicPr>
                        <pic:blipFill>
                          <a:blip r:embed="rId10"/>
                          <a:stretch>
                            <a:fillRect/>
                          </a:stretch>
                        </pic:blipFill>
                        <pic:spPr>
                          <a:xfrm>
                            <a:off x="0" y="0"/>
                            <a:ext cx="2086610" cy="1619885"/>
                          </a:xfrm>
                          <a:prstGeom prst="rect">
                            <a:avLst/>
                          </a:prstGeom>
                          <a:noFill/>
                          <a:ln>
                            <a:noFill/>
                          </a:ln>
                        </pic:spPr>
                      </pic:pic>
                    </a:graphicData>
                  </a:graphic>
                </wp:inline>
              </w:drawing>
            </w:r>
          </w:p>
        </w:tc>
        <w:tc>
          <w:tcPr>
            <w:tcW w:w="4261" w:type="dxa"/>
          </w:tcPr>
          <w:p w14:paraId="21968E33">
            <w:pPr>
              <w:adjustRightInd w:val="0"/>
              <w:snapToGrid w:val="0"/>
              <w:jc w:val="center"/>
              <w:rPr>
                <w:color w:val="auto"/>
              </w:rPr>
            </w:pPr>
            <w:r>
              <w:rPr>
                <w:color w:val="auto"/>
              </w:rPr>
              <w:drawing>
                <wp:inline distT="0" distB="0" distL="114300" distR="114300">
                  <wp:extent cx="1955800" cy="1619885"/>
                  <wp:effectExtent l="0" t="0" r="10160" b="10795"/>
                  <wp:docPr id="4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0"/>
                          <pic:cNvPicPr>
                            <a:picLocks noChangeAspect="1"/>
                          </pic:cNvPicPr>
                        </pic:nvPicPr>
                        <pic:blipFill>
                          <a:blip r:embed="rId11"/>
                          <a:stretch>
                            <a:fillRect/>
                          </a:stretch>
                        </pic:blipFill>
                        <pic:spPr>
                          <a:xfrm>
                            <a:off x="0" y="0"/>
                            <a:ext cx="1955800" cy="1619885"/>
                          </a:xfrm>
                          <a:prstGeom prst="rect">
                            <a:avLst/>
                          </a:prstGeom>
                          <a:noFill/>
                          <a:ln>
                            <a:noFill/>
                          </a:ln>
                        </pic:spPr>
                      </pic:pic>
                    </a:graphicData>
                  </a:graphic>
                </wp:inline>
              </w:drawing>
            </w:r>
          </w:p>
        </w:tc>
      </w:tr>
      <w:tr w14:paraId="36EBB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shd w:val="clear" w:color="auto" w:fill="auto"/>
          </w:tcPr>
          <w:p w14:paraId="1069C25A">
            <w:pPr>
              <w:pStyle w:val="26"/>
              <w:spacing w:line="312" w:lineRule="auto"/>
              <w:rPr>
                <w:rFonts w:eastAsia="楷体"/>
                <w:color w:val="auto"/>
                <w:sz w:val="21"/>
                <w:szCs w:val="24"/>
              </w:rPr>
            </w:pPr>
            <w:r>
              <w:rPr>
                <w:rFonts w:hint="eastAsia" w:eastAsia="楷体"/>
                <w:color w:val="auto"/>
                <w:sz w:val="21"/>
                <w:szCs w:val="24"/>
              </w:rPr>
              <w:t>（</w:t>
            </w:r>
            <w:r>
              <w:rPr>
                <w:rFonts w:eastAsia="楷体"/>
                <w:color w:val="auto"/>
                <w:sz w:val="21"/>
                <w:szCs w:val="24"/>
              </w:rPr>
              <w:t>a）有底板预制剪力墙式模块</w:t>
            </w:r>
          </w:p>
        </w:tc>
        <w:tc>
          <w:tcPr>
            <w:tcW w:w="4261" w:type="dxa"/>
            <w:shd w:val="clear" w:color="auto" w:fill="auto"/>
          </w:tcPr>
          <w:p w14:paraId="5163B067">
            <w:pPr>
              <w:pStyle w:val="26"/>
              <w:spacing w:line="312" w:lineRule="auto"/>
              <w:rPr>
                <w:rFonts w:eastAsia="楷体"/>
                <w:color w:val="auto"/>
                <w:sz w:val="21"/>
                <w:szCs w:val="24"/>
              </w:rPr>
            </w:pPr>
            <w:r>
              <w:rPr>
                <w:rFonts w:hint="eastAsia" w:eastAsia="楷体"/>
                <w:color w:val="auto"/>
                <w:sz w:val="21"/>
                <w:szCs w:val="24"/>
              </w:rPr>
              <w:t>（</w:t>
            </w:r>
            <w:r>
              <w:rPr>
                <w:rFonts w:eastAsia="楷体"/>
                <w:color w:val="auto"/>
                <w:sz w:val="21"/>
                <w:szCs w:val="24"/>
              </w:rPr>
              <w:t>b）无底板预制剪力墙式模块</w:t>
            </w:r>
          </w:p>
        </w:tc>
      </w:tr>
    </w:tbl>
    <w:p w14:paraId="6AA046E6">
      <w:pPr>
        <w:pStyle w:val="26"/>
        <w:spacing w:line="312" w:lineRule="auto"/>
        <w:rPr>
          <w:rFonts w:eastAsia="楷体"/>
          <w:color w:val="auto"/>
          <w:sz w:val="21"/>
          <w:szCs w:val="24"/>
        </w:rPr>
      </w:pPr>
      <w:r>
        <w:rPr>
          <w:rFonts w:hint="eastAsia" w:eastAsia="楷体"/>
          <w:color w:val="auto"/>
          <w:sz w:val="21"/>
          <w:szCs w:val="24"/>
        </w:rPr>
        <w:t>图2  预制剪力墙式模块示意</w:t>
      </w:r>
    </w:p>
    <w:p w14:paraId="4352952A">
      <w:pPr>
        <w:pStyle w:val="26"/>
        <w:spacing w:line="312" w:lineRule="auto"/>
        <w:rPr>
          <w:rFonts w:eastAsia="楷体"/>
          <w:color w:val="auto"/>
          <w:sz w:val="21"/>
          <w:szCs w:val="24"/>
        </w:rPr>
      </w:pPr>
      <w:r>
        <w:rPr>
          <w:rFonts w:hint="eastAsia" w:eastAsia="楷体"/>
          <w:color w:val="auto"/>
          <w:sz w:val="21"/>
          <w:szCs w:val="24"/>
        </w:rPr>
        <w:t>1—预制剪力墙；2—梁模；3—顶板；4—墙模；5—墙板；</w:t>
      </w:r>
    </w:p>
    <w:p w14:paraId="519BBDD9">
      <w:pPr>
        <w:pStyle w:val="26"/>
        <w:spacing w:line="312" w:lineRule="auto"/>
        <w:rPr>
          <w:rFonts w:eastAsia="楷体"/>
          <w:color w:val="auto"/>
          <w:sz w:val="21"/>
          <w:szCs w:val="24"/>
        </w:rPr>
      </w:pPr>
      <w:r>
        <w:rPr>
          <w:rFonts w:hint="eastAsia" w:eastAsia="楷体"/>
          <w:color w:val="auto"/>
          <w:sz w:val="21"/>
          <w:szCs w:val="24"/>
        </w:rPr>
        <w:t>6—洞口；7—设备管线；8—底板</w:t>
      </w:r>
    </w:p>
    <w:p w14:paraId="7CA9DF15">
      <w:pPr>
        <w:numPr>
          <w:ilvl w:val="0"/>
          <w:numId w:val="2"/>
        </w:numPr>
        <w:spacing w:line="312" w:lineRule="auto"/>
        <w:rPr>
          <w:color w:val="auto"/>
        </w:rPr>
      </w:pPr>
      <w:r>
        <w:rPr>
          <w:rFonts w:hint="eastAsia"/>
          <w:color w:val="auto"/>
        </w:rPr>
        <w:t>叠合剪力墙式模块  superimposed shear wall module</w:t>
      </w:r>
    </w:p>
    <w:p w14:paraId="0B889508">
      <w:pPr>
        <w:spacing w:line="312" w:lineRule="auto"/>
        <w:ind w:firstLine="420" w:firstLineChars="200"/>
        <w:rPr>
          <w:color w:val="auto"/>
        </w:rPr>
      </w:pPr>
      <w:r>
        <w:rPr>
          <w:rFonts w:hint="eastAsia"/>
          <w:color w:val="auto"/>
        </w:rPr>
        <w:t>由叠合墙板、顶板、墙板等共同组成的标准化建筑空间模块，在工厂预制完成。</w:t>
      </w:r>
    </w:p>
    <w:p w14:paraId="636F7B34">
      <w:pPr>
        <w:spacing w:line="312" w:lineRule="auto"/>
        <w:ind w:firstLine="420" w:firstLineChars="200"/>
        <w:rPr>
          <w:rFonts w:eastAsia="楷体"/>
          <w:color w:val="auto"/>
          <w:szCs w:val="21"/>
        </w:rPr>
      </w:pPr>
      <w:r>
        <w:rPr>
          <w:rFonts w:hint="eastAsia" w:ascii="楷体" w:hAnsi="楷体" w:eastAsia="楷体" w:cs="楷体"/>
          <w:color w:val="auto"/>
          <w:szCs w:val="21"/>
        </w:rPr>
        <w:t>【条文说明】叠合剪力墙式模块</w:t>
      </w:r>
      <w:r>
        <w:rPr>
          <w:rFonts w:hint="eastAsia" w:eastAsia="楷体"/>
          <w:color w:val="auto"/>
          <w:szCs w:val="21"/>
        </w:rPr>
        <w:t>一般由叠合剪力墙、顶板及墙板等</w:t>
      </w:r>
      <w:r>
        <w:rPr>
          <w:rFonts w:eastAsia="楷体"/>
          <w:color w:val="auto"/>
          <w:szCs w:val="21"/>
        </w:rPr>
        <w:t>共同围</w:t>
      </w:r>
      <w:r>
        <w:rPr>
          <w:rFonts w:hint="eastAsia" w:eastAsia="楷体"/>
          <w:color w:val="auto"/>
          <w:szCs w:val="21"/>
        </w:rPr>
        <w:t>合成满足建筑功能的空间模块，见图3。</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0DC05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04F402A1">
            <w:pPr>
              <w:adjustRightInd w:val="0"/>
              <w:snapToGrid w:val="0"/>
              <w:jc w:val="center"/>
              <w:rPr>
                <w:color w:val="auto"/>
              </w:rPr>
            </w:pPr>
            <w:r>
              <w:rPr>
                <w:color w:val="auto"/>
              </w:rPr>
              <w:drawing>
                <wp:inline distT="0" distB="0" distL="114300" distR="114300">
                  <wp:extent cx="2146935" cy="1619885"/>
                  <wp:effectExtent l="0" t="0" r="1905" b="10795"/>
                  <wp:docPr id="5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7"/>
                          <pic:cNvPicPr>
                            <a:picLocks noChangeAspect="1"/>
                          </pic:cNvPicPr>
                        </pic:nvPicPr>
                        <pic:blipFill>
                          <a:blip r:embed="rId12"/>
                          <a:stretch>
                            <a:fillRect/>
                          </a:stretch>
                        </pic:blipFill>
                        <pic:spPr>
                          <a:xfrm>
                            <a:off x="0" y="0"/>
                            <a:ext cx="2146935" cy="1619885"/>
                          </a:xfrm>
                          <a:prstGeom prst="rect">
                            <a:avLst/>
                          </a:prstGeom>
                          <a:noFill/>
                          <a:ln>
                            <a:noFill/>
                          </a:ln>
                        </pic:spPr>
                      </pic:pic>
                    </a:graphicData>
                  </a:graphic>
                </wp:inline>
              </w:drawing>
            </w:r>
          </w:p>
        </w:tc>
        <w:tc>
          <w:tcPr>
            <w:tcW w:w="4261" w:type="dxa"/>
          </w:tcPr>
          <w:p w14:paraId="68580808">
            <w:pPr>
              <w:adjustRightInd w:val="0"/>
              <w:snapToGrid w:val="0"/>
              <w:jc w:val="center"/>
              <w:rPr>
                <w:color w:val="auto"/>
              </w:rPr>
            </w:pPr>
            <w:r>
              <w:rPr>
                <w:color w:val="auto"/>
              </w:rPr>
              <w:drawing>
                <wp:inline distT="0" distB="0" distL="114300" distR="114300">
                  <wp:extent cx="2170430" cy="1619885"/>
                  <wp:effectExtent l="0" t="0" r="8890" b="10795"/>
                  <wp:docPr id="5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8"/>
                          <pic:cNvPicPr>
                            <a:picLocks noChangeAspect="1"/>
                          </pic:cNvPicPr>
                        </pic:nvPicPr>
                        <pic:blipFill>
                          <a:blip r:embed="rId13"/>
                          <a:stretch>
                            <a:fillRect/>
                          </a:stretch>
                        </pic:blipFill>
                        <pic:spPr>
                          <a:xfrm>
                            <a:off x="0" y="0"/>
                            <a:ext cx="2170430" cy="1619885"/>
                          </a:xfrm>
                          <a:prstGeom prst="rect">
                            <a:avLst/>
                          </a:prstGeom>
                          <a:noFill/>
                          <a:ln>
                            <a:noFill/>
                          </a:ln>
                        </pic:spPr>
                      </pic:pic>
                    </a:graphicData>
                  </a:graphic>
                </wp:inline>
              </w:drawing>
            </w:r>
          </w:p>
        </w:tc>
      </w:tr>
      <w:tr w14:paraId="38698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shd w:val="clear" w:color="auto" w:fill="auto"/>
            <w:vAlign w:val="center"/>
          </w:tcPr>
          <w:p w14:paraId="3773804E">
            <w:pPr>
              <w:pStyle w:val="26"/>
              <w:spacing w:line="312" w:lineRule="auto"/>
              <w:rPr>
                <w:rFonts w:eastAsia="楷体"/>
                <w:color w:val="auto"/>
                <w:sz w:val="21"/>
                <w:szCs w:val="24"/>
              </w:rPr>
            </w:pPr>
            <w:r>
              <w:rPr>
                <w:rFonts w:hint="eastAsia" w:eastAsia="楷体"/>
                <w:color w:val="auto"/>
                <w:sz w:val="21"/>
                <w:szCs w:val="24"/>
              </w:rPr>
              <w:t>（a）有底板叠合剪力墙式模块</w:t>
            </w:r>
          </w:p>
        </w:tc>
        <w:tc>
          <w:tcPr>
            <w:tcW w:w="4261" w:type="dxa"/>
            <w:shd w:val="clear" w:color="auto" w:fill="auto"/>
            <w:vAlign w:val="center"/>
          </w:tcPr>
          <w:p w14:paraId="0D79F735">
            <w:pPr>
              <w:pStyle w:val="26"/>
              <w:spacing w:line="312" w:lineRule="auto"/>
              <w:rPr>
                <w:rFonts w:eastAsia="楷体"/>
                <w:color w:val="auto"/>
                <w:sz w:val="21"/>
                <w:szCs w:val="24"/>
              </w:rPr>
            </w:pPr>
            <w:r>
              <w:rPr>
                <w:rFonts w:hint="eastAsia" w:eastAsia="楷体"/>
                <w:color w:val="auto"/>
                <w:sz w:val="21"/>
                <w:szCs w:val="24"/>
              </w:rPr>
              <w:t>（b）无底板叠合剪力墙式模块</w:t>
            </w:r>
          </w:p>
        </w:tc>
      </w:tr>
    </w:tbl>
    <w:p w14:paraId="67C8EA18">
      <w:pPr>
        <w:pStyle w:val="26"/>
        <w:spacing w:line="312" w:lineRule="auto"/>
        <w:rPr>
          <w:rFonts w:eastAsia="楷体"/>
          <w:color w:val="auto"/>
          <w:sz w:val="21"/>
          <w:szCs w:val="24"/>
        </w:rPr>
      </w:pPr>
      <w:r>
        <w:rPr>
          <w:rFonts w:eastAsia="楷体"/>
          <w:color w:val="auto"/>
          <w:sz w:val="21"/>
          <w:szCs w:val="24"/>
        </w:rPr>
        <w:t>图</w:t>
      </w:r>
      <w:r>
        <w:rPr>
          <w:rFonts w:hint="eastAsia" w:eastAsia="楷体"/>
          <w:color w:val="auto"/>
          <w:sz w:val="21"/>
          <w:szCs w:val="24"/>
        </w:rPr>
        <w:t>3</w:t>
      </w:r>
      <w:r>
        <w:rPr>
          <w:rFonts w:eastAsia="楷体"/>
          <w:color w:val="auto"/>
          <w:sz w:val="21"/>
          <w:szCs w:val="24"/>
        </w:rPr>
        <w:t xml:space="preserve">  </w:t>
      </w:r>
      <w:r>
        <w:rPr>
          <w:rFonts w:hint="eastAsia" w:eastAsia="楷体"/>
          <w:color w:val="auto"/>
          <w:sz w:val="21"/>
          <w:szCs w:val="24"/>
        </w:rPr>
        <w:t>叠合剪力墙式模块示意</w:t>
      </w:r>
    </w:p>
    <w:p w14:paraId="1DCBA06E">
      <w:pPr>
        <w:pStyle w:val="26"/>
        <w:spacing w:line="312" w:lineRule="auto"/>
        <w:rPr>
          <w:rFonts w:eastAsia="楷体"/>
          <w:color w:val="auto"/>
          <w:sz w:val="21"/>
          <w:szCs w:val="24"/>
        </w:rPr>
      </w:pPr>
      <w:r>
        <w:rPr>
          <w:rFonts w:hint="eastAsia" w:eastAsia="楷体"/>
          <w:color w:val="auto"/>
          <w:sz w:val="21"/>
          <w:szCs w:val="24"/>
        </w:rPr>
        <w:t>1—叠合剪力墙；</w:t>
      </w:r>
      <w:r>
        <w:rPr>
          <w:rFonts w:eastAsia="楷体"/>
          <w:color w:val="auto"/>
          <w:sz w:val="21"/>
          <w:szCs w:val="24"/>
        </w:rPr>
        <w:t>2</w:t>
      </w:r>
      <w:r>
        <w:rPr>
          <w:rFonts w:hint="eastAsia" w:eastAsia="楷体"/>
          <w:color w:val="auto"/>
          <w:sz w:val="21"/>
          <w:szCs w:val="24"/>
        </w:rPr>
        <w:t>—梁模；3—顶板；</w:t>
      </w:r>
      <w:r>
        <w:rPr>
          <w:rFonts w:eastAsia="楷体"/>
          <w:color w:val="auto"/>
          <w:sz w:val="21"/>
          <w:szCs w:val="24"/>
        </w:rPr>
        <w:t>4</w:t>
      </w:r>
      <w:r>
        <w:rPr>
          <w:rFonts w:hint="eastAsia" w:eastAsia="楷体"/>
          <w:color w:val="auto"/>
          <w:sz w:val="21"/>
          <w:szCs w:val="24"/>
        </w:rPr>
        <w:t>—底板；5—墙板；6—洞口；7—设备管线</w:t>
      </w:r>
    </w:p>
    <w:p w14:paraId="5EA9D1E7">
      <w:pPr>
        <w:numPr>
          <w:ilvl w:val="0"/>
          <w:numId w:val="2"/>
        </w:numPr>
        <w:spacing w:line="312" w:lineRule="auto"/>
        <w:rPr>
          <w:color w:val="auto"/>
        </w:rPr>
      </w:pPr>
      <w:r>
        <w:rPr>
          <w:rFonts w:hint="eastAsia"/>
          <w:color w:val="auto"/>
        </w:rPr>
        <w:t>箱模式模块  box formwork module</w:t>
      </w:r>
    </w:p>
    <w:p w14:paraId="7996CD72">
      <w:pPr>
        <w:spacing w:line="312" w:lineRule="auto"/>
        <w:ind w:firstLine="420" w:firstLineChars="200"/>
        <w:rPr>
          <w:color w:val="auto"/>
        </w:rPr>
      </w:pPr>
      <w:r>
        <w:rPr>
          <w:rFonts w:hint="eastAsia"/>
          <w:color w:val="auto"/>
        </w:rPr>
        <w:t>由</w:t>
      </w:r>
      <w:r>
        <w:rPr>
          <w:color w:val="auto"/>
        </w:rPr>
        <w:t>模壳板、顶板</w:t>
      </w:r>
      <w:r>
        <w:rPr>
          <w:rFonts w:hint="eastAsia"/>
          <w:color w:val="auto"/>
        </w:rPr>
        <w:t>及</w:t>
      </w:r>
      <w:r>
        <w:rPr>
          <w:color w:val="auto"/>
        </w:rPr>
        <w:t>墙</w:t>
      </w:r>
      <w:r>
        <w:rPr>
          <w:rFonts w:hint="eastAsia"/>
          <w:color w:val="auto"/>
        </w:rPr>
        <w:t>板</w:t>
      </w:r>
      <w:r>
        <w:rPr>
          <w:color w:val="auto"/>
        </w:rPr>
        <w:t>等共同</w:t>
      </w:r>
      <w:r>
        <w:rPr>
          <w:rFonts w:hint="eastAsia"/>
          <w:color w:val="auto"/>
        </w:rPr>
        <w:t>组成</w:t>
      </w:r>
      <w:r>
        <w:rPr>
          <w:color w:val="auto"/>
        </w:rPr>
        <w:t>的标准化建筑空间模块</w:t>
      </w:r>
      <w:r>
        <w:rPr>
          <w:rFonts w:hint="eastAsia"/>
          <w:color w:val="auto"/>
        </w:rPr>
        <w:t>，</w:t>
      </w:r>
      <w:r>
        <w:rPr>
          <w:color w:val="auto"/>
        </w:rPr>
        <w:t>在工厂</w:t>
      </w:r>
      <w:r>
        <w:rPr>
          <w:rFonts w:hint="eastAsia"/>
          <w:color w:val="auto"/>
        </w:rPr>
        <w:t>预制完成。其中</w:t>
      </w:r>
      <w:r>
        <w:rPr>
          <w:color w:val="auto"/>
        </w:rPr>
        <w:t>模壳板作为现场浇筑混凝土剪力墙、梁、柱等</w:t>
      </w:r>
      <w:r>
        <w:rPr>
          <w:rFonts w:hint="eastAsia"/>
          <w:color w:val="auto"/>
        </w:rPr>
        <w:t>结构</w:t>
      </w:r>
      <w:r>
        <w:rPr>
          <w:color w:val="auto"/>
        </w:rPr>
        <w:t>构件的施工模板。</w:t>
      </w:r>
    </w:p>
    <w:p w14:paraId="411DC71A">
      <w:pPr>
        <w:spacing w:line="312" w:lineRule="auto"/>
        <w:ind w:firstLine="420" w:firstLineChars="200"/>
        <w:rPr>
          <w:rFonts w:eastAsia="楷体"/>
          <w:color w:val="auto"/>
          <w:szCs w:val="21"/>
        </w:rPr>
      </w:pPr>
      <w:r>
        <w:rPr>
          <w:rFonts w:hint="eastAsia" w:ascii="楷体" w:hAnsi="楷体" w:eastAsia="楷体" w:cs="楷体"/>
          <w:color w:val="auto"/>
          <w:szCs w:val="21"/>
        </w:rPr>
        <w:t>【条文说明】</w:t>
      </w:r>
      <w:r>
        <w:rPr>
          <w:rFonts w:hint="eastAsia" w:eastAsia="楷体"/>
          <w:color w:val="auto"/>
          <w:szCs w:val="21"/>
        </w:rPr>
        <w:t>箱模式模块是在工厂现浇非承重墙板，按照建筑设计功能要求所需的尺寸，围合成一个功能空间，或是由几个箱模式模块共同围合成一个满足建筑功能要求的空间，围合墙板可在现场用作承重的现浇剪力墙、柱或梁的模板，适用于框架、框架-剪力墙、剪力墙结构或其他结构，当其不作为模板时，采用轻骨料混凝土。带有桁架钢筋的叠合楼板作为此围合空间的顶板，现浇的普通混凝土楼板作为此围合空间的底板，共同形成一个三维空间模块，见图4。此三维空间模块可为敞开空间，根据拆分方式，可不设顶板、底板或部分围合墙。</w:t>
      </w:r>
    </w:p>
    <w:tbl>
      <w:tblPr>
        <w:tblStyle w:val="18"/>
        <w:tblW w:w="93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61"/>
        <w:gridCol w:w="4661"/>
      </w:tblGrid>
      <w:tr w14:paraId="582BC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699E7206">
            <w:pPr>
              <w:adjustRightInd w:val="0"/>
              <w:snapToGrid w:val="0"/>
              <w:jc w:val="center"/>
              <w:rPr>
                <w:rFonts w:eastAsia="楷体"/>
                <w:color w:val="auto"/>
                <w:szCs w:val="21"/>
              </w:rPr>
            </w:pPr>
            <w:r>
              <w:rPr>
                <w:color w:val="auto"/>
              </w:rPr>
              <w:drawing>
                <wp:inline distT="0" distB="0" distL="114300" distR="114300">
                  <wp:extent cx="1842770" cy="1619885"/>
                  <wp:effectExtent l="0" t="0" r="5080" b="18415"/>
                  <wp:docPr id="5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8"/>
                          <pic:cNvPicPr>
                            <a:picLocks noChangeAspect="1"/>
                          </pic:cNvPicPr>
                        </pic:nvPicPr>
                        <pic:blipFill>
                          <a:blip r:embed="rId14"/>
                          <a:stretch>
                            <a:fillRect/>
                          </a:stretch>
                        </pic:blipFill>
                        <pic:spPr>
                          <a:xfrm>
                            <a:off x="0" y="0"/>
                            <a:ext cx="1842770" cy="1619885"/>
                          </a:xfrm>
                          <a:prstGeom prst="rect">
                            <a:avLst/>
                          </a:prstGeom>
                          <a:noFill/>
                          <a:ln>
                            <a:noFill/>
                          </a:ln>
                        </pic:spPr>
                      </pic:pic>
                    </a:graphicData>
                  </a:graphic>
                </wp:inline>
              </w:drawing>
            </w:r>
          </w:p>
        </w:tc>
        <w:tc>
          <w:tcPr>
            <w:tcW w:w="4261" w:type="dxa"/>
            <w:vAlign w:val="center"/>
          </w:tcPr>
          <w:p w14:paraId="3A6036AF">
            <w:pPr>
              <w:adjustRightInd w:val="0"/>
              <w:snapToGrid w:val="0"/>
              <w:jc w:val="center"/>
              <w:rPr>
                <w:rFonts w:eastAsia="楷体"/>
                <w:color w:val="auto"/>
                <w:szCs w:val="21"/>
              </w:rPr>
            </w:pPr>
            <w:r>
              <w:rPr>
                <w:color w:val="auto"/>
              </w:rPr>
              <w:drawing>
                <wp:inline distT="0" distB="0" distL="114300" distR="114300">
                  <wp:extent cx="1856105" cy="1619885"/>
                  <wp:effectExtent l="0" t="0" r="10795" b="18415"/>
                  <wp:docPr id="4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7"/>
                          <pic:cNvPicPr>
                            <a:picLocks noChangeAspect="1"/>
                          </pic:cNvPicPr>
                        </pic:nvPicPr>
                        <pic:blipFill>
                          <a:blip r:embed="rId15"/>
                          <a:stretch>
                            <a:fillRect/>
                          </a:stretch>
                        </pic:blipFill>
                        <pic:spPr>
                          <a:xfrm>
                            <a:off x="0" y="0"/>
                            <a:ext cx="1856105" cy="1619885"/>
                          </a:xfrm>
                          <a:prstGeom prst="rect">
                            <a:avLst/>
                          </a:prstGeom>
                          <a:noFill/>
                          <a:ln>
                            <a:noFill/>
                          </a:ln>
                        </pic:spPr>
                      </pic:pic>
                    </a:graphicData>
                  </a:graphic>
                </wp:inline>
              </w:drawing>
            </w:r>
          </w:p>
        </w:tc>
      </w:tr>
    </w:tbl>
    <w:tbl>
      <w:tblPr>
        <w:tblStyle w:val="17"/>
        <w:tblW w:w="9322" w:type="dxa"/>
        <w:tblInd w:w="0" w:type="dxa"/>
        <w:tblLayout w:type="autofit"/>
        <w:tblCellMar>
          <w:top w:w="0" w:type="dxa"/>
          <w:left w:w="108" w:type="dxa"/>
          <w:bottom w:w="0" w:type="dxa"/>
          <w:right w:w="108" w:type="dxa"/>
        </w:tblCellMar>
      </w:tblPr>
      <w:tblGrid>
        <w:gridCol w:w="4661"/>
        <w:gridCol w:w="4661"/>
      </w:tblGrid>
      <w:tr w14:paraId="751C9EA3">
        <w:tblPrEx>
          <w:tblCellMar>
            <w:top w:w="0" w:type="dxa"/>
            <w:left w:w="108" w:type="dxa"/>
            <w:bottom w:w="0" w:type="dxa"/>
            <w:right w:w="108" w:type="dxa"/>
          </w:tblCellMar>
        </w:tblPrEx>
        <w:tc>
          <w:tcPr>
            <w:tcW w:w="4261" w:type="dxa"/>
            <w:shd w:val="clear" w:color="auto" w:fill="auto"/>
            <w:vAlign w:val="center"/>
          </w:tcPr>
          <w:p w14:paraId="4EA07E4A">
            <w:pPr>
              <w:pStyle w:val="26"/>
              <w:spacing w:line="312" w:lineRule="auto"/>
              <w:rPr>
                <w:rFonts w:eastAsia="楷体"/>
                <w:color w:val="auto"/>
                <w:sz w:val="21"/>
                <w:szCs w:val="24"/>
              </w:rPr>
            </w:pPr>
            <w:r>
              <w:rPr>
                <w:rFonts w:hint="eastAsia" w:eastAsia="楷体"/>
                <w:color w:val="auto"/>
                <w:sz w:val="21"/>
                <w:szCs w:val="24"/>
              </w:rPr>
              <w:t>（a）有底板的箱模式模块</w:t>
            </w:r>
          </w:p>
        </w:tc>
        <w:tc>
          <w:tcPr>
            <w:tcW w:w="4261" w:type="dxa"/>
            <w:shd w:val="clear" w:color="auto" w:fill="auto"/>
            <w:vAlign w:val="center"/>
          </w:tcPr>
          <w:p w14:paraId="4E0BF407">
            <w:pPr>
              <w:pStyle w:val="26"/>
              <w:spacing w:line="312" w:lineRule="auto"/>
              <w:rPr>
                <w:rFonts w:eastAsia="楷体"/>
                <w:color w:val="auto"/>
                <w:sz w:val="21"/>
                <w:szCs w:val="24"/>
              </w:rPr>
            </w:pPr>
            <w:r>
              <w:rPr>
                <w:rFonts w:hint="eastAsia" w:eastAsia="楷体"/>
                <w:color w:val="auto"/>
                <w:sz w:val="21"/>
                <w:szCs w:val="24"/>
              </w:rPr>
              <w:t>（b）无底板的箱模式模块</w:t>
            </w:r>
          </w:p>
        </w:tc>
      </w:tr>
    </w:tbl>
    <w:p w14:paraId="65D72C64">
      <w:pPr>
        <w:pStyle w:val="26"/>
        <w:spacing w:line="312" w:lineRule="auto"/>
        <w:rPr>
          <w:rFonts w:eastAsia="楷体"/>
          <w:color w:val="auto"/>
          <w:sz w:val="21"/>
          <w:szCs w:val="24"/>
        </w:rPr>
      </w:pPr>
      <w:r>
        <w:rPr>
          <w:rFonts w:hint="eastAsia" w:eastAsia="楷体"/>
          <w:color w:val="auto"/>
          <w:sz w:val="21"/>
          <w:szCs w:val="24"/>
        </w:rPr>
        <w:t>图4  箱模式模块</w:t>
      </w:r>
    </w:p>
    <w:p w14:paraId="43844350">
      <w:pPr>
        <w:pStyle w:val="26"/>
        <w:spacing w:line="312" w:lineRule="auto"/>
        <w:rPr>
          <w:rFonts w:eastAsia="楷体"/>
          <w:color w:val="auto"/>
          <w:sz w:val="21"/>
          <w:szCs w:val="24"/>
        </w:rPr>
      </w:pPr>
      <w:r>
        <w:rPr>
          <w:rFonts w:hint="eastAsia" w:eastAsia="楷体"/>
          <w:color w:val="auto"/>
          <w:sz w:val="21"/>
          <w:szCs w:val="24"/>
        </w:rPr>
        <w:t>1—墙/柱模；2—顶板；3—梁模；4—墙板；5—设备管线；6—底板；7—洞口</w:t>
      </w:r>
    </w:p>
    <w:p w14:paraId="1ECA4F85">
      <w:pPr>
        <w:numPr>
          <w:ilvl w:val="0"/>
          <w:numId w:val="2"/>
        </w:numPr>
        <w:spacing w:line="312" w:lineRule="auto"/>
        <w:rPr>
          <w:color w:val="auto"/>
        </w:rPr>
      </w:pPr>
      <w:r>
        <w:rPr>
          <w:rFonts w:hint="eastAsia"/>
          <w:color w:val="auto"/>
        </w:rPr>
        <w:t>混凝土模块化框架结构  concrete modular frame structure</w:t>
      </w:r>
    </w:p>
    <w:p w14:paraId="4E669EAE">
      <w:pPr>
        <w:spacing w:line="312" w:lineRule="auto"/>
        <w:ind w:firstLine="420" w:firstLineChars="200"/>
        <w:rPr>
          <w:color w:val="auto"/>
        </w:rPr>
      </w:pPr>
      <w:r>
        <w:rPr>
          <w:rFonts w:hint="eastAsia"/>
          <w:color w:val="auto"/>
        </w:rPr>
        <w:t>由框架式模块在施工现场通过可靠的连接方式拼装形成的混凝土模块化结构，简称模块化框架结构。</w:t>
      </w:r>
    </w:p>
    <w:p w14:paraId="1CBB9946">
      <w:pPr>
        <w:numPr>
          <w:ilvl w:val="0"/>
          <w:numId w:val="2"/>
        </w:numPr>
        <w:spacing w:line="312" w:lineRule="auto"/>
        <w:rPr>
          <w:color w:val="auto"/>
        </w:rPr>
      </w:pPr>
      <w:r>
        <w:rPr>
          <w:rFonts w:hint="eastAsia"/>
          <w:color w:val="auto"/>
        </w:rPr>
        <w:t>混凝土模块化剪力墙结构 concrete modular shear wall structure</w:t>
      </w:r>
    </w:p>
    <w:p w14:paraId="11959572">
      <w:pPr>
        <w:spacing w:line="312" w:lineRule="auto"/>
        <w:ind w:firstLine="420" w:firstLineChars="200"/>
        <w:rPr>
          <w:color w:val="auto"/>
        </w:rPr>
      </w:pPr>
      <w:r>
        <w:rPr>
          <w:rFonts w:hint="eastAsia"/>
          <w:color w:val="auto"/>
        </w:rPr>
        <w:t>由剪力墙式模块在施工现场通过可靠的连接方式拼装形成的混凝土模块化结构，简称模块化剪力墙结构，包括模块化预制剪力墙结构和模块化叠合剪力墙结构。</w:t>
      </w:r>
    </w:p>
    <w:p w14:paraId="7ACA86FA">
      <w:pPr>
        <w:numPr>
          <w:ilvl w:val="0"/>
          <w:numId w:val="2"/>
        </w:numPr>
        <w:spacing w:line="312" w:lineRule="auto"/>
        <w:rPr>
          <w:color w:val="auto"/>
        </w:rPr>
      </w:pPr>
      <w:r>
        <w:rPr>
          <w:rFonts w:hint="eastAsia"/>
          <w:color w:val="auto"/>
        </w:rPr>
        <w:t>混凝土模块化预制剪力墙结构 concrete modular precast shear wall structure</w:t>
      </w:r>
    </w:p>
    <w:p w14:paraId="640F86C9">
      <w:pPr>
        <w:spacing w:line="312" w:lineRule="auto"/>
        <w:ind w:firstLine="420" w:firstLineChars="200"/>
        <w:rPr>
          <w:color w:val="auto"/>
        </w:rPr>
      </w:pPr>
      <w:r>
        <w:rPr>
          <w:rFonts w:hint="eastAsia"/>
          <w:color w:val="auto"/>
        </w:rPr>
        <w:t>由预制剪力墙式模块在施工现场通过可靠的连接方式拼装形成的模块化剪力墙结构，简称模块化预制剪力墙结构。</w:t>
      </w:r>
    </w:p>
    <w:p w14:paraId="0023B2EC">
      <w:pPr>
        <w:numPr>
          <w:ilvl w:val="0"/>
          <w:numId w:val="2"/>
        </w:numPr>
        <w:spacing w:line="312" w:lineRule="auto"/>
        <w:rPr>
          <w:color w:val="auto"/>
        </w:rPr>
      </w:pPr>
      <w:r>
        <w:rPr>
          <w:rFonts w:hint="eastAsia"/>
          <w:color w:val="auto"/>
        </w:rPr>
        <w:t>混凝土模块化叠合剪力墙结构 concrete modular superimposed shear wall structure</w:t>
      </w:r>
    </w:p>
    <w:p w14:paraId="712ABCAE">
      <w:pPr>
        <w:spacing w:line="312" w:lineRule="auto"/>
        <w:ind w:firstLine="420" w:firstLineChars="200"/>
        <w:rPr>
          <w:color w:val="auto"/>
        </w:rPr>
      </w:pPr>
      <w:r>
        <w:rPr>
          <w:rFonts w:hint="eastAsia"/>
          <w:color w:val="auto"/>
        </w:rPr>
        <w:t>由叠合剪力墙式模块在施工现场通过可靠的连接方式拼装形成的模块化剪力墙结构，简称模块化叠合剪力墙结构。</w:t>
      </w:r>
    </w:p>
    <w:p w14:paraId="252C68A3">
      <w:pPr>
        <w:numPr>
          <w:ilvl w:val="0"/>
          <w:numId w:val="2"/>
        </w:numPr>
        <w:spacing w:line="312" w:lineRule="auto"/>
        <w:rPr>
          <w:color w:val="auto"/>
        </w:rPr>
      </w:pPr>
      <w:r>
        <w:rPr>
          <w:rFonts w:hint="eastAsia"/>
          <w:color w:val="auto"/>
        </w:rPr>
        <w:t>混凝土模块化现浇结构  concrete modular cast-in-situ structure</w:t>
      </w:r>
    </w:p>
    <w:p w14:paraId="21348DDF">
      <w:pPr>
        <w:spacing w:line="312" w:lineRule="auto"/>
        <w:ind w:firstLine="420" w:firstLineChars="200"/>
        <w:rPr>
          <w:color w:val="auto"/>
        </w:rPr>
      </w:pPr>
      <w:r>
        <w:rPr>
          <w:rFonts w:hint="eastAsia"/>
          <w:color w:val="auto"/>
        </w:rPr>
        <w:t>由箱模式模块现场拼装，模壳板、顶板兼作现浇混凝土构件的模板，现场浇筑混凝土形成的框架、框架-剪力墙及剪力墙结构，分别简称为模块化现浇框架结构、模块化现浇框架-剪力墙结构及模块化现浇剪力墙结构。</w:t>
      </w:r>
    </w:p>
    <w:p w14:paraId="0EA47E04">
      <w:pPr>
        <w:spacing w:line="312" w:lineRule="auto"/>
        <w:ind w:firstLine="420" w:firstLineChars="200"/>
        <w:rPr>
          <w:rFonts w:eastAsia="楷体"/>
          <w:color w:val="auto"/>
          <w:szCs w:val="21"/>
        </w:rPr>
      </w:pPr>
      <w:r>
        <w:rPr>
          <w:rFonts w:hint="eastAsia" w:ascii="楷体" w:hAnsi="楷体" w:eastAsia="楷体" w:cs="楷体"/>
          <w:color w:val="auto"/>
          <w:szCs w:val="21"/>
        </w:rPr>
        <w:t>【条文说明】</w:t>
      </w:r>
      <w:r>
        <w:rPr>
          <w:rFonts w:hint="eastAsia" w:eastAsia="楷体"/>
          <w:color w:val="auto"/>
          <w:szCs w:val="21"/>
        </w:rPr>
        <w:t>（2.1.9~2.1.13）混凝土模块化建筑的结构体系简称为模块化结构，模块化结构主要分为混凝土模块化框架结构、混凝土模块化预制剪力墙结构、混凝土模块化叠合剪力墙结构及混凝土模块化现浇结构。其中，混凝土模块化框架结构的框架式模块拼装后自身参与结构整体受力，整体结构中的承重构件（梁、板、柱）均由框架式模块中的梁、板、柱通过连接件组合形成；模块化预制剪力墙结构的预制剪力墙式模块生产时已集成预制剪力墙，整体结构的承重构件梁、板通过梁模和叠合顶板后浇，模块之间通过节点连接组合形成；模块化叠合剪力墙结构的叠合剪力墙式模块在生产时已集成叠合剪力墙，整体结构的承重构件梁、板通过梁模和叠合顶板后浇，模块之间通过节点连接组合形成；另一种是模块化现浇结构，该结构体系中，箱模式模块拼装后不参与结构整体受力，模块单元中的模壳板作为承重结构的模板，省去了现场施工过程中的支模、拆模工作，主要的受力构件现场后浇，其结构性能与现浇体系基本一致，其结构体系可以是框架结构、框架-剪力墙结构、剪力墙结构或其他结构体系。</w:t>
      </w:r>
    </w:p>
    <w:p w14:paraId="722BCE75">
      <w:pPr>
        <w:numPr>
          <w:ilvl w:val="0"/>
          <w:numId w:val="2"/>
        </w:numPr>
        <w:spacing w:line="312" w:lineRule="auto"/>
        <w:rPr>
          <w:color w:val="auto"/>
        </w:rPr>
      </w:pPr>
      <w:r>
        <w:rPr>
          <w:rFonts w:hint="eastAsia"/>
          <w:color w:val="auto"/>
        </w:rPr>
        <w:t>模壳板  formwork plate</w:t>
      </w:r>
    </w:p>
    <w:p w14:paraId="330C4038">
      <w:pPr>
        <w:spacing w:line="312" w:lineRule="auto"/>
        <w:ind w:firstLine="420" w:firstLineChars="200"/>
        <w:rPr>
          <w:rFonts w:eastAsia="楷体"/>
          <w:color w:val="auto"/>
          <w:szCs w:val="21"/>
        </w:rPr>
      </w:pPr>
      <w:r>
        <w:rPr>
          <w:rFonts w:hint="eastAsia"/>
          <w:color w:val="auto"/>
        </w:rPr>
        <w:t>用于形成模块单元兼作现浇混凝土构件模板使用的模壳板，可分为墙模、柱模、梁模等。</w:t>
      </w:r>
    </w:p>
    <w:p w14:paraId="1302D709">
      <w:pPr>
        <w:numPr>
          <w:ilvl w:val="0"/>
          <w:numId w:val="2"/>
        </w:numPr>
        <w:spacing w:line="312" w:lineRule="auto"/>
        <w:rPr>
          <w:color w:val="auto"/>
        </w:rPr>
      </w:pPr>
      <w:r>
        <w:rPr>
          <w:rFonts w:hint="eastAsia"/>
          <w:color w:val="auto"/>
        </w:rPr>
        <w:t>墙模  wall formwork</w:t>
      </w:r>
    </w:p>
    <w:p w14:paraId="24539EAD">
      <w:pPr>
        <w:spacing w:line="312" w:lineRule="auto"/>
        <w:ind w:firstLine="420" w:firstLineChars="200"/>
        <w:rPr>
          <w:color w:val="auto"/>
        </w:rPr>
      </w:pPr>
      <w:r>
        <w:rPr>
          <w:rFonts w:hint="eastAsia"/>
          <w:color w:val="auto"/>
        </w:rPr>
        <w:t>用于形成模块单元兼作现浇剪力墙浇筑时模板使用的模壳板</w:t>
      </w:r>
      <w:r>
        <w:rPr>
          <w:color w:val="auto"/>
        </w:rPr>
        <w:t>。</w:t>
      </w:r>
    </w:p>
    <w:p w14:paraId="2AA66876">
      <w:pPr>
        <w:numPr>
          <w:ilvl w:val="0"/>
          <w:numId w:val="2"/>
        </w:numPr>
        <w:spacing w:line="312" w:lineRule="auto"/>
        <w:rPr>
          <w:color w:val="auto"/>
        </w:rPr>
      </w:pPr>
      <w:r>
        <w:rPr>
          <w:rFonts w:hint="eastAsia"/>
          <w:color w:val="auto"/>
        </w:rPr>
        <w:t>柱模  column formwork</w:t>
      </w:r>
    </w:p>
    <w:p w14:paraId="3B155168">
      <w:pPr>
        <w:spacing w:line="312" w:lineRule="auto"/>
        <w:ind w:firstLine="420" w:firstLineChars="200"/>
        <w:rPr>
          <w:color w:val="auto"/>
        </w:rPr>
      </w:pPr>
      <w:r>
        <w:rPr>
          <w:rFonts w:hint="eastAsia"/>
          <w:color w:val="auto"/>
        </w:rPr>
        <w:t>用于形成模块单元兼作现浇结构柱浇筑时模板使用的模壳板。</w:t>
      </w:r>
    </w:p>
    <w:p w14:paraId="5126CE0A">
      <w:pPr>
        <w:numPr>
          <w:ilvl w:val="0"/>
          <w:numId w:val="2"/>
        </w:numPr>
        <w:spacing w:line="312" w:lineRule="auto"/>
        <w:rPr>
          <w:color w:val="auto"/>
        </w:rPr>
      </w:pPr>
      <w:r>
        <w:rPr>
          <w:rFonts w:hint="eastAsia"/>
          <w:color w:val="auto"/>
        </w:rPr>
        <w:t>梁模  beam formwork</w:t>
      </w:r>
    </w:p>
    <w:p w14:paraId="1962D844">
      <w:pPr>
        <w:spacing w:line="312" w:lineRule="auto"/>
        <w:ind w:firstLine="420" w:firstLineChars="200"/>
        <w:rPr>
          <w:color w:val="auto"/>
        </w:rPr>
      </w:pPr>
      <w:r>
        <w:rPr>
          <w:rFonts w:hint="eastAsia"/>
          <w:color w:val="auto"/>
        </w:rPr>
        <w:t>用于形成模块单元兼作现浇结构梁浇筑时模板使用的模壳板。</w:t>
      </w:r>
    </w:p>
    <w:p w14:paraId="67E16A93">
      <w:pPr>
        <w:spacing w:line="312" w:lineRule="auto"/>
        <w:ind w:firstLine="420" w:firstLineChars="200"/>
        <w:rPr>
          <w:rFonts w:eastAsia="楷体"/>
          <w:color w:val="auto"/>
          <w:szCs w:val="21"/>
        </w:rPr>
      </w:pPr>
      <w:r>
        <w:rPr>
          <w:rFonts w:hint="eastAsia" w:ascii="楷体" w:hAnsi="楷体" w:eastAsia="楷体" w:cs="楷体"/>
          <w:color w:val="auto"/>
          <w:szCs w:val="21"/>
        </w:rPr>
        <w:t>【条文说明】</w:t>
      </w:r>
      <w:r>
        <w:rPr>
          <w:rFonts w:eastAsia="楷体"/>
          <w:color w:val="auto"/>
          <w:szCs w:val="21"/>
        </w:rPr>
        <w:t>（</w:t>
      </w:r>
      <w:r>
        <w:rPr>
          <w:rFonts w:hint="eastAsia" w:eastAsia="楷体"/>
          <w:color w:val="auto"/>
          <w:szCs w:val="21"/>
        </w:rPr>
        <w:t>2.1.14~2.1.17</w:t>
      </w:r>
      <w:r>
        <w:rPr>
          <w:rFonts w:eastAsia="楷体"/>
          <w:color w:val="auto"/>
          <w:szCs w:val="21"/>
        </w:rPr>
        <w:t>）箱模式模块中的墙模、柱模、梁模兼做模块单元的</w:t>
      </w:r>
      <w:r>
        <w:rPr>
          <w:rFonts w:hint="eastAsia" w:eastAsia="楷体"/>
          <w:color w:val="auto"/>
          <w:szCs w:val="21"/>
        </w:rPr>
        <w:t>墙板</w:t>
      </w:r>
      <w:r>
        <w:rPr>
          <w:rFonts w:eastAsia="楷体"/>
          <w:color w:val="auto"/>
          <w:szCs w:val="21"/>
        </w:rPr>
        <w:t>与现场浇筑剪力墙、柱、梁的模板，其材料性能与构造要求必须满足其作为</w:t>
      </w:r>
      <w:r>
        <w:rPr>
          <w:rFonts w:hint="eastAsia" w:eastAsia="楷体"/>
          <w:color w:val="auto"/>
          <w:szCs w:val="21"/>
        </w:rPr>
        <w:t>墙板</w:t>
      </w:r>
      <w:r>
        <w:rPr>
          <w:rFonts w:eastAsia="楷体"/>
          <w:color w:val="auto"/>
          <w:szCs w:val="21"/>
        </w:rPr>
        <w:t>或模板使用的功能要求。</w:t>
      </w:r>
    </w:p>
    <w:p w14:paraId="18985BB1">
      <w:pPr>
        <w:numPr>
          <w:ilvl w:val="0"/>
          <w:numId w:val="2"/>
        </w:numPr>
        <w:spacing w:line="312" w:lineRule="auto"/>
        <w:rPr>
          <w:color w:val="auto"/>
        </w:rPr>
      </w:pPr>
      <w:r>
        <w:rPr>
          <w:rFonts w:hint="eastAsia"/>
          <w:color w:val="auto"/>
        </w:rPr>
        <w:t>接口  joint</w:t>
      </w:r>
    </w:p>
    <w:p w14:paraId="6C6E93E1">
      <w:pPr>
        <w:spacing w:line="312" w:lineRule="auto"/>
        <w:ind w:firstLine="420" w:firstLineChars="200"/>
        <w:rPr>
          <w:color w:val="auto"/>
        </w:rPr>
      </w:pPr>
      <w:r>
        <w:rPr>
          <w:rFonts w:hint="eastAsia"/>
          <w:color w:val="auto"/>
        </w:rPr>
        <w:t>模块单元与模块单元、模块单元与部件或部品间的连接或界面。</w:t>
      </w:r>
      <w:bookmarkStart w:id="39" w:name="_Toc110958466"/>
      <w:bookmarkStart w:id="40" w:name="_Toc110952698"/>
    </w:p>
    <w:p w14:paraId="45BC4C38">
      <w:pPr>
        <w:pStyle w:val="3"/>
        <w:rPr>
          <w:b/>
          <w:bCs w:val="0"/>
          <w:color w:val="auto"/>
        </w:rPr>
      </w:pPr>
      <w:bookmarkStart w:id="41" w:name="_Toc27027"/>
      <w:bookmarkStart w:id="42" w:name="_Toc6588"/>
      <w:bookmarkStart w:id="43" w:name="_Toc13726"/>
      <w:bookmarkStart w:id="44" w:name="_Toc3548"/>
      <w:bookmarkStart w:id="45" w:name="_Toc29067"/>
      <w:bookmarkStart w:id="46" w:name="_Toc19650"/>
      <w:bookmarkStart w:id="47" w:name="_Toc19007"/>
      <w:bookmarkStart w:id="48" w:name="_Toc4383"/>
      <w:bookmarkStart w:id="49" w:name="_Toc7977"/>
      <w:r>
        <w:rPr>
          <w:b/>
          <w:bCs w:val="0"/>
          <w:color w:val="auto"/>
        </w:rPr>
        <w:t xml:space="preserve">2.2  </w:t>
      </w:r>
      <w:r>
        <w:rPr>
          <w:color w:val="auto"/>
        </w:rPr>
        <w:t>符号</w:t>
      </w:r>
      <w:bookmarkEnd w:id="39"/>
      <w:bookmarkEnd w:id="40"/>
      <w:bookmarkEnd w:id="41"/>
      <w:bookmarkEnd w:id="42"/>
      <w:bookmarkEnd w:id="43"/>
      <w:bookmarkEnd w:id="44"/>
      <w:bookmarkEnd w:id="45"/>
      <w:bookmarkEnd w:id="46"/>
      <w:bookmarkEnd w:id="47"/>
      <w:bookmarkEnd w:id="48"/>
      <w:bookmarkEnd w:id="49"/>
    </w:p>
    <w:p w14:paraId="4618F102">
      <w:pPr>
        <w:numPr>
          <w:ilvl w:val="0"/>
          <w:numId w:val="3"/>
        </w:numPr>
        <w:spacing w:line="360" w:lineRule="auto"/>
        <w:rPr>
          <w:rFonts w:cs="宋体"/>
          <w:color w:val="auto"/>
        </w:rPr>
      </w:pPr>
      <w:r>
        <w:rPr>
          <w:rFonts w:hint="eastAsia" w:cs="宋体"/>
          <w:color w:val="auto"/>
        </w:rPr>
        <w:t>几何参数</w:t>
      </w:r>
    </w:p>
    <w:p w14:paraId="5C0CD42D">
      <w:pPr>
        <w:numPr>
          <w:ilvl w:val="255"/>
          <w:numId w:val="0"/>
        </w:numPr>
        <w:tabs>
          <w:tab w:val="left" w:pos="0"/>
        </w:tabs>
        <w:spacing w:line="360" w:lineRule="auto"/>
        <w:rPr>
          <w:rFonts w:cs="宋体"/>
          <w:color w:val="auto"/>
        </w:rPr>
      </w:pPr>
    </w:p>
    <w:tbl>
      <w:tblPr>
        <w:tblStyle w:val="18"/>
        <w:tblW w:w="0" w:type="auto"/>
        <w:tblInd w:w="4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57" w:type="dxa"/>
          <w:bottom w:w="0" w:type="dxa"/>
          <w:right w:w="0" w:type="dxa"/>
        </w:tblCellMar>
      </w:tblPr>
      <w:tblGrid>
        <w:gridCol w:w="834"/>
        <w:gridCol w:w="5890"/>
      </w:tblGrid>
      <w:tr w14:paraId="5D69A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198" w:hRule="atLeast"/>
        </w:trPr>
        <w:tc>
          <w:tcPr>
            <w:tcW w:w="834" w:type="dxa"/>
          </w:tcPr>
          <w:p w14:paraId="27F50B00">
            <w:pPr>
              <w:keepNext/>
              <w:wordWrap w:val="0"/>
              <w:spacing w:line="312" w:lineRule="auto"/>
              <w:jc w:val="right"/>
              <w:rPr>
                <w:rFonts w:ascii="Cambria Math" w:hAnsi="Cambria Math" w:eastAsia="黑体"/>
                <w:bCs/>
                <w:color w:val="auto"/>
                <w:szCs w:val="21"/>
              </w:rPr>
            </w:pPr>
            <w:r>
              <w:rPr>
                <w:rFonts w:ascii="Cambria Math" w:hAnsi="Cambria Math" w:eastAsia="黑体"/>
                <w:bCs/>
                <w:i/>
                <w:iCs/>
                <w:color w:val="auto"/>
                <w:szCs w:val="21"/>
              </w:rPr>
              <w:t>X</w:t>
            </w:r>
            <w:r>
              <w:rPr>
                <w:rFonts w:ascii="Cambria Math" w:hAnsi="Cambria Math" w:eastAsia="黑体"/>
                <w:bCs/>
                <w:i/>
                <w:iCs/>
                <w:color w:val="auto"/>
                <w:szCs w:val="21"/>
                <w:vertAlign w:val="subscript"/>
              </w:rPr>
              <w:t>i</w:t>
            </w:r>
            <w:r>
              <w:rPr>
                <w:rFonts w:ascii="Cambria Math" w:hAnsi="Cambria Math"/>
                <w:bCs/>
                <w:i/>
                <w:iCs/>
                <w:color w:val="auto"/>
                <w:szCs w:val="21"/>
              </w:rPr>
              <w:t>、</w:t>
            </w:r>
            <w:r>
              <w:rPr>
                <w:rFonts w:ascii="Cambria Math" w:hAnsi="Cambria Math" w:eastAsia="黑体"/>
                <w:bCs/>
                <w:i/>
                <w:iCs/>
                <w:color w:val="auto"/>
                <w:szCs w:val="21"/>
              </w:rPr>
              <w:t>Y</w:t>
            </w:r>
            <w:r>
              <w:rPr>
                <w:rFonts w:ascii="Cambria Math" w:hAnsi="Cambria Math" w:eastAsia="黑体"/>
                <w:bCs/>
                <w:i/>
                <w:iCs/>
                <w:color w:val="auto"/>
                <w:szCs w:val="21"/>
                <w:vertAlign w:val="subscript"/>
              </w:rPr>
              <w:t xml:space="preserve">i </w:t>
            </w:r>
          </w:p>
        </w:tc>
        <w:tc>
          <w:tcPr>
            <w:tcW w:w="5890" w:type="dxa"/>
          </w:tcPr>
          <w:p w14:paraId="3FD3E0BA">
            <w:pPr>
              <w:keepNext/>
              <w:spacing w:line="312" w:lineRule="auto"/>
              <w:jc w:val="left"/>
              <w:rPr>
                <w:rFonts w:eastAsia="黑体"/>
                <w:bCs/>
                <w:color w:val="auto"/>
                <w:szCs w:val="21"/>
              </w:rPr>
            </w:pPr>
            <w:r>
              <w:rPr>
                <w:rFonts w:eastAsia="黑体"/>
                <w:bCs/>
                <w:color w:val="auto"/>
                <w:szCs w:val="21"/>
              </w:rPr>
              <w:t>——</w:t>
            </w:r>
            <w:r>
              <w:rPr>
                <w:bCs/>
                <w:color w:val="auto"/>
                <w:szCs w:val="21"/>
              </w:rPr>
              <w:t>吊点的坐标点；</w:t>
            </w:r>
          </w:p>
        </w:tc>
      </w:tr>
      <w:tr w14:paraId="4B886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198" w:hRule="atLeast"/>
        </w:trPr>
        <w:tc>
          <w:tcPr>
            <w:tcW w:w="834" w:type="dxa"/>
          </w:tcPr>
          <w:p w14:paraId="233A77EB">
            <w:pPr>
              <w:keepNext/>
              <w:wordWrap w:val="0"/>
              <w:spacing w:line="312" w:lineRule="auto"/>
              <w:jc w:val="right"/>
              <w:rPr>
                <w:rFonts w:ascii="Cambria Math" w:hAnsi="Cambria Math" w:eastAsia="黑体"/>
                <w:bCs/>
                <w:color w:val="auto"/>
                <w:szCs w:val="21"/>
              </w:rPr>
            </w:pPr>
            <w:r>
              <w:rPr>
                <w:rFonts w:ascii="Cambria Math" w:hAnsi="Cambria Math" w:eastAsia="黑体"/>
                <w:bCs/>
                <w:i/>
                <w:iCs/>
                <w:color w:val="auto"/>
                <w:szCs w:val="21"/>
              </w:rPr>
              <w:t>X</w:t>
            </w:r>
            <w:r>
              <w:rPr>
                <w:rFonts w:ascii="Cambria Math" w:hAnsi="Cambria Math" w:eastAsia="黑体"/>
                <w:bCs/>
                <w:i/>
                <w:iCs/>
                <w:color w:val="auto"/>
                <w:szCs w:val="21"/>
                <w:vertAlign w:val="subscript"/>
              </w:rPr>
              <w:t>r</w:t>
            </w:r>
            <w:r>
              <w:rPr>
                <w:rFonts w:ascii="Cambria Math" w:hAnsi="Cambria Math"/>
                <w:bCs/>
                <w:i/>
                <w:iCs/>
                <w:color w:val="auto"/>
                <w:szCs w:val="21"/>
              </w:rPr>
              <w:t>、</w:t>
            </w:r>
            <w:r>
              <w:rPr>
                <w:rFonts w:ascii="Cambria Math" w:hAnsi="Cambria Math" w:eastAsia="黑体"/>
                <w:bCs/>
                <w:i/>
                <w:iCs/>
                <w:color w:val="auto"/>
                <w:szCs w:val="21"/>
              </w:rPr>
              <w:t>Y</w:t>
            </w:r>
            <w:r>
              <w:rPr>
                <w:rFonts w:ascii="Cambria Math" w:hAnsi="Cambria Math" w:eastAsia="黑体"/>
                <w:bCs/>
                <w:i/>
                <w:iCs/>
                <w:color w:val="auto"/>
                <w:szCs w:val="21"/>
                <w:vertAlign w:val="subscript"/>
              </w:rPr>
              <w:t xml:space="preserve">r </w:t>
            </w:r>
          </w:p>
        </w:tc>
        <w:tc>
          <w:tcPr>
            <w:tcW w:w="5890" w:type="dxa"/>
          </w:tcPr>
          <w:p w14:paraId="5E870695">
            <w:pPr>
              <w:keepNext/>
              <w:spacing w:line="312" w:lineRule="auto"/>
              <w:jc w:val="left"/>
              <w:rPr>
                <w:rFonts w:eastAsia="黑体"/>
                <w:bCs/>
                <w:color w:val="auto"/>
                <w:szCs w:val="21"/>
              </w:rPr>
            </w:pPr>
            <w:r>
              <w:rPr>
                <w:rFonts w:eastAsia="黑体"/>
                <w:bCs/>
                <w:color w:val="auto"/>
                <w:szCs w:val="21"/>
              </w:rPr>
              <w:t>——</w:t>
            </w:r>
            <w:r>
              <w:rPr>
                <w:bCs/>
                <w:color w:val="auto"/>
                <w:szCs w:val="21"/>
              </w:rPr>
              <w:t>吊点的中心坐标点；</w:t>
            </w:r>
          </w:p>
        </w:tc>
      </w:tr>
      <w:tr w14:paraId="5203F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240" w:hRule="atLeast"/>
        </w:trPr>
        <w:tc>
          <w:tcPr>
            <w:tcW w:w="834" w:type="dxa"/>
          </w:tcPr>
          <w:p w14:paraId="1D5DDBB8">
            <w:pPr>
              <w:keepNext/>
              <w:wordWrap w:val="0"/>
              <w:spacing w:line="312" w:lineRule="auto"/>
              <w:jc w:val="right"/>
              <w:rPr>
                <w:rFonts w:ascii="Cambria Math" w:hAnsi="Cambria Math" w:eastAsia="黑体"/>
                <w:bCs/>
                <w:color w:val="auto"/>
                <w:szCs w:val="21"/>
              </w:rPr>
            </w:pPr>
            <w:r>
              <w:rPr>
                <w:rFonts w:ascii="Cambria Math" w:hAnsi="Cambria Math" w:eastAsia="黑体"/>
                <w:bCs/>
                <w:i/>
                <w:iCs/>
                <w:color w:val="auto"/>
                <w:szCs w:val="21"/>
              </w:rPr>
              <w:t>X</w:t>
            </w:r>
            <w:r>
              <w:rPr>
                <w:rFonts w:ascii="Cambria Math" w:hAnsi="Cambria Math" w:eastAsia="黑体"/>
                <w:bCs/>
                <w:i/>
                <w:iCs/>
                <w:color w:val="auto"/>
                <w:szCs w:val="21"/>
                <w:vertAlign w:val="subscript"/>
              </w:rPr>
              <w:t>0</w:t>
            </w:r>
            <w:r>
              <w:rPr>
                <w:rFonts w:ascii="Cambria Math" w:hAnsi="Cambria Math"/>
                <w:bCs/>
                <w:i/>
                <w:iCs/>
                <w:color w:val="auto"/>
                <w:szCs w:val="21"/>
              </w:rPr>
              <w:t>、</w:t>
            </w:r>
            <w:r>
              <w:rPr>
                <w:rFonts w:ascii="Cambria Math" w:hAnsi="Cambria Math" w:eastAsia="黑体"/>
                <w:bCs/>
                <w:i/>
                <w:iCs/>
                <w:color w:val="auto"/>
                <w:szCs w:val="21"/>
              </w:rPr>
              <w:t>Y</w:t>
            </w:r>
            <w:r>
              <w:rPr>
                <w:rFonts w:ascii="Cambria Math" w:hAnsi="Cambria Math" w:eastAsia="黑体"/>
                <w:bCs/>
                <w:i/>
                <w:iCs/>
                <w:color w:val="auto"/>
                <w:szCs w:val="21"/>
                <w:vertAlign w:val="subscript"/>
              </w:rPr>
              <w:t xml:space="preserve">0 </w:t>
            </w:r>
          </w:p>
        </w:tc>
        <w:tc>
          <w:tcPr>
            <w:tcW w:w="5890" w:type="dxa"/>
          </w:tcPr>
          <w:p w14:paraId="4470620A">
            <w:pPr>
              <w:keepNext/>
              <w:spacing w:line="312" w:lineRule="auto"/>
              <w:jc w:val="left"/>
              <w:rPr>
                <w:rFonts w:eastAsia="黑体"/>
                <w:bCs/>
                <w:i/>
                <w:iCs/>
                <w:color w:val="auto"/>
                <w:szCs w:val="21"/>
              </w:rPr>
            </w:pPr>
            <w:r>
              <w:rPr>
                <w:rFonts w:eastAsia="黑体"/>
                <w:bCs/>
                <w:color w:val="auto"/>
                <w:szCs w:val="21"/>
              </w:rPr>
              <w:t>——</w:t>
            </w:r>
            <w:r>
              <w:rPr>
                <w:bCs/>
                <w:color w:val="auto"/>
                <w:szCs w:val="21"/>
              </w:rPr>
              <w:t>模块单元的重心坐标点；</w:t>
            </w:r>
          </w:p>
        </w:tc>
      </w:tr>
      <w:tr w14:paraId="006FF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240" w:hRule="atLeast"/>
        </w:trPr>
        <w:tc>
          <w:tcPr>
            <w:tcW w:w="834" w:type="dxa"/>
          </w:tcPr>
          <w:p w14:paraId="47DC2C12">
            <w:pPr>
              <w:keepNext/>
              <w:wordWrap w:val="0"/>
              <w:spacing w:line="312" w:lineRule="auto"/>
              <w:jc w:val="right"/>
              <w:rPr>
                <w:rFonts w:ascii="Cambria Math" w:hAnsi="Cambria Math" w:eastAsia="黑体"/>
                <w:bCs/>
                <w:i/>
                <w:iCs/>
                <w:color w:val="auto"/>
                <w:szCs w:val="21"/>
              </w:rPr>
            </w:pPr>
            <w:r>
              <w:rPr>
                <w:rFonts w:ascii="Cambria Math" w:hAnsi="Cambria Math" w:eastAsia="黑体"/>
                <w:bCs/>
                <w:i/>
                <w:iCs/>
                <w:color w:val="auto"/>
                <w:szCs w:val="21"/>
              </w:rPr>
              <w:t>e</w:t>
            </w:r>
            <w:r>
              <w:rPr>
                <w:rFonts w:ascii="Cambria Math" w:hAnsi="Cambria Math" w:eastAsia="黑体"/>
                <w:bCs/>
                <w:i/>
                <w:iCs/>
                <w:color w:val="auto"/>
                <w:szCs w:val="21"/>
                <w:vertAlign w:val="subscript"/>
              </w:rPr>
              <w:t>x</w:t>
            </w:r>
            <w:r>
              <w:rPr>
                <w:rFonts w:ascii="Cambria Math" w:hAnsi="Cambria Math"/>
                <w:bCs/>
                <w:i/>
                <w:iCs/>
                <w:color w:val="auto"/>
                <w:szCs w:val="21"/>
              </w:rPr>
              <w:t>、</w:t>
            </w:r>
            <w:r>
              <w:rPr>
                <w:rFonts w:ascii="Cambria Math" w:hAnsi="Cambria Math" w:eastAsia="黑体"/>
                <w:bCs/>
                <w:i/>
                <w:iCs/>
                <w:color w:val="auto"/>
                <w:szCs w:val="21"/>
              </w:rPr>
              <w:t>e</w:t>
            </w:r>
            <w:r>
              <w:rPr>
                <w:rFonts w:ascii="Cambria Math" w:hAnsi="Cambria Math" w:eastAsia="黑体"/>
                <w:bCs/>
                <w:i/>
                <w:iCs/>
                <w:color w:val="auto"/>
                <w:szCs w:val="21"/>
                <w:vertAlign w:val="subscript"/>
              </w:rPr>
              <w:t xml:space="preserve">y </w:t>
            </w:r>
          </w:p>
        </w:tc>
        <w:tc>
          <w:tcPr>
            <w:tcW w:w="5890" w:type="dxa"/>
          </w:tcPr>
          <w:p w14:paraId="68EF0EC6">
            <w:pPr>
              <w:keepNext/>
              <w:spacing w:line="312" w:lineRule="auto"/>
              <w:jc w:val="left"/>
              <w:rPr>
                <w:rFonts w:eastAsia="黑体"/>
                <w:bCs/>
                <w:color w:val="auto"/>
                <w:szCs w:val="21"/>
              </w:rPr>
            </w:pPr>
            <w:r>
              <w:rPr>
                <w:rFonts w:eastAsia="黑体"/>
                <w:bCs/>
                <w:color w:val="auto"/>
                <w:szCs w:val="21"/>
              </w:rPr>
              <w:t>——</w:t>
            </w:r>
            <w:r>
              <w:rPr>
                <w:bCs/>
                <w:color w:val="auto"/>
                <w:szCs w:val="21"/>
              </w:rPr>
              <w:t>吊点中心坐标点与模块</w:t>
            </w:r>
            <w:r>
              <w:rPr>
                <w:rFonts w:hint="eastAsia"/>
                <w:bCs/>
                <w:color w:val="auto"/>
                <w:szCs w:val="21"/>
              </w:rPr>
              <w:t>单元</w:t>
            </w:r>
            <w:r>
              <w:rPr>
                <w:bCs/>
                <w:color w:val="auto"/>
                <w:szCs w:val="21"/>
              </w:rPr>
              <w:t>重心坐标点的偏心距；</w:t>
            </w:r>
          </w:p>
        </w:tc>
      </w:tr>
      <w:tr w14:paraId="51893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198" w:hRule="atLeast"/>
        </w:trPr>
        <w:tc>
          <w:tcPr>
            <w:tcW w:w="834" w:type="dxa"/>
          </w:tcPr>
          <w:p w14:paraId="4DDC8310">
            <w:pPr>
              <w:keepNext/>
              <w:wordWrap w:val="0"/>
              <w:spacing w:line="312" w:lineRule="auto"/>
              <w:jc w:val="right"/>
              <w:rPr>
                <w:rFonts w:ascii="Cambria Math" w:hAnsi="Cambria Math" w:eastAsia="黑体"/>
                <w:bCs/>
                <w:i/>
                <w:iCs/>
                <w:color w:val="auto"/>
                <w:szCs w:val="21"/>
              </w:rPr>
            </w:pPr>
            <w:r>
              <w:rPr>
                <w:rFonts w:ascii="Cambria Math" w:hAnsi="Cambria Math" w:eastAsia="黑体"/>
                <w:bCs/>
                <w:i/>
                <w:iCs/>
                <w:color w:val="auto"/>
                <w:szCs w:val="21"/>
              </w:rPr>
              <w:t xml:space="preserve">H </w:t>
            </w:r>
          </w:p>
        </w:tc>
        <w:tc>
          <w:tcPr>
            <w:tcW w:w="5890" w:type="dxa"/>
          </w:tcPr>
          <w:p w14:paraId="6649AF79">
            <w:pPr>
              <w:keepNext/>
              <w:spacing w:line="312" w:lineRule="auto"/>
              <w:jc w:val="left"/>
              <w:rPr>
                <w:rFonts w:eastAsia="黑体"/>
                <w:bCs/>
                <w:color w:val="auto"/>
                <w:szCs w:val="21"/>
              </w:rPr>
            </w:pPr>
            <w:r>
              <w:rPr>
                <w:rFonts w:eastAsia="黑体"/>
                <w:bCs/>
                <w:color w:val="auto"/>
                <w:szCs w:val="21"/>
              </w:rPr>
              <w:t>——</w:t>
            </w:r>
            <w:r>
              <w:rPr>
                <w:bCs/>
                <w:color w:val="auto"/>
                <w:szCs w:val="21"/>
              </w:rPr>
              <w:t>模块</w:t>
            </w:r>
            <w:r>
              <w:rPr>
                <w:rFonts w:hint="eastAsia"/>
                <w:bCs/>
                <w:color w:val="auto"/>
                <w:szCs w:val="21"/>
              </w:rPr>
              <w:t>单元</w:t>
            </w:r>
            <w:r>
              <w:rPr>
                <w:bCs/>
                <w:color w:val="auto"/>
                <w:szCs w:val="21"/>
              </w:rPr>
              <w:t>的高度；</w:t>
            </w:r>
          </w:p>
        </w:tc>
      </w:tr>
      <w:tr w14:paraId="04034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198" w:hRule="atLeast"/>
        </w:trPr>
        <w:tc>
          <w:tcPr>
            <w:tcW w:w="834" w:type="dxa"/>
          </w:tcPr>
          <w:p w14:paraId="301C617E">
            <w:pPr>
              <w:keepNext/>
              <w:wordWrap w:val="0"/>
              <w:spacing w:line="312" w:lineRule="auto"/>
              <w:jc w:val="right"/>
              <w:rPr>
                <w:rFonts w:ascii="Cambria Math" w:hAnsi="Cambria Math" w:eastAsia="黑体"/>
                <w:bCs/>
                <w:i/>
                <w:iCs/>
                <w:color w:val="auto"/>
                <w:szCs w:val="21"/>
              </w:rPr>
            </w:pPr>
            <w:r>
              <w:rPr>
                <w:rFonts w:ascii="Cambria Math" w:hAnsi="Cambria Math" w:eastAsia="黑体"/>
                <w:bCs/>
                <w:i/>
                <w:iCs/>
                <w:color w:val="auto"/>
                <w:szCs w:val="21"/>
              </w:rPr>
              <w:t xml:space="preserve">B </w:t>
            </w:r>
          </w:p>
        </w:tc>
        <w:tc>
          <w:tcPr>
            <w:tcW w:w="5890" w:type="dxa"/>
          </w:tcPr>
          <w:p w14:paraId="0BC3084A">
            <w:pPr>
              <w:keepNext/>
              <w:spacing w:line="312" w:lineRule="auto"/>
              <w:jc w:val="left"/>
              <w:rPr>
                <w:rFonts w:eastAsia="黑体"/>
                <w:bCs/>
                <w:color w:val="auto"/>
                <w:szCs w:val="21"/>
              </w:rPr>
            </w:pPr>
            <w:r>
              <w:rPr>
                <w:rFonts w:eastAsia="黑体"/>
                <w:bCs/>
                <w:color w:val="auto"/>
                <w:szCs w:val="21"/>
              </w:rPr>
              <w:t>——</w:t>
            </w:r>
            <w:r>
              <w:rPr>
                <w:bCs/>
                <w:color w:val="auto"/>
                <w:szCs w:val="21"/>
              </w:rPr>
              <w:t>模块</w:t>
            </w:r>
            <w:r>
              <w:rPr>
                <w:rFonts w:hint="eastAsia"/>
                <w:bCs/>
                <w:color w:val="auto"/>
                <w:szCs w:val="21"/>
              </w:rPr>
              <w:t>单元</w:t>
            </w:r>
            <w:r>
              <w:rPr>
                <w:bCs/>
                <w:color w:val="auto"/>
                <w:szCs w:val="21"/>
              </w:rPr>
              <w:t>迎风面宽度；</w:t>
            </w:r>
          </w:p>
        </w:tc>
      </w:tr>
      <w:tr w14:paraId="375B2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198" w:hRule="atLeast"/>
        </w:trPr>
        <w:tc>
          <w:tcPr>
            <w:tcW w:w="834" w:type="dxa"/>
          </w:tcPr>
          <w:p w14:paraId="4CE8EB97">
            <w:pPr>
              <w:keepNext/>
              <w:wordWrap w:val="0"/>
              <w:spacing w:line="312" w:lineRule="auto"/>
              <w:jc w:val="right"/>
              <w:rPr>
                <w:rFonts w:ascii="Cambria Math" w:hAnsi="Cambria Math" w:eastAsia="黑体"/>
                <w:bCs/>
                <w:i/>
                <w:iCs/>
                <w:color w:val="auto"/>
                <w:szCs w:val="21"/>
              </w:rPr>
            </w:pPr>
            <w:r>
              <w:rPr>
                <w:rFonts w:ascii="Cambria Math" w:hAnsi="Cambria Math" w:eastAsia="黑体"/>
                <w:bCs/>
                <w:i/>
                <w:iCs/>
                <w:color w:val="auto"/>
                <w:szCs w:val="21"/>
              </w:rPr>
              <w:t xml:space="preserve">L </w:t>
            </w:r>
          </w:p>
        </w:tc>
        <w:tc>
          <w:tcPr>
            <w:tcW w:w="5890" w:type="dxa"/>
          </w:tcPr>
          <w:p w14:paraId="068A3504">
            <w:pPr>
              <w:keepNext/>
              <w:spacing w:line="312" w:lineRule="auto"/>
              <w:jc w:val="left"/>
              <w:rPr>
                <w:rFonts w:eastAsia="黑体"/>
                <w:bCs/>
                <w:color w:val="auto"/>
                <w:szCs w:val="21"/>
              </w:rPr>
            </w:pPr>
            <w:r>
              <w:rPr>
                <w:rFonts w:eastAsia="黑体"/>
                <w:bCs/>
                <w:color w:val="auto"/>
                <w:szCs w:val="21"/>
              </w:rPr>
              <w:t>——</w:t>
            </w:r>
            <w:r>
              <w:rPr>
                <w:bCs/>
                <w:color w:val="auto"/>
                <w:szCs w:val="21"/>
              </w:rPr>
              <w:t>模块</w:t>
            </w:r>
            <w:r>
              <w:rPr>
                <w:rFonts w:hint="eastAsia"/>
                <w:bCs/>
                <w:color w:val="auto"/>
                <w:szCs w:val="21"/>
              </w:rPr>
              <w:t>单元</w:t>
            </w:r>
            <w:r>
              <w:rPr>
                <w:bCs/>
                <w:color w:val="auto"/>
                <w:szCs w:val="21"/>
              </w:rPr>
              <w:t>重心点到倾覆支点的距离。</w:t>
            </w:r>
          </w:p>
        </w:tc>
      </w:tr>
    </w:tbl>
    <w:p w14:paraId="1751F6C0">
      <w:pPr>
        <w:numPr>
          <w:ilvl w:val="0"/>
          <w:numId w:val="3"/>
        </w:numPr>
        <w:spacing w:line="360" w:lineRule="auto"/>
        <w:rPr>
          <w:rFonts w:cs="宋体"/>
          <w:color w:val="auto"/>
        </w:rPr>
      </w:pPr>
      <w:r>
        <w:rPr>
          <w:rFonts w:hint="eastAsia" w:cs="宋体"/>
          <w:color w:val="auto"/>
        </w:rPr>
        <w:t xml:space="preserve">作用及效应  </w:t>
      </w:r>
    </w:p>
    <w:tbl>
      <w:tblPr>
        <w:tblStyle w:val="18"/>
        <w:tblW w:w="0" w:type="auto"/>
        <w:tblInd w:w="4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57" w:type="dxa"/>
          <w:bottom w:w="0" w:type="dxa"/>
          <w:right w:w="0" w:type="dxa"/>
        </w:tblCellMar>
      </w:tblPr>
      <w:tblGrid>
        <w:gridCol w:w="834"/>
        <w:gridCol w:w="5851"/>
      </w:tblGrid>
      <w:tr w14:paraId="07C53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334" w:hRule="atLeast"/>
        </w:trPr>
        <w:tc>
          <w:tcPr>
            <w:tcW w:w="834" w:type="dxa"/>
          </w:tcPr>
          <w:p w14:paraId="15557DC5">
            <w:pPr>
              <w:keepNext/>
              <w:wordWrap w:val="0"/>
              <w:spacing w:line="312" w:lineRule="auto"/>
              <w:jc w:val="right"/>
              <w:rPr>
                <w:rFonts w:ascii="Cambria Math" w:hAnsi="Cambria Math" w:eastAsia="黑体"/>
                <w:bCs/>
                <w:color w:val="auto"/>
                <w:szCs w:val="21"/>
              </w:rPr>
            </w:pPr>
            <w:r>
              <w:rPr>
                <w:rFonts w:ascii="Cambria Math" w:hAnsi="Cambria Math" w:eastAsia="黑体"/>
                <w:bCs/>
                <w:i/>
                <w:iCs/>
                <w:color w:val="auto"/>
                <w:szCs w:val="21"/>
              </w:rPr>
              <w:t xml:space="preserve">G </w:t>
            </w:r>
          </w:p>
        </w:tc>
        <w:tc>
          <w:tcPr>
            <w:tcW w:w="5851" w:type="dxa"/>
          </w:tcPr>
          <w:p w14:paraId="284BC0D0">
            <w:pPr>
              <w:keepNext/>
              <w:spacing w:line="312" w:lineRule="auto"/>
              <w:jc w:val="left"/>
              <w:rPr>
                <w:rFonts w:ascii="Cambria Math" w:hAnsi="Cambria Math" w:eastAsia="黑体"/>
                <w:bCs/>
                <w:color w:val="auto"/>
                <w:szCs w:val="21"/>
              </w:rPr>
            </w:pPr>
            <w:r>
              <w:rPr>
                <w:rFonts w:eastAsia="黑体"/>
                <w:bCs/>
                <w:color w:val="auto"/>
                <w:szCs w:val="21"/>
              </w:rPr>
              <w:t>——</w:t>
            </w:r>
            <w:r>
              <w:rPr>
                <w:rFonts w:hint="eastAsia" w:ascii="宋体" w:hAnsi="宋体"/>
                <w:bCs/>
                <w:color w:val="auto"/>
                <w:szCs w:val="21"/>
              </w:rPr>
              <w:t>模块单元的重力荷载标准值；</w:t>
            </w:r>
          </w:p>
        </w:tc>
      </w:tr>
      <w:tr w14:paraId="3361F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334" w:hRule="atLeast"/>
        </w:trPr>
        <w:tc>
          <w:tcPr>
            <w:tcW w:w="834" w:type="dxa"/>
          </w:tcPr>
          <w:p w14:paraId="2D2540C5">
            <w:pPr>
              <w:keepNext/>
              <w:wordWrap w:val="0"/>
              <w:spacing w:line="312" w:lineRule="auto"/>
              <w:jc w:val="right"/>
              <w:rPr>
                <w:rFonts w:ascii="Cambria Math" w:hAnsi="Cambria Math" w:eastAsia="黑体"/>
                <w:bCs/>
                <w:color w:val="auto"/>
                <w:szCs w:val="21"/>
              </w:rPr>
            </w:pPr>
            <w:r>
              <w:rPr>
                <w:rFonts w:ascii="Cambria Math" w:hAnsi="Cambria Math" w:eastAsia="黑体"/>
                <w:bCs/>
                <w:i/>
                <w:iCs/>
                <w:color w:val="auto"/>
                <w:szCs w:val="21"/>
              </w:rPr>
              <w:t xml:space="preserve">W </w:t>
            </w:r>
          </w:p>
        </w:tc>
        <w:tc>
          <w:tcPr>
            <w:tcW w:w="5851" w:type="dxa"/>
          </w:tcPr>
          <w:p w14:paraId="10C93F61">
            <w:pPr>
              <w:keepNext/>
              <w:spacing w:line="312" w:lineRule="auto"/>
              <w:jc w:val="left"/>
              <w:rPr>
                <w:rFonts w:ascii="Cambria Math" w:hAnsi="Cambria Math" w:eastAsia="黑体"/>
                <w:bCs/>
                <w:color w:val="auto"/>
                <w:szCs w:val="21"/>
              </w:rPr>
            </w:pPr>
            <w:r>
              <w:rPr>
                <w:rFonts w:eastAsia="黑体"/>
                <w:bCs/>
                <w:color w:val="auto"/>
                <w:szCs w:val="21"/>
              </w:rPr>
              <w:t>——</w:t>
            </w:r>
            <w:r>
              <w:rPr>
                <w:rFonts w:hint="eastAsia" w:ascii="宋体" w:hAnsi="宋体"/>
                <w:bCs/>
                <w:color w:val="auto"/>
                <w:szCs w:val="21"/>
              </w:rPr>
              <w:t>模块单元的墙面所受风荷载标准值；</w:t>
            </w:r>
          </w:p>
        </w:tc>
      </w:tr>
      <w:tr w14:paraId="5BD12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326" w:hRule="atLeast"/>
        </w:trPr>
        <w:tc>
          <w:tcPr>
            <w:tcW w:w="834" w:type="dxa"/>
          </w:tcPr>
          <w:p w14:paraId="16A9D1FD">
            <w:pPr>
              <w:keepNext/>
              <w:wordWrap w:val="0"/>
              <w:spacing w:line="312" w:lineRule="auto"/>
              <w:jc w:val="right"/>
              <w:rPr>
                <w:rFonts w:ascii="Cambria Math" w:hAnsi="Cambria Math" w:eastAsia="黑体"/>
                <w:bCs/>
                <w:color w:val="auto"/>
                <w:szCs w:val="21"/>
              </w:rPr>
            </w:pPr>
            <w:r>
              <w:rPr>
                <w:rFonts w:ascii="Cambria Math" w:hAnsi="Cambria Math" w:eastAsia="黑体"/>
                <w:bCs/>
                <w:i/>
                <w:iCs/>
                <w:color w:val="auto"/>
                <w:szCs w:val="21"/>
              </w:rPr>
              <w:t>F</w:t>
            </w:r>
            <w:r>
              <w:rPr>
                <w:rFonts w:ascii="Cambria Math" w:hAnsi="Cambria Math" w:eastAsia="黑体"/>
                <w:bCs/>
                <w:i/>
                <w:iCs/>
                <w:color w:val="auto"/>
                <w:szCs w:val="21"/>
                <w:vertAlign w:val="subscript"/>
              </w:rPr>
              <w:t xml:space="preserve">Ai </w:t>
            </w:r>
          </w:p>
        </w:tc>
        <w:tc>
          <w:tcPr>
            <w:tcW w:w="5851" w:type="dxa"/>
          </w:tcPr>
          <w:p w14:paraId="260DC1F6">
            <w:pPr>
              <w:keepNext/>
              <w:spacing w:line="312" w:lineRule="auto"/>
              <w:jc w:val="left"/>
              <w:rPr>
                <w:rFonts w:ascii="Cambria Math" w:hAnsi="Cambria Math" w:eastAsia="黑体"/>
                <w:bCs/>
                <w:color w:val="auto"/>
                <w:szCs w:val="21"/>
              </w:rPr>
            </w:pPr>
            <w:r>
              <w:rPr>
                <w:rFonts w:eastAsia="黑体"/>
                <w:bCs/>
                <w:color w:val="auto"/>
                <w:szCs w:val="21"/>
              </w:rPr>
              <w:t>——</w:t>
            </w:r>
            <w:r>
              <w:rPr>
                <w:rFonts w:hint="eastAsia" w:ascii="宋体" w:hAnsi="宋体"/>
                <w:bCs/>
                <w:color w:val="auto"/>
                <w:szCs w:val="21"/>
              </w:rPr>
              <w:t>吊点</w:t>
            </w:r>
            <w:r>
              <w:rPr>
                <w:rFonts w:ascii="Cambria Math" w:hAnsi="Cambria Math" w:eastAsia="黑体"/>
                <w:bCs/>
                <w:i/>
                <w:iCs/>
                <w:color w:val="auto"/>
                <w:szCs w:val="21"/>
              </w:rPr>
              <w:t>A</w:t>
            </w:r>
            <w:r>
              <w:rPr>
                <w:rFonts w:ascii="Cambria Math" w:hAnsi="Cambria Math" w:eastAsia="黑体"/>
                <w:bCs/>
                <w:i/>
                <w:iCs/>
                <w:color w:val="auto"/>
                <w:szCs w:val="21"/>
                <w:vertAlign w:val="subscript"/>
              </w:rPr>
              <w:t>i</w:t>
            </w:r>
            <w:r>
              <w:rPr>
                <w:rFonts w:hint="eastAsia" w:ascii="宋体" w:hAnsi="宋体"/>
                <w:bCs/>
                <w:color w:val="auto"/>
                <w:szCs w:val="21"/>
              </w:rPr>
              <w:t>的吊点力；</w:t>
            </w:r>
          </w:p>
        </w:tc>
      </w:tr>
      <w:tr w14:paraId="77957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334" w:hRule="atLeast"/>
        </w:trPr>
        <w:tc>
          <w:tcPr>
            <w:tcW w:w="834" w:type="dxa"/>
          </w:tcPr>
          <w:p w14:paraId="3A90FF71">
            <w:pPr>
              <w:keepNext/>
              <w:wordWrap w:val="0"/>
              <w:spacing w:line="312" w:lineRule="auto"/>
              <w:jc w:val="right"/>
              <w:rPr>
                <w:rFonts w:ascii="Cambria Math" w:hAnsi="Cambria Math" w:eastAsia="黑体"/>
                <w:bCs/>
                <w:i/>
                <w:iCs/>
                <w:color w:val="auto"/>
                <w:szCs w:val="21"/>
              </w:rPr>
            </w:pPr>
            <w:r>
              <w:rPr>
                <w:rFonts w:ascii="Cambria Math" w:hAnsi="Cambria Math" w:eastAsia="黑体"/>
                <w:bCs/>
                <w:i/>
                <w:iCs/>
                <w:color w:val="auto"/>
                <w:szCs w:val="21"/>
              </w:rPr>
              <w:t>M</w:t>
            </w:r>
            <w:r>
              <w:rPr>
                <w:rFonts w:ascii="Cambria Math" w:hAnsi="Cambria Math" w:eastAsia="黑体"/>
                <w:bCs/>
                <w:i/>
                <w:iCs/>
                <w:color w:val="auto"/>
                <w:szCs w:val="21"/>
                <w:vertAlign w:val="subscript"/>
              </w:rPr>
              <w:t xml:space="preserve">g </w:t>
            </w:r>
          </w:p>
        </w:tc>
        <w:tc>
          <w:tcPr>
            <w:tcW w:w="5851" w:type="dxa"/>
          </w:tcPr>
          <w:p w14:paraId="3BA124B1">
            <w:pPr>
              <w:keepNext/>
              <w:spacing w:line="312" w:lineRule="auto"/>
              <w:jc w:val="left"/>
              <w:rPr>
                <w:rFonts w:eastAsia="黑体"/>
                <w:bCs/>
                <w:color w:val="auto"/>
                <w:szCs w:val="21"/>
              </w:rPr>
            </w:pPr>
            <w:r>
              <w:rPr>
                <w:rFonts w:eastAsia="黑体"/>
                <w:bCs/>
                <w:color w:val="auto"/>
                <w:szCs w:val="21"/>
              </w:rPr>
              <w:t>——</w:t>
            </w:r>
            <w:r>
              <w:rPr>
                <w:color w:val="auto"/>
              </w:rPr>
              <w:t>模块</w:t>
            </w:r>
            <w:r>
              <w:rPr>
                <w:rFonts w:hint="eastAsia"/>
                <w:color w:val="auto"/>
              </w:rPr>
              <w:t>单元</w:t>
            </w:r>
            <w:r>
              <w:rPr>
                <w:color w:val="auto"/>
              </w:rPr>
              <w:t>自重</w:t>
            </w:r>
            <w:r>
              <w:rPr>
                <w:rFonts w:hint="eastAsia"/>
                <w:color w:val="auto"/>
              </w:rPr>
              <w:t>标准值</w:t>
            </w:r>
            <w:r>
              <w:rPr>
                <w:color w:val="auto"/>
              </w:rPr>
              <w:t>下的抗倾覆力矩</w:t>
            </w:r>
            <w:r>
              <w:rPr>
                <w:rFonts w:hint="eastAsia" w:ascii="宋体" w:hAnsi="宋体"/>
                <w:bCs/>
                <w:color w:val="auto"/>
                <w:szCs w:val="21"/>
              </w:rPr>
              <w:t>；</w:t>
            </w:r>
          </w:p>
        </w:tc>
      </w:tr>
      <w:tr w14:paraId="2653F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90" w:hRule="atLeast"/>
        </w:trPr>
        <w:tc>
          <w:tcPr>
            <w:tcW w:w="834" w:type="dxa"/>
          </w:tcPr>
          <w:p w14:paraId="28FE36D8">
            <w:pPr>
              <w:keepNext/>
              <w:wordWrap w:val="0"/>
              <w:spacing w:line="312" w:lineRule="auto"/>
              <w:jc w:val="right"/>
              <w:rPr>
                <w:rFonts w:ascii="Cambria Math" w:hAnsi="Cambria Math" w:eastAsia="黑体"/>
                <w:bCs/>
                <w:i/>
                <w:iCs/>
                <w:color w:val="auto"/>
                <w:szCs w:val="21"/>
              </w:rPr>
            </w:pPr>
            <w:r>
              <w:rPr>
                <w:rFonts w:ascii="Cambria Math" w:hAnsi="Cambria Math" w:eastAsia="黑体"/>
                <w:bCs/>
                <w:i/>
                <w:iCs/>
                <w:color w:val="auto"/>
                <w:szCs w:val="21"/>
              </w:rPr>
              <w:t>M</w:t>
            </w:r>
            <w:r>
              <w:rPr>
                <w:rFonts w:ascii="Cambria Math" w:hAnsi="Cambria Math" w:eastAsia="黑体"/>
                <w:bCs/>
                <w:i/>
                <w:iCs/>
                <w:color w:val="auto"/>
                <w:szCs w:val="21"/>
                <w:vertAlign w:val="subscript"/>
              </w:rPr>
              <w:t xml:space="preserve">w </w:t>
            </w:r>
          </w:p>
        </w:tc>
        <w:tc>
          <w:tcPr>
            <w:tcW w:w="5851" w:type="dxa"/>
          </w:tcPr>
          <w:p w14:paraId="7669CEDE">
            <w:pPr>
              <w:keepNext/>
              <w:spacing w:line="312" w:lineRule="auto"/>
              <w:jc w:val="left"/>
              <w:rPr>
                <w:rFonts w:eastAsia="黑体"/>
                <w:bCs/>
                <w:color w:val="auto"/>
                <w:szCs w:val="21"/>
              </w:rPr>
            </w:pPr>
            <w:r>
              <w:rPr>
                <w:rFonts w:eastAsia="黑体"/>
                <w:bCs/>
                <w:color w:val="auto"/>
                <w:szCs w:val="21"/>
              </w:rPr>
              <w:t>——</w:t>
            </w:r>
            <w:r>
              <w:rPr>
                <w:rFonts w:hint="eastAsia" w:ascii="宋体" w:hAnsi="宋体"/>
                <w:bCs/>
                <w:color w:val="auto"/>
                <w:szCs w:val="21"/>
              </w:rPr>
              <w:t>风荷载标准值作用下的倾覆力矩；</w:t>
            </w:r>
          </w:p>
        </w:tc>
      </w:tr>
      <w:tr w14:paraId="76892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0" w:type="dxa"/>
          </w:tblCellMar>
        </w:tblPrEx>
        <w:trPr>
          <w:trHeight w:val="326" w:hRule="atLeast"/>
        </w:trPr>
        <w:tc>
          <w:tcPr>
            <w:tcW w:w="834" w:type="dxa"/>
          </w:tcPr>
          <w:p w14:paraId="64692537">
            <w:pPr>
              <w:keepNext/>
              <w:wordWrap w:val="0"/>
              <w:spacing w:line="312" w:lineRule="auto"/>
              <w:jc w:val="right"/>
              <w:rPr>
                <w:rFonts w:ascii="Cambria Math" w:hAnsi="Cambria Math" w:eastAsia="黑体"/>
                <w:bCs/>
                <w:i/>
                <w:iCs/>
                <w:color w:val="auto"/>
                <w:szCs w:val="21"/>
              </w:rPr>
            </w:pPr>
            <w:r>
              <w:rPr>
                <w:rFonts w:ascii="Cambria Math" w:hAnsi="Cambria Math" w:eastAsia="黑体"/>
                <w:bCs/>
                <w:i/>
                <w:iCs/>
                <w:color w:val="auto"/>
                <w:szCs w:val="21"/>
              </w:rPr>
              <w:t>N</w:t>
            </w:r>
            <w:r>
              <w:rPr>
                <w:rFonts w:ascii="Cambria Math" w:hAnsi="Cambria Math" w:eastAsia="黑体"/>
                <w:bCs/>
                <w:i/>
                <w:iCs/>
                <w:color w:val="auto"/>
                <w:szCs w:val="21"/>
                <w:vertAlign w:val="subscript"/>
              </w:rPr>
              <w:t xml:space="preserve">w </w:t>
            </w:r>
          </w:p>
        </w:tc>
        <w:tc>
          <w:tcPr>
            <w:tcW w:w="5851" w:type="dxa"/>
          </w:tcPr>
          <w:p w14:paraId="1BCAA9B4">
            <w:pPr>
              <w:keepNext/>
              <w:spacing w:line="312" w:lineRule="auto"/>
              <w:jc w:val="left"/>
              <w:rPr>
                <w:rFonts w:eastAsia="黑体"/>
                <w:bCs/>
                <w:color w:val="auto"/>
                <w:szCs w:val="21"/>
              </w:rPr>
            </w:pPr>
            <w:r>
              <w:rPr>
                <w:rFonts w:eastAsia="黑体"/>
                <w:bCs/>
                <w:color w:val="auto"/>
                <w:szCs w:val="21"/>
              </w:rPr>
              <w:t>——</w:t>
            </w:r>
            <w:r>
              <w:rPr>
                <w:rFonts w:hint="eastAsia" w:ascii="宋体" w:hAnsi="宋体"/>
                <w:bCs/>
                <w:color w:val="auto"/>
                <w:szCs w:val="21"/>
              </w:rPr>
              <w:t>风荷载标准值作用下的水平力。</w:t>
            </w:r>
          </w:p>
        </w:tc>
      </w:tr>
    </w:tbl>
    <w:p w14:paraId="03A04AA7">
      <w:pPr>
        <w:keepNext/>
        <w:keepLines/>
        <w:jc w:val="center"/>
        <w:outlineLvl w:val="0"/>
        <w:rPr>
          <w:rStyle w:val="24"/>
          <w:rFonts w:cs="Times New Roman"/>
          <w:color w:val="auto"/>
          <w:sz w:val="28"/>
          <w:szCs w:val="28"/>
        </w:rPr>
        <w:sectPr>
          <w:pgSz w:w="11906" w:h="16838"/>
          <w:pgMar w:top="1440" w:right="1800" w:bottom="1440" w:left="1800" w:header="851" w:footer="992" w:gutter="0"/>
          <w:cols w:space="425" w:num="1"/>
          <w:docGrid w:type="lines" w:linePitch="312" w:charSpace="0"/>
        </w:sectPr>
      </w:pPr>
      <w:bookmarkStart w:id="50" w:name="_Toc110958467"/>
      <w:bookmarkStart w:id="51" w:name="_Toc93999725"/>
      <w:bookmarkStart w:id="52" w:name="_Toc93998964"/>
      <w:bookmarkStart w:id="53" w:name="_Toc110952699"/>
    </w:p>
    <w:p w14:paraId="5BEB7114">
      <w:pPr>
        <w:pStyle w:val="2"/>
        <w:rPr>
          <w:color w:val="auto"/>
        </w:rPr>
      </w:pPr>
      <w:bookmarkStart w:id="54" w:name="_Toc483"/>
      <w:bookmarkStart w:id="55" w:name="_Toc22397"/>
      <w:bookmarkStart w:id="56" w:name="_Toc22216"/>
      <w:bookmarkStart w:id="57" w:name="_Toc14427"/>
      <w:bookmarkStart w:id="58" w:name="_Toc31761"/>
      <w:bookmarkStart w:id="59" w:name="_Toc19392"/>
      <w:bookmarkStart w:id="60" w:name="_Toc5608"/>
      <w:bookmarkStart w:id="61" w:name="_Toc10227"/>
      <w:bookmarkStart w:id="62" w:name="_Toc4912"/>
      <w:r>
        <w:rPr>
          <w:b/>
          <w:bCs/>
          <w:color w:val="auto"/>
        </w:rPr>
        <w:t>3</w:t>
      </w:r>
      <w:r>
        <w:rPr>
          <w:rFonts w:hint="eastAsia"/>
          <w:color w:val="auto"/>
        </w:rPr>
        <w:t xml:space="preserve">  </w:t>
      </w:r>
      <w:r>
        <w:rPr>
          <w:rFonts w:hint="eastAsia"/>
          <w:bCs/>
          <w:color w:val="auto"/>
        </w:rPr>
        <w:t>基本规定</w:t>
      </w:r>
      <w:bookmarkEnd w:id="50"/>
      <w:bookmarkEnd w:id="51"/>
      <w:bookmarkEnd w:id="52"/>
      <w:bookmarkEnd w:id="53"/>
      <w:bookmarkEnd w:id="54"/>
      <w:bookmarkEnd w:id="55"/>
      <w:bookmarkEnd w:id="56"/>
      <w:bookmarkEnd w:id="57"/>
      <w:bookmarkEnd w:id="58"/>
      <w:bookmarkEnd w:id="59"/>
      <w:bookmarkEnd w:id="60"/>
      <w:bookmarkEnd w:id="61"/>
      <w:bookmarkEnd w:id="62"/>
    </w:p>
    <w:p w14:paraId="54753630">
      <w:pPr>
        <w:numPr>
          <w:ilvl w:val="0"/>
          <w:numId w:val="4"/>
        </w:numPr>
        <w:spacing w:line="312" w:lineRule="auto"/>
        <w:rPr>
          <w:color w:val="auto"/>
        </w:rPr>
      </w:pPr>
      <w:r>
        <w:rPr>
          <w:color w:val="auto"/>
        </w:rPr>
        <w:t>模块化建筑应按照</w:t>
      </w:r>
      <w:r>
        <w:rPr>
          <w:rFonts w:hint="eastAsia"/>
          <w:color w:val="auto"/>
        </w:rPr>
        <w:t>全寿命期可持续发展</w:t>
      </w:r>
      <w:r>
        <w:rPr>
          <w:color w:val="auto"/>
        </w:rPr>
        <w:t>的原则，</w:t>
      </w:r>
      <w:r>
        <w:rPr>
          <w:rFonts w:hint="eastAsia"/>
          <w:color w:val="auto"/>
        </w:rPr>
        <w:t>采用系统集成的方法实现</w:t>
      </w:r>
      <w:r>
        <w:rPr>
          <w:color w:val="auto"/>
        </w:rPr>
        <w:t>标准化设计、工厂化生产、装配化施工、一体化装修、信息化管理和智能化应用。</w:t>
      </w:r>
    </w:p>
    <w:p w14:paraId="26E4ABBF">
      <w:pPr>
        <w:tabs>
          <w:tab w:val="left" w:pos="6720"/>
        </w:tabs>
        <w:spacing w:line="312" w:lineRule="auto"/>
        <w:ind w:firstLine="420" w:firstLineChars="200"/>
        <w:rPr>
          <w:rFonts w:eastAsia="楷体"/>
          <w:color w:val="auto"/>
          <w:szCs w:val="21"/>
        </w:rPr>
      </w:pPr>
      <w:r>
        <w:rPr>
          <w:rFonts w:hint="eastAsia" w:eastAsia="楷体"/>
          <w:color w:val="auto"/>
          <w:szCs w:val="21"/>
        </w:rPr>
        <w:t>【条文说明】模块化建筑的最大的特点，是它由若干个模块单元所组成，必要时，模块单元中还可以配置若干个功能单元。模块化建筑是一个系统工程，系统性和集成性是它的基本特征，通过系统集成的方法，实现设计、采购、生产、运输、施工安装和运营维护全过程的一体化。</w:t>
      </w:r>
    </w:p>
    <w:p w14:paraId="34415BA6">
      <w:pPr>
        <w:tabs>
          <w:tab w:val="left" w:pos="6720"/>
        </w:tabs>
        <w:spacing w:line="312" w:lineRule="auto"/>
        <w:ind w:firstLine="420" w:firstLineChars="200"/>
        <w:rPr>
          <w:rFonts w:eastAsia="楷体"/>
          <w:color w:val="auto"/>
          <w:szCs w:val="21"/>
        </w:rPr>
      </w:pPr>
      <w:r>
        <w:rPr>
          <w:rFonts w:hint="eastAsia" w:eastAsia="楷体"/>
          <w:color w:val="auto"/>
          <w:szCs w:val="21"/>
        </w:rPr>
        <w:t>模块化建筑区别于传统建筑，将大量的现场作业转移到工厂中完成，同时，模块单元在工厂生产时集成了设备管线与内装，不仅需要各专业的协同设计，更需要不同单位间的紧密配合，因此建议采用EPC总承包模式，便于项目实施。</w:t>
      </w:r>
    </w:p>
    <w:p w14:paraId="78B6C9B1">
      <w:pPr>
        <w:numPr>
          <w:ilvl w:val="0"/>
          <w:numId w:val="4"/>
        </w:numPr>
        <w:spacing w:line="312" w:lineRule="auto"/>
        <w:rPr>
          <w:color w:val="auto"/>
        </w:rPr>
      </w:pPr>
      <w:r>
        <w:rPr>
          <w:rFonts w:hint="eastAsia"/>
          <w:color w:val="auto"/>
        </w:rPr>
        <w:t>模块化建筑应采用面向制造和装配的设计方法，统筹设计、生产、运输、施工安装等各个环节，实现建筑设计的全过程协同工作。</w:t>
      </w:r>
    </w:p>
    <w:p w14:paraId="099D53D8">
      <w:pPr>
        <w:tabs>
          <w:tab w:val="left" w:pos="6720"/>
        </w:tabs>
        <w:spacing w:line="312" w:lineRule="auto"/>
        <w:ind w:firstLine="420" w:firstLineChars="200"/>
        <w:rPr>
          <w:rFonts w:eastAsia="楷体"/>
          <w:color w:val="auto"/>
          <w:szCs w:val="21"/>
        </w:rPr>
      </w:pPr>
      <w:r>
        <w:rPr>
          <w:rFonts w:hint="eastAsia" w:eastAsia="楷体"/>
          <w:color w:val="auto"/>
          <w:szCs w:val="21"/>
        </w:rPr>
        <w:t>【条文说明】面向制造和装配的设计（Design for Manufacture and Assembly，以下简称DfMA）是在考虑产品功能、外观和可靠性等前提下，通过提高产品的可制造性和可装配性，降低成本、缩短工期和提高质量的产品设计方法。DfMA能够打通设计、制造和组装各阶段，有效支持“建造+制造”的最优集成。模块化建筑的设计是工厂化生产、装配化施工建造的前提，应把一体化设计贯穿到工程设计全过程中，在整个建造过程中，实现全产业链上的各行业、各专业之间全过程的紧密合作；在设计的同时考虑工厂生产和现场装配的可实现性，对模块单元进行优化，从而提高模块化建筑的建造效率及质量，降低整体生产安装成本。</w:t>
      </w:r>
    </w:p>
    <w:p w14:paraId="5126D692">
      <w:pPr>
        <w:numPr>
          <w:ilvl w:val="0"/>
          <w:numId w:val="4"/>
        </w:numPr>
        <w:spacing w:line="312" w:lineRule="auto"/>
        <w:rPr>
          <w:color w:val="auto"/>
        </w:rPr>
      </w:pPr>
      <w:r>
        <w:rPr>
          <w:rFonts w:hint="eastAsia"/>
          <w:color w:val="auto"/>
        </w:rPr>
        <w:t>模块单元的设计应综合协调建筑、结构、设备和内装等专业，确保模块化建筑设计的系统性和完整性。</w:t>
      </w:r>
    </w:p>
    <w:p w14:paraId="3D8A8C7B">
      <w:pPr>
        <w:tabs>
          <w:tab w:val="left" w:pos="6720"/>
        </w:tabs>
        <w:spacing w:line="312" w:lineRule="auto"/>
        <w:ind w:firstLine="420" w:firstLineChars="200"/>
        <w:rPr>
          <w:rFonts w:eastAsia="楷体"/>
          <w:color w:val="auto"/>
          <w:szCs w:val="21"/>
        </w:rPr>
      </w:pPr>
      <w:r>
        <w:rPr>
          <w:rFonts w:hint="eastAsia" w:ascii="楷体" w:hAnsi="楷体" w:eastAsia="楷体" w:cs="楷体"/>
          <w:color w:val="auto"/>
          <w:szCs w:val="21"/>
        </w:rPr>
        <w:t>【条文说明】</w:t>
      </w:r>
      <w:r>
        <w:rPr>
          <w:rFonts w:hint="eastAsia" w:eastAsia="楷体"/>
          <w:color w:val="auto"/>
          <w:szCs w:val="21"/>
        </w:rPr>
        <w:t>模块化建筑是由结构系统、外围护系统、设备管线系统和内装系统等系统组成，是将预制部品部件通过模数协调，并以模块单元为单位在工厂进行制作安装，运送到现场后进行拼接组装，因此内装体系、设备管线的设计等均应前置，进行精细化的多专业管线综合设计。</w:t>
      </w:r>
    </w:p>
    <w:p w14:paraId="2A382368">
      <w:pPr>
        <w:numPr>
          <w:ilvl w:val="0"/>
          <w:numId w:val="4"/>
        </w:numPr>
        <w:spacing w:line="312" w:lineRule="auto"/>
        <w:rPr>
          <w:color w:val="auto"/>
        </w:rPr>
      </w:pPr>
      <w:r>
        <w:rPr>
          <w:rFonts w:hint="eastAsia"/>
          <w:color w:val="auto"/>
        </w:rPr>
        <w:t>模块化建筑设计应在满足功能要求的基础上遵循模数协调和少规格、多组合的原则，实现模块单元的模数化、系列化和通用化。</w:t>
      </w:r>
    </w:p>
    <w:p w14:paraId="761F3C40">
      <w:pPr>
        <w:tabs>
          <w:tab w:val="left" w:pos="6720"/>
        </w:tabs>
        <w:spacing w:line="312" w:lineRule="auto"/>
        <w:ind w:firstLine="420" w:firstLineChars="200"/>
        <w:rPr>
          <w:rFonts w:eastAsia="楷体"/>
          <w:color w:val="auto"/>
          <w:szCs w:val="21"/>
        </w:rPr>
      </w:pPr>
      <w:r>
        <w:rPr>
          <w:rFonts w:hint="eastAsia" w:ascii="楷体" w:hAnsi="楷体" w:eastAsia="楷体" w:cs="楷体"/>
          <w:color w:val="auto"/>
          <w:szCs w:val="21"/>
        </w:rPr>
        <w:t>【条文说明】</w:t>
      </w:r>
      <w:r>
        <w:rPr>
          <w:rFonts w:hint="eastAsia" w:eastAsia="楷体"/>
          <w:color w:val="auto"/>
          <w:szCs w:val="21"/>
        </w:rPr>
        <w:t>模块化的建筑设计，应进行模数协调，以满足建造装配化与部品部件标准化、通用化的要求。标准化设计是实施模块化建造的有效手段，没有标准化就不可能实现结构系统、外围护系统、设备与管线系统以及内装系统的一体化集成。模数和模数协调是实现模块化建筑标准化设计的重要基础，有利于减少部品部件的规格种类，提高部品部件的重复使用率，有利于提高建造速度和工人的劳动效率，从而降低造价。宜通过新材料、新工艺的使用，满足建筑外立面的美观要求，实现标准化和多样化辩证的统一。</w:t>
      </w:r>
    </w:p>
    <w:p w14:paraId="0F68F94A">
      <w:pPr>
        <w:numPr>
          <w:ilvl w:val="0"/>
          <w:numId w:val="4"/>
        </w:numPr>
        <w:spacing w:line="312" w:lineRule="auto"/>
        <w:rPr>
          <w:color w:val="auto"/>
        </w:rPr>
      </w:pPr>
      <w:r>
        <w:rPr>
          <w:rFonts w:hint="eastAsia"/>
          <w:color w:val="auto"/>
        </w:rPr>
        <w:t>模块化建筑的接口应构造合理、安全可靠，实现标准化、通用化。</w:t>
      </w:r>
    </w:p>
    <w:p w14:paraId="717865EF">
      <w:pPr>
        <w:tabs>
          <w:tab w:val="left" w:pos="0"/>
        </w:tabs>
        <w:spacing w:line="312" w:lineRule="auto"/>
        <w:ind w:firstLine="420" w:firstLineChars="200"/>
        <w:rPr>
          <w:rFonts w:ascii="楷体" w:hAnsi="楷体" w:eastAsia="楷体" w:cs="楷体"/>
          <w:color w:val="auto"/>
        </w:rPr>
      </w:pPr>
      <w:r>
        <w:rPr>
          <w:rFonts w:hint="eastAsia" w:ascii="楷体" w:hAnsi="楷体" w:eastAsia="楷体" w:cs="楷体"/>
          <w:color w:val="auto"/>
          <w:szCs w:val="21"/>
        </w:rPr>
        <w:t>【条文说明】</w:t>
      </w:r>
      <w:r>
        <w:rPr>
          <w:rFonts w:hint="eastAsia" w:ascii="楷体" w:hAnsi="楷体" w:eastAsia="楷体" w:cs="楷体"/>
          <w:color w:val="auto"/>
        </w:rPr>
        <w:t>模块化建筑的设计采用标准化的模块单元和节点，以减小模块单元的尺寸和种类，模块化建筑应注重模块单元之间的连接节点的选型和设计，保证连接接口的标准化、通用化。</w:t>
      </w:r>
    </w:p>
    <w:p w14:paraId="1617C280">
      <w:pPr>
        <w:numPr>
          <w:ilvl w:val="0"/>
          <w:numId w:val="4"/>
        </w:numPr>
        <w:spacing w:line="312" w:lineRule="auto"/>
        <w:rPr>
          <w:color w:val="auto"/>
        </w:rPr>
      </w:pPr>
      <w:r>
        <w:rPr>
          <w:rFonts w:hint="eastAsia"/>
          <w:color w:val="auto"/>
        </w:rPr>
        <w:t>模块化建筑公差系统包括制作公差和安装公差，并应根据模数协调的原理及模块单元的安装部位、加工制作及施工精度等要求确定。</w:t>
      </w:r>
    </w:p>
    <w:p w14:paraId="117A27F5">
      <w:pPr>
        <w:tabs>
          <w:tab w:val="left" w:pos="0"/>
        </w:tabs>
        <w:spacing w:line="312" w:lineRule="auto"/>
        <w:ind w:firstLine="420" w:firstLineChars="200"/>
        <w:rPr>
          <w:rFonts w:ascii="楷体" w:hAnsi="楷体" w:eastAsia="楷体" w:cs="楷体"/>
          <w:color w:val="auto"/>
          <w:szCs w:val="21"/>
        </w:rPr>
      </w:pPr>
      <w:r>
        <w:rPr>
          <w:rFonts w:hint="eastAsia" w:ascii="楷体" w:hAnsi="楷体" w:eastAsia="楷体" w:cs="楷体"/>
          <w:color w:val="auto"/>
          <w:szCs w:val="21"/>
        </w:rPr>
        <w:t>【条文说明】与传统的建筑方法相比，模块化建筑有更多的连接接口。规定公差是为了建立模块单元之间，以及模块单元与各个功能系统之间的尺寸协调关系，以保证各种模块单元和各功能系统在施工现场能准确地装配在一起，安装接缝、放线定位中的偏差控制在允许的范围内，使接口的功能、质量和美观均达到设计预期的要求。</w:t>
      </w:r>
    </w:p>
    <w:p w14:paraId="698D990C">
      <w:pPr>
        <w:numPr>
          <w:ilvl w:val="0"/>
          <w:numId w:val="4"/>
        </w:numPr>
        <w:spacing w:line="312" w:lineRule="auto"/>
        <w:rPr>
          <w:color w:val="auto"/>
        </w:rPr>
      </w:pPr>
      <w:r>
        <w:rPr>
          <w:rFonts w:hint="eastAsia"/>
          <w:color w:val="auto"/>
        </w:rPr>
        <w:t>模块化建筑使用的结构材料、连接材料、机电管线和装饰装修等材料，以及模块单元施工安装、质量验收应符合现行相关标准的要求。</w:t>
      </w:r>
    </w:p>
    <w:p w14:paraId="6C9C3C09">
      <w:pPr>
        <w:numPr>
          <w:ilvl w:val="0"/>
          <w:numId w:val="4"/>
        </w:numPr>
        <w:spacing w:line="312" w:lineRule="auto"/>
        <w:rPr>
          <w:strike/>
          <w:color w:val="auto"/>
        </w:rPr>
        <w:sectPr>
          <w:pgSz w:w="11906" w:h="16838"/>
          <w:pgMar w:top="1440" w:right="1800" w:bottom="1440" w:left="1800" w:header="851" w:footer="992" w:gutter="0"/>
          <w:cols w:space="425" w:num="1"/>
          <w:docGrid w:type="lines" w:linePitch="312" w:charSpace="0"/>
        </w:sectPr>
      </w:pPr>
    </w:p>
    <w:p w14:paraId="1FE1B828">
      <w:pPr>
        <w:pStyle w:val="2"/>
        <w:rPr>
          <w:color w:val="auto"/>
        </w:rPr>
      </w:pPr>
      <w:bookmarkStart w:id="63" w:name="_Toc29965"/>
      <w:bookmarkStart w:id="64" w:name="_Toc910"/>
      <w:bookmarkStart w:id="65" w:name="_Toc14934"/>
      <w:bookmarkStart w:id="66" w:name="_Toc5253"/>
      <w:bookmarkStart w:id="67" w:name="_Toc28197"/>
      <w:bookmarkStart w:id="68" w:name="_Toc25946"/>
      <w:bookmarkStart w:id="69" w:name="_Toc4400"/>
      <w:bookmarkStart w:id="70" w:name="_Toc31731"/>
      <w:bookmarkStart w:id="71" w:name="_Toc8108"/>
      <w:r>
        <w:rPr>
          <w:b/>
          <w:bCs/>
          <w:color w:val="auto"/>
        </w:rPr>
        <w:t>4</w:t>
      </w:r>
      <w:r>
        <w:rPr>
          <w:rFonts w:hint="eastAsia"/>
          <w:color w:val="auto"/>
        </w:rPr>
        <w:t xml:space="preserve">  </w:t>
      </w:r>
      <w:r>
        <w:rPr>
          <w:rFonts w:hint="eastAsia"/>
          <w:bCs/>
          <w:color w:val="auto"/>
        </w:rPr>
        <w:t>材料</w:t>
      </w:r>
      <w:bookmarkEnd w:id="63"/>
      <w:bookmarkEnd w:id="64"/>
      <w:bookmarkEnd w:id="65"/>
      <w:bookmarkEnd w:id="66"/>
      <w:bookmarkEnd w:id="67"/>
      <w:bookmarkEnd w:id="68"/>
      <w:bookmarkEnd w:id="69"/>
      <w:bookmarkEnd w:id="70"/>
      <w:bookmarkEnd w:id="71"/>
    </w:p>
    <w:p w14:paraId="63336B39">
      <w:pPr>
        <w:pStyle w:val="3"/>
        <w:rPr>
          <w:color w:val="auto"/>
        </w:rPr>
      </w:pPr>
      <w:bookmarkStart w:id="72" w:name="_Toc5778"/>
      <w:bookmarkStart w:id="73" w:name="_Toc22583"/>
      <w:bookmarkStart w:id="74" w:name="_Toc13386"/>
      <w:bookmarkStart w:id="75" w:name="_Toc17900"/>
      <w:bookmarkStart w:id="76" w:name="_Toc6565"/>
      <w:bookmarkStart w:id="77" w:name="_Toc3168"/>
      <w:bookmarkStart w:id="78" w:name="_Toc25495"/>
      <w:bookmarkStart w:id="79" w:name="_Toc8437"/>
      <w:bookmarkStart w:id="80" w:name="_Toc25779"/>
      <w:r>
        <w:rPr>
          <w:b/>
          <w:bCs w:val="0"/>
          <w:color w:val="auto"/>
        </w:rPr>
        <w:t>4</w:t>
      </w:r>
      <w:r>
        <w:rPr>
          <w:rFonts w:hint="eastAsia"/>
          <w:b/>
          <w:bCs w:val="0"/>
          <w:color w:val="auto"/>
        </w:rPr>
        <w:t>.</w:t>
      </w:r>
      <w:r>
        <w:rPr>
          <w:b/>
          <w:bCs w:val="0"/>
          <w:color w:val="auto"/>
        </w:rPr>
        <w:t>1</w:t>
      </w:r>
      <w:r>
        <w:rPr>
          <w:rFonts w:hint="eastAsia"/>
          <w:color w:val="auto"/>
        </w:rPr>
        <w:t xml:space="preserve">  混凝土、钢筋和钢材</w:t>
      </w:r>
      <w:bookmarkEnd w:id="72"/>
      <w:bookmarkEnd w:id="73"/>
      <w:bookmarkEnd w:id="74"/>
      <w:bookmarkEnd w:id="75"/>
      <w:bookmarkEnd w:id="76"/>
      <w:bookmarkEnd w:id="77"/>
      <w:bookmarkEnd w:id="78"/>
      <w:bookmarkEnd w:id="79"/>
      <w:bookmarkEnd w:id="80"/>
    </w:p>
    <w:p w14:paraId="1211559C">
      <w:pPr>
        <w:numPr>
          <w:ilvl w:val="0"/>
          <w:numId w:val="5"/>
        </w:numPr>
        <w:spacing w:line="312" w:lineRule="auto"/>
        <w:rPr>
          <w:color w:val="auto"/>
        </w:rPr>
      </w:pPr>
      <w:r>
        <w:rPr>
          <w:rFonts w:hint="eastAsia"/>
          <w:color w:val="auto"/>
        </w:rPr>
        <w:t>模块化建筑采用的混凝土、钢筋和钢材的力学性能指标和耐久性要求等应符合现行国家标准《混凝土结构通用规范》G</w:t>
      </w:r>
      <w:r>
        <w:rPr>
          <w:color w:val="auto"/>
        </w:rPr>
        <w:t>B 55008</w:t>
      </w:r>
      <w:r>
        <w:rPr>
          <w:rFonts w:hint="eastAsia"/>
          <w:color w:val="auto"/>
        </w:rPr>
        <w:t>、《混凝土结构设计标准》G</w:t>
      </w:r>
      <w:r>
        <w:rPr>
          <w:color w:val="auto"/>
        </w:rPr>
        <w:t>B</w:t>
      </w:r>
      <w:r>
        <w:rPr>
          <w:rFonts w:hint="eastAsia"/>
          <w:color w:val="auto"/>
        </w:rPr>
        <w:t>/T</w:t>
      </w:r>
      <w:r>
        <w:rPr>
          <w:color w:val="auto"/>
        </w:rPr>
        <w:t xml:space="preserve"> 5</w:t>
      </w:r>
      <w:r>
        <w:rPr>
          <w:rFonts w:hint="eastAsia"/>
          <w:color w:val="auto"/>
        </w:rPr>
        <w:t>0010、《钢结构通用规范》</w:t>
      </w:r>
      <w:r>
        <w:rPr>
          <w:color w:val="auto"/>
        </w:rPr>
        <w:fldChar w:fldCharType="begin"/>
      </w:r>
      <w:r>
        <w:rPr>
          <w:color w:val="auto"/>
        </w:rPr>
        <w:instrText xml:space="preserve"> HYPERLINK "https://ebook.chinabuilding.com.cn/zbooklib/book/detail/show?SiteID=1&amp;bookID=105417" \t "https://ebook.chinabuilding.com.cn/zbooklib/_blank" </w:instrText>
      </w:r>
      <w:r>
        <w:rPr>
          <w:color w:val="auto"/>
        </w:rPr>
        <w:fldChar w:fldCharType="separate"/>
      </w:r>
      <w:r>
        <w:rPr>
          <w:rFonts w:hint="eastAsia"/>
          <w:color w:val="auto"/>
        </w:rPr>
        <w:t>GB 55</w:t>
      </w:r>
      <w:r>
        <w:rPr>
          <w:rFonts w:hint="eastAsia"/>
          <w:color w:val="auto"/>
        </w:rPr>
        <w:fldChar w:fldCharType="end"/>
      </w:r>
      <w:r>
        <w:rPr>
          <w:rFonts w:hint="eastAsia"/>
          <w:color w:val="auto"/>
        </w:rPr>
        <w:t>006和《钢结构设计标准》</w:t>
      </w:r>
      <w:r>
        <w:rPr>
          <w:color w:val="auto"/>
        </w:rPr>
        <w:fldChar w:fldCharType="begin"/>
      </w:r>
      <w:r>
        <w:rPr>
          <w:color w:val="auto"/>
        </w:rPr>
        <w:instrText xml:space="preserve"> HYPERLINK "https://ebook.chinabuilding.com.cn/zbooklib/book/detail/show?SiteID=1&amp;bookID=105417" \t "https://ebook.chinabuilding.com.cn/zbooklib/_blank" </w:instrText>
      </w:r>
      <w:r>
        <w:rPr>
          <w:color w:val="auto"/>
        </w:rPr>
        <w:fldChar w:fldCharType="separate"/>
      </w:r>
      <w:r>
        <w:rPr>
          <w:rFonts w:hint="eastAsia"/>
          <w:color w:val="auto"/>
          <w:shd w:val="clear" w:color="auto" w:fill="FFFFFF"/>
        </w:rPr>
        <w:t>GB</w:t>
      </w:r>
      <w:r>
        <w:rPr>
          <w:rFonts w:hint="eastAsia"/>
          <w:color w:val="auto"/>
        </w:rPr>
        <w:t xml:space="preserve"> </w:t>
      </w:r>
      <w:r>
        <w:rPr>
          <w:rFonts w:hint="eastAsia"/>
          <w:color w:val="auto"/>
          <w:shd w:val="clear" w:color="auto" w:fill="FFFFFF"/>
        </w:rPr>
        <w:t>50017</w:t>
      </w:r>
      <w:r>
        <w:rPr>
          <w:rFonts w:hint="eastAsia"/>
          <w:color w:val="auto"/>
          <w:shd w:val="clear" w:color="auto" w:fill="FFFFFF"/>
        </w:rPr>
        <w:fldChar w:fldCharType="end"/>
      </w:r>
      <w:r>
        <w:rPr>
          <w:rFonts w:hint="eastAsia"/>
          <w:color w:val="auto"/>
        </w:rPr>
        <w:t>等的规定。</w:t>
      </w:r>
    </w:p>
    <w:p w14:paraId="35955DD2">
      <w:pPr>
        <w:numPr>
          <w:ilvl w:val="0"/>
          <w:numId w:val="5"/>
        </w:numPr>
        <w:spacing w:line="312" w:lineRule="auto"/>
        <w:rPr>
          <w:color w:val="auto"/>
        </w:rPr>
      </w:pPr>
      <w:r>
        <w:rPr>
          <w:rFonts w:hint="eastAsia"/>
          <w:color w:val="auto"/>
        </w:rPr>
        <w:t>钢筋焊接网应符合现行行业标准《钢筋焊接网混凝土结构技术规程》JGJ 114的规定。</w:t>
      </w:r>
    </w:p>
    <w:p w14:paraId="6E8F3101">
      <w:pPr>
        <w:numPr>
          <w:ilvl w:val="0"/>
          <w:numId w:val="5"/>
        </w:numPr>
        <w:spacing w:line="312" w:lineRule="auto"/>
        <w:rPr>
          <w:color w:val="auto"/>
        </w:rPr>
      </w:pPr>
      <w:r>
        <w:rPr>
          <w:rFonts w:hint="eastAsia"/>
          <w:color w:val="auto"/>
        </w:rPr>
        <w:t>模块单元的吊环应采用未经冷加工的HPB300级钢筋或Q235B圆钢制作。吊装用内埋式螺母或吊杆的材料应符合国家现行相关标准的规定。</w:t>
      </w:r>
    </w:p>
    <w:p w14:paraId="4A3C59C4">
      <w:pPr>
        <w:numPr>
          <w:ilvl w:val="0"/>
          <w:numId w:val="5"/>
        </w:numPr>
        <w:spacing w:line="312" w:lineRule="auto"/>
        <w:rPr>
          <w:color w:val="auto"/>
        </w:rPr>
      </w:pPr>
      <w:r>
        <w:rPr>
          <w:rFonts w:hint="eastAsia"/>
          <w:color w:val="auto"/>
        </w:rPr>
        <w:t>清水混凝土应符合现行行业标准《清水混凝土应用技术规程》JGJ 169的规定。</w:t>
      </w:r>
    </w:p>
    <w:p w14:paraId="14F25669">
      <w:pPr>
        <w:numPr>
          <w:ilvl w:val="255"/>
          <w:numId w:val="0"/>
        </w:numPr>
        <w:spacing w:line="312" w:lineRule="auto"/>
        <w:ind w:firstLine="420" w:firstLineChars="200"/>
        <w:rPr>
          <w:rFonts w:ascii="楷体" w:hAnsi="楷体" w:eastAsia="楷体" w:cs="楷体"/>
          <w:color w:val="auto"/>
          <w:szCs w:val="21"/>
        </w:rPr>
      </w:pPr>
      <w:r>
        <w:rPr>
          <w:rFonts w:hint="eastAsia" w:ascii="楷体" w:hAnsi="楷体" w:eastAsia="楷体" w:cs="楷体"/>
          <w:color w:val="auto"/>
          <w:szCs w:val="21"/>
        </w:rPr>
        <w:t>【条文说明】当模块单元的隔墙作为外围护构件且饰面要求较高时，可采用清水混凝土，并应符合有关清水混凝土的标准。</w:t>
      </w:r>
    </w:p>
    <w:p w14:paraId="697EC4A1">
      <w:pPr>
        <w:numPr>
          <w:ilvl w:val="0"/>
          <w:numId w:val="5"/>
        </w:numPr>
        <w:spacing w:line="312" w:lineRule="auto"/>
        <w:rPr>
          <w:color w:val="auto"/>
        </w:rPr>
      </w:pPr>
      <w:r>
        <w:rPr>
          <w:rFonts w:hint="eastAsia"/>
          <w:color w:val="auto"/>
        </w:rPr>
        <w:t>轻骨料混凝土应符合行业、地方现行标准《轻骨料混凝土应用技术标准》JGJ/T 12、《广州市轻骨料混凝土技术规程》DBJ 44/T 115等规定。</w:t>
      </w:r>
    </w:p>
    <w:p w14:paraId="75FA5D2E">
      <w:pPr>
        <w:spacing w:line="312" w:lineRule="auto"/>
        <w:ind w:firstLine="420" w:firstLineChars="200"/>
        <w:rPr>
          <w:rFonts w:eastAsia="楷体"/>
          <w:color w:val="auto"/>
          <w:szCs w:val="21"/>
        </w:rPr>
      </w:pPr>
      <w:r>
        <w:rPr>
          <w:rFonts w:hint="eastAsia" w:ascii="楷体" w:hAnsi="楷体" w:eastAsia="楷体" w:cs="楷体"/>
          <w:color w:val="auto"/>
          <w:szCs w:val="21"/>
        </w:rPr>
        <w:t>【条文说明】</w:t>
      </w:r>
      <w:r>
        <w:rPr>
          <w:rFonts w:hint="eastAsia" w:eastAsia="楷体"/>
          <w:color w:val="auto"/>
          <w:szCs w:val="21"/>
        </w:rPr>
        <w:t>为使得模块单元尽量轻质，容易吊装，对于模块化结构中的非承重墙体，应尽量减轻其重量。另外为避免模块单元中非承重墙体过多参与结构受力，造成结构计算分析偏差过大，应尽量采用强度等级较低的轻骨料混凝土。</w:t>
      </w:r>
    </w:p>
    <w:p w14:paraId="7B31DDF2">
      <w:pPr>
        <w:numPr>
          <w:ilvl w:val="0"/>
          <w:numId w:val="5"/>
        </w:numPr>
        <w:spacing w:line="312" w:lineRule="auto"/>
        <w:rPr>
          <w:color w:val="auto"/>
        </w:rPr>
      </w:pPr>
      <w:r>
        <w:rPr>
          <w:rFonts w:hint="eastAsia"/>
          <w:color w:val="auto"/>
        </w:rPr>
        <w:t>模壳板宜</w:t>
      </w:r>
      <w:r>
        <w:rPr>
          <w:color w:val="auto"/>
        </w:rPr>
        <w:t>采用</w:t>
      </w:r>
      <w:r>
        <w:rPr>
          <w:rFonts w:hint="eastAsia"/>
          <w:color w:val="auto"/>
        </w:rPr>
        <w:t>高性能混凝土</w:t>
      </w:r>
      <w:r>
        <w:rPr>
          <w:color w:val="auto"/>
        </w:rPr>
        <w:t>制作</w:t>
      </w:r>
      <w:r>
        <w:rPr>
          <w:rFonts w:hint="eastAsia"/>
          <w:color w:val="auto"/>
        </w:rPr>
        <w:t>，</w:t>
      </w:r>
      <w:r>
        <w:rPr>
          <w:color w:val="auto"/>
        </w:rPr>
        <w:t>材料的技术指标应符合现行国家标准的规定，并应符合下列规定：</w:t>
      </w:r>
    </w:p>
    <w:p w14:paraId="63CE3349">
      <w:pPr>
        <w:spacing w:line="312" w:lineRule="auto"/>
        <w:ind w:firstLine="422" w:firstLineChars="200"/>
        <w:rPr>
          <w:color w:val="auto"/>
        </w:rPr>
      </w:pPr>
      <w:r>
        <w:rPr>
          <w:b/>
          <w:color w:val="auto"/>
        </w:rPr>
        <w:t xml:space="preserve">1  </w:t>
      </w:r>
      <w:r>
        <w:rPr>
          <w:rFonts w:hint="eastAsia" w:ascii="宋体" w:hAnsi="宋体"/>
          <w:color w:val="auto"/>
        </w:rPr>
        <w:t>主要胶凝剂宜选用硅酸盐水泥</w:t>
      </w:r>
      <w:r>
        <w:rPr>
          <w:rFonts w:hint="eastAsia"/>
          <w:color w:val="auto"/>
        </w:rPr>
        <w:t>；</w:t>
      </w:r>
    </w:p>
    <w:p w14:paraId="4262551E">
      <w:pPr>
        <w:spacing w:line="312" w:lineRule="auto"/>
        <w:ind w:firstLine="422" w:firstLineChars="200"/>
        <w:rPr>
          <w:color w:val="auto"/>
        </w:rPr>
      </w:pPr>
      <w:r>
        <w:rPr>
          <w:b/>
          <w:color w:val="auto"/>
        </w:rPr>
        <w:t xml:space="preserve">2  </w:t>
      </w:r>
      <w:r>
        <w:rPr>
          <w:color w:val="auto"/>
        </w:rPr>
        <w:t>砂</w:t>
      </w:r>
      <w:r>
        <w:rPr>
          <w:rFonts w:hint="eastAsia"/>
          <w:color w:val="auto"/>
        </w:rPr>
        <w:t>的</w:t>
      </w:r>
      <w:r>
        <w:rPr>
          <w:color w:val="auto"/>
        </w:rPr>
        <w:t>含泥量</w:t>
      </w:r>
      <w:r>
        <w:rPr>
          <w:rFonts w:hint="eastAsia"/>
          <w:color w:val="auto"/>
        </w:rPr>
        <w:t>和泥块含量</w:t>
      </w:r>
      <w:r>
        <w:rPr>
          <w:color w:val="auto"/>
        </w:rPr>
        <w:t>应</w:t>
      </w:r>
      <w:r>
        <w:rPr>
          <w:rFonts w:hint="eastAsia"/>
          <w:color w:val="auto"/>
        </w:rPr>
        <w:t>分别不</w:t>
      </w:r>
      <w:r>
        <w:rPr>
          <w:color w:val="auto"/>
        </w:rPr>
        <w:t>大于</w:t>
      </w:r>
      <w:r>
        <w:rPr>
          <w:rFonts w:hint="eastAsia"/>
          <w:color w:val="auto"/>
        </w:rPr>
        <w:t>2%和0.5</w:t>
      </w:r>
      <w:r>
        <w:rPr>
          <w:color w:val="auto"/>
        </w:rPr>
        <w:t>%</w:t>
      </w:r>
      <w:r>
        <w:rPr>
          <w:rFonts w:hint="eastAsia"/>
          <w:color w:val="auto"/>
        </w:rPr>
        <w:t>；</w:t>
      </w:r>
    </w:p>
    <w:p w14:paraId="022CA24D">
      <w:pPr>
        <w:spacing w:line="312" w:lineRule="auto"/>
        <w:ind w:firstLine="422" w:firstLineChars="200"/>
        <w:rPr>
          <w:color w:val="auto"/>
        </w:rPr>
      </w:pPr>
      <w:r>
        <w:rPr>
          <w:rFonts w:hint="eastAsia"/>
          <w:b/>
          <w:color w:val="auto"/>
        </w:rPr>
        <w:t>3</w:t>
      </w:r>
      <w:r>
        <w:rPr>
          <w:b/>
          <w:color w:val="auto"/>
        </w:rPr>
        <w:t xml:space="preserve">  </w:t>
      </w:r>
      <w:r>
        <w:rPr>
          <w:rFonts w:hint="eastAsia"/>
          <w:color w:val="auto"/>
        </w:rPr>
        <w:t>静曲强度不宜小于</w:t>
      </w:r>
      <w:r>
        <w:rPr>
          <w:color w:val="auto"/>
        </w:rPr>
        <w:t>10MPa</w:t>
      </w:r>
      <w:r>
        <w:rPr>
          <w:rFonts w:hint="eastAsia"/>
          <w:color w:val="auto"/>
        </w:rPr>
        <w:t>，</w:t>
      </w:r>
      <w:r>
        <w:rPr>
          <w:color w:val="auto"/>
        </w:rPr>
        <w:t>试验方法应符合现行国家标准《人造板及饰面人造板理化性能试验方法》GB/T 17657</w:t>
      </w:r>
      <w:r>
        <w:rPr>
          <w:rFonts w:hint="eastAsia"/>
          <w:color w:val="auto"/>
        </w:rPr>
        <w:t>、《混凝土制品性能试验方法》JG/T 384、混凝土物理力学性能试验方法标准GB/T 50081等</w:t>
      </w:r>
      <w:r>
        <w:rPr>
          <w:color w:val="auto"/>
        </w:rPr>
        <w:t>的规定。</w:t>
      </w:r>
    </w:p>
    <w:p w14:paraId="47B9D8F6">
      <w:pPr>
        <w:spacing w:line="312" w:lineRule="auto"/>
        <w:ind w:firstLine="420" w:firstLineChars="200"/>
        <w:rPr>
          <w:color w:val="auto"/>
        </w:rPr>
      </w:pPr>
      <w:r>
        <w:rPr>
          <w:rFonts w:hint="eastAsia" w:ascii="楷体" w:hAnsi="楷体" w:eastAsia="楷体" w:cs="楷体"/>
          <w:color w:val="auto"/>
          <w:szCs w:val="21"/>
        </w:rPr>
        <w:t>【条文说明】模块化建筑中模壳板主要作为现场浇筑剪力墙、柱、梁的永久模板，其材料性能必须满足作为模板使用的功能要求，因此材料宜采用高强混凝土，其材料性能应符合现行行业标准《高强混凝土应用技术规程》</w:t>
      </w:r>
      <w:r>
        <w:rPr>
          <w:rFonts w:eastAsia="楷体"/>
          <w:color w:val="auto"/>
          <w:szCs w:val="21"/>
        </w:rPr>
        <w:t>JGJ/T 281</w:t>
      </w:r>
      <w:r>
        <w:rPr>
          <w:rFonts w:hint="eastAsia" w:eastAsia="楷体"/>
          <w:color w:val="auto"/>
          <w:szCs w:val="21"/>
        </w:rPr>
        <w:t>的规定。</w:t>
      </w:r>
      <w:r>
        <w:rPr>
          <w:rFonts w:eastAsia="楷体"/>
          <w:color w:val="auto"/>
          <w:szCs w:val="21"/>
        </w:rPr>
        <w:t>关于人造板静曲强度的试验方法可根据试验条件综合考虑，选用三点法或四点法。</w:t>
      </w:r>
    </w:p>
    <w:p w14:paraId="39AC40B3">
      <w:pPr>
        <w:pStyle w:val="3"/>
        <w:rPr>
          <w:color w:val="auto"/>
        </w:rPr>
      </w:pPr>
      <w:bookmarkStart w:id="81" w:name="_Toc13359"/>
      <w:bookmarkStart w:id="82" w:name="_Toc5673"/>
      <w:bookmarkStart w:id="83" w:name="_Toc11404"/>
      <w:bookmarkStart w:id="84" w:name="_Toc10183"/>
      <w:bookmarkStart w:id="85" w:name="_Toc19041"/>
      <w:bookmarkStart w:id="86" w:name="_Toc16138"/>
      <w:bookmarkStart w:id="87" w:name="_Toc9491"/>
      <w:bookmarkStart w:id="88" w:name="_Toc22968"/>
      <w:bookmarkStart w:id="89" w:name="_Toc16576"/>
      <w:r>
        <w:rPr>
          <w:b/>
          <w:bCs w:val="0"/>
          <w:color w:val="auto"/>
        </w:rPr>
        <w:t>4</w:t>
      </w:r>
      <w:r>
        <w:rPr>
          <w:rFonts w:hint="eastAsia"/>
          <w:b/>
          <w:bCs w:val="0"/>
          <w:color w:val="auto"/>
        </w:rPr>
        <w:t>.</w:t>
      </w:r>
      <w:r>
        <w:rPr>
          <w:b/>
          <w:bCs w:val="0"/>
          <w:color w:val="auto"/>
        </w:rPr>
        <w:t>2</w:t>
      </w:r>
      <w:r>
        <w:rPr>
          <w:rFonts w:hint="eastAsia"/>
          <w:color w:val="auto"/>
        </w:rPr>
        <w:t xml:space="preserve">  连接材料</w:t>
      </w:r>
      <w:bookmarkEnd w:id="81"/>
      <w:bookmarkEnd w:id="82"/>
      <w:bookmarkEnd w:id="83"/>
      <w:bookmarkEnd w:id="84"/>
      <w:bookmarkEnd w:id="85"/>
      <w:bookmarkEnd w:id="86"/>
      <w:bookmarkEnd w:id="87"/>
      <w:bookmarkEnd w:id="88"/>
      <w:bookmarkEnd w:id="89"/>
    </w:p>
    <w:p w14:paraId="373FE251">
      <w:pPr>
        <w:numPr>
          <w:ilvl w:val="0"/>
          <w:numId w:val="6"/>
        </w:numPr>
        <w:spacing w:line="312" w:lineRule="auto"/>
        <w:rPr>
          <w:color w:val="auto"/>
        </w:rPr>
      </w:pPr>
      <w:r>
        <w:rPr>
          <w:color w:val="auto"/>
        </w:rPr>
        <w:t>钢筋套筒灌浆连接接头采用的套筒和灌浆料应符合现行行业标准《钢筋连接用灌浆套筒》JG/T 398和《钢筋连接用套筒灌浆料》JG/T 408的规定。</w:t>
      </w:r>
    </w:p>
    <w:p w14:paraId="78EA8D15">
      <w:pPr>
        <w:numPr>
          <w:ilvl w:val="255"/>
          <w:numId w:val="0"/>
        </w:numPr>
        <w:spacing w:line="312" w:lineRule="auto"/>
        <w:ind w:firstLine="420" w:firstLineChars="200"/>
        <w:rPr>
          <w:rFonts w:eastAsia="楷体"/>
          <w:color w:val="auto"/>
          <w:szCs w:val="21"/>
        </w:rPr>
      </w:pPr>
      <w:r>
        <w:rPr>
          <w:rFonts w:eastAsia="楷体"/>
          <w:color w:val="auto"/>
          <w:szCs w:val="21"/>
        </w:rPr>
        <w:t>【条文说明】模块单元的连接是模块化建筑的关键，钢筋套筒灌浆连接技术是模块化框架结构和模块化预制剪力墙结构主要的连接技术。模块化建筑中所用钢筋连接用灌浆套筒和灌浆料应符合现行行业标准《钢筋连接用灌浆套筒》JG/T 398和《钢筋连接用套筒灌浆料》JG/T 408的规定</w:t>
      </w:r>
      <w:r>
        <w:rPr>
          <w:rFonts w:hint="eastAsia" w:eastAsia="楷体"/>
          <w:color w:val="auto"/>
          <w:szCs w:val="21"/>
        </w:rPr>
        <w:t>。</w:t>
      </w:r>
    </w:p>
    <w:p w14:paraId="2F3AEFE7">
      <w:pPr>
        <w:numPr>
          <w:ilvl w:val="0"/>
          <w:numId w:val="6"/>
        </w:numPr>
        <w:spacing w:line="312" w:lineRule="auto"/>
        <w:rPr>
          <w:color w:val="auto"/>
        </w:rPr>
      </w:pPr>
      <w:r>
        <w:rPr>
          <w:rFonts w:hint="eastAsia"/>
          <w:color w:val="auto"/>
        </w:rPr>
        <w:t>钢筋浆锚搭接连接用镀锌金属波纹管的材料、外观、尺寸和抗外荷载性能等应符合JG/T 225的规定。</w:t>
      </w:r>
    </w:p>
    <w:p w14:paraId="4A818E17">
      <w:pPr>
        <w:numPr>
          <w:ilvl w:val="0"/>
          <w:numId w:val="6"/>
        </w:numPr>
        <w:spacing w:line="312" w:lineRule="auto"/>
        <w:rPr>
          <w:color w:val="auto"/>
        </w:rPr>
      </w:pPr>
      <w:r>
        <w:rPr>
          <w:rFonts w:hint="eastAsia"/>
          <w:color w:val="auto"/>
        </w:rPr>
        <w:t>灌浆连接用水泥基灌浆材料的主要性能应符合GB/T 50448的规定。</w:t>
      </w:r>
    </w:p>
    <w:p w14:paraId="2975B1DC">
      <w:pPr>
        <w:numPr>
          <w:ilvl w:val="0"/>
          <w:numId w:val="6"/>
        </w:numPr>
        <w:spacing w:line="312" w:lineRule="auto"/>
        <w:rPr>
          <w:color w:val="auto"/>
        </w:rPr>
      </w:pPr>
      <w:r>
        <w:rPr>
          <w:rFonts w:hint="eastAsia"/>
          <w:color w:val="auto"/>
        </w:rPr>
        <w:t>钢筋锚固板的材料应符合</w:t>
      </w:r>
      <w:r>
        <w:rPr>
          <w:color w:val="auto"/>
        </w:rPr>
        <w:t>现行行业标准</w:t>
      </w:r>
      <w:r>
        <w:rPr>
          <w:rFonts w:hint="eastAsia"/>
          <w:color w:val="auto"/>
        </w:rPr>
        <w:t>《钢筋锚固板应用技术规程》JGJ 256的规定。</w:t>
      </w:r>
    </w:p>
    <w:p w14:paraId="06212D46">
      <w:pPr>
        <w:numPr>
          <w:ilvl w:val="0"/>
          <w:numId w:val="6"/>
        </w:numPr>
        <w:spacing w:line="312" w:lineRule="auto"/>
        <w:rPr>
          <w:color w:val="auto"/>
        </w:rPr>
      </w:pPr>
      <w:r>
        <w:rPr>
          <w:rFonts w:hint="eastAsia"/>
          <w:color w:val="auto"/>
        </w:rPr>
        <w:t>预埋件的材料性能要求应符合现行国家标准《混凝土结构设计标准》G</w:t>
      </w:r>
      <w:r>
        <w:rPr>
          <w:color w:val="auto"/>
        </w:rPr>
        <w:t>B</w:t>
      </w:r>
      <w:r>
        <w:rPr>
          <w:rFonts w:hint="eastAsia"/>
          <w:color w:val="auto"/>
        </w:rPr>
        <w:t>/T</w:t>
      </w:r>
      <w:r>
        <w:rPr>
          <w:color w:val="auto"/>
        </w:rPr>
        <w:t xml:space="preserve"> 5</w:t>
      </w:r>
      <w:r>
        <w:rPr>
          <w:rFonts w:hint="eastAsia"/>
          <w:color w:val="auto"/>
        </w:rPr>
        <w:t>0010和《钢结构设计标准》</w:t>
      </w:r>
      <w:r>
        <w:rPr>
          <w:color w:val="auto"/>
        </w:rPr>
        <w:fldChar w:fldCharType="begin"/>
      </w:r>
      <w:r>
        <w:rPr>
          <w:color w:val="auto"/>
        </w:rPr>
        <w:instrText xml:space="preserve"> HYPERLINK "https://ebook.chinabuilding.com.cn/zbooklib/book/detail/show?SiteID=1&amp;bookID=105417" \t "https://ebook.chinabuilding.com.cn/zbooklib/_blank" </w:instrText>
      </w:r>
      <w:r>
        <w:rPr>
          <w:color w:val="auto"/>
        </w:rPr>
        <w:fldChar w:fldCharType="separate"/>
      </w:r>
      <w:r>
        <w:rPr>
          <w:rFonts w:hint="eastAsia"/>
          <w:color w:val="auto"/>
        </w:rPr>
        <w:t>GB 50017</w:t>
      </w:r>
      <w:r>
        <w:rPr>
          <w:rFonts w:hint="eastAsia"/>
          <w:color w:val="auto"/>
        </w:rPr>
        <w:fldChar w:fldCharType="end"/>
      </w:r>
      <w:r>
        <w:rPr>
          <w:rFonts w:hint="eastAsia"/>
          <w:color w:val="auto"/>
        </w:rPr>
        <w:t>的规定。</w:t>
      </w:r>
    </w:p>
    <w:p w14:paraId="4950E8FF">
      <w:pPr>
        <w:numPr>
          <w:ilvl w:val="0"/>
          <w:numId w:val="6"/>
        </w:numPr>
        <w:spacing w:line="312" w:lineRule="auto"/>
        <w:rPr>
          <w:color w:val="auto"/>
        </w:rPr>
      </w:pPr>
      <w:r>
        <w:rPr>
          <w:rFonts w:hint="eastAsia"/>
          <w:color w:val="auto"/>
        </w:rPr>
        <w:t>连接用焊接材料、螺栓等紧固件的材料应符合国家现行标准《钢结构通用规范》</w:t>
      </w:r>
      <w:r>
        <w:rPr>
          <w:color w:val="auto"/>
        </w:rPr>
        <w:fldChar w:fldCharType="begin"/>
      </w:r>
      <w:r>
        <w:rPr>
          <w:color w:val="auto"/>
        </w:rPr>
        <w:instrText xml:space="preserve"> HYPERLINK "https://ebook.chinabuilding.com.cn/zbooklib/book/detail/show?SiteID=1&amp;bookID=105417" \t "https://ebook.chinabuilding.com.cn/zbooklib/_blank" </w:instrText>
      </w:r>
      <w:r>
        <w:rPr>
          <w:color w:val="auto"/>
        </w:rPr>
        <w:fldChar w:fldCharType="separate"/>
      </w:r>
      <w:r>
        <w:rPr>
          <w:rFonts w:hint="eastAsia"/>
          <w:color w:val="auto"/>
        </w:rPr>
        <w:t>GB 55</w:t>
      </w:r>
      <w:r>
        <w:rPr>
          <w:rFonts w:hint="eastAsia"/>
          <w:color w:val="auto"/>
        </w:rPr>
        <w:fldChar w:fldCharType="end"/>
      </w:r>
      <w:r>
        <w:rPr>
          <w:rFonts w:hint="eastAsia"/>
          <w:color w:val="auto"/>
        </w:rPr>
        <w:t>006、《钢结构设计标准》</w:t>
      </w:r>
      <w:r>
        <w:rPr>
          <w:color w:val="auto"/>
        </w:rPr>
        <w:fldChar w:fldCharType="begin"/>
      </w:r>
      <w:r>
        <w:rPr>
          <w:color w:val="auto"/>
        </w:rPr>
        <w:instrText xml:space="preserve"> HYPERLINK "https://ebook.chinabuilding.com.cn/zbooklib/book/detail/show?SiteID=1&amp;bookID=105417" \t "https://ebook.chinabuilding.com.cn/zbooklib/_blank" </w:instrText>
      </w:r>
      <w:r>
        <w:rPr>
          <w:color w:val="auto"/>
        </w:rPr>
        <w:fldChar w:fldCharType="separate"/>
      </w:r>
      <w:r>
        <w:rPr>
          <w:rFonts w:hint="eastAsia"/>
          <w:color w:val="auto"/>
        </w:rPr>
        <w:t>GB 50017</w:t>
      </w:r>
      <w:r>
        <w:rPr>
          <w:rFonts w:hint="eastAsia"/>
          <w:color w:val="auto"/>
        </w:rPr>
        <w:fldChar w:fldCharType="end"/>
      </w:r>
      <w:r>
        <w:rPr>
          <w:rFonts w:hint="eastAsia"/>
          <w:color w:val="auto"/>
        </w:rPr>
        <w:t>、《钢结构焊接规范》</w:t>
      </w:r>
      <w:r>
        <w:rPr>
          <w:color w:val="auto"/>
        </w:rPr>
        <w:fldChar w:fldCharType="begin"/>
      </w:r>
      <w:r>
        <w:rPr>
          <w:color w:val="auto"/>
        </w:rPr>
        <w:instrText xml:space="preserve"> HYPERLINK "https://ebook.chinabuilding.com.cn/zbooklib/book/detail/show?SiteID=1&amp;bookID=105417" \t "https://ebook.chinabuilding.com.cn/zbooklib/_blank" </w:instrText>
      </w:r>
      <w:r>
        <w:rPr>
          <w:color w:val="auto"/>
        </w:rPr>
        <w:fldChar w:fldCharType="separate"/>
      </w:r>
      <w:r>
        <w:rPr>
          <w:rFonts w:hint="eastAsia"/>
          <w:color w:val="auto"/>
        </w:rPr>
        <w:t>GB 506</w:t>
      </w:r>
      <w:r>
        <w:rPr>
          <w:rFonts w:hint="eastAsia"/>
          <w:color w:val="auto"/>
        </w:rPr>
        <w:fldChar w:fldCharType="end"/>
      </w:r>
      <w:r>
        <w:rPr>
          <w:rFonts w:hint="eastAsia"/>
          <w:color w:val="auto"/>
        </w:rPr>
        <w:t>61和《钢筋焊接及验收规程》JGJ 18等的规定。</w:t>
      </w:r>
    </w:p>
    <w:p w14:paraId="22577EA9">
      <w:pPr>
        <w:numPr>
          <w:ilvl w:val="255"/>
          <w:numId w:val="0"/>
        </w:numPr>
        <w:tabs>
          <w:tab w:val="left" w:pos="0"/>
        </w:tabs>
        <w:spacing w:line="312" w:lineRule="auto"/>
        <w:ind w:firstLine="420" w:firstLineChars="200"/>
        <w:rPr>
          <w:color w:val="auto"/>
        </w:rPr>
      </w:pPr>
      <w:r>
        <w:rPr>
          <w:rFonts w:eastAsia="楷体"/>
          <w:color w:val="auto"/>
          <w:szCs w:val="21"/>
        </w:rPr>
        <w:t>【条文说明】</w:t>
      </w:r>
      <w:r>
        <w:rPr>
          <w:rFonts w:hint="eastAsia" w:eastAsia="楷体"/>
          <w:color w:val="auto"/>
          <w:szCs w:val="21"/>
        </w:rPr>
        <w:t>（4.2.2~4.2.4）模块化框架结构中模块单元的连接方式，根据建筑物不同的层高、抗震设防烈度等条件，可以采用的连接形式也不同。当建筑物层数较低时，模块单元可采用螺栓连接，其中钢筋锚固板、螺栓、预埋件等紧固件应符合国家和行业现行相关标准的规定。</w:t>
      </w:r>
    </w:p>
    <w:p w14:paraId="4F8EA112">
      <w:pPr>
        <w:numPr>
          <w:ilvl w:val="0"/>
          <w:numId w:val="6"/>
        </w:numPr>
        <w:spacing w:line="312" w:lineRule="auto"/>
        <w:rPr>
          <w:color w:val="auto"/>
        </w:rPr>
      </w:pPr>
      <w:r>
        <w:rPr>
          <w:rFonts w:hint="eastAsia"/>
          <w:color w:val="auto"/>
        </w:rPr>
        <w:t>用于钢筋机械连接的接头和连接件，其原材料及力学性能应符合现行行业标准《钢筋机械连接技术规程》JGJ 107和《钢筋机械连接用套筒》JG/T 163的规定。</w:t>
      </w:r>
    </w:p>
    <w:p w14:paraId="18C80D96">
      <w:pPr>
        <w:pStyle w:val="3"/>
        <w:rPr>
          <w:b/>
          <w:bCs w:val="0"/>
          <w:color w:val="auto"/>
        </w:rPr>
      </w:pPr>
      <w:bookmarkStart w:id="90" w:name="_Toc4360"/>
      <w:bookmarkStart w:id="91" w:name="_Toc22879"/>
      <w:bookmarkStart w:id="92" w:name="_Toc24051"/>
      <w:bookmarkStart w:id="93" w:name="_Toc16643"/>
      <w:bookmarkStart w:id="94" w:name="_Toc6537"/>
      <w:bookmarkStart w:id="95" w:name="_Toc9311"/>
      <w:bookmarkStart w:id="96" w:name="_Toc32408"/>
      <w:bookmarkStart w:id="97" w:name="_Toc19923"/>
      <w:bookmarkStart w:id="98" w:name="_Toc8063"/>
      <w:r>
        <w:rPr>
          <w:b/>
          <w:bCs w:val="0"/>
          <w:color w:val="auto"/>
        </w:rPr>
        <w:t>4</w:t>
      </w:r>
      <w:r>
        <w:rPr>
          <w:rFonts w:hint="eastAsia"/>
          <w:b/>
          <w:bCs w:val="0"/>
          <w:color w:val="auto"/>
        </w:rPr>
        <w:t>.</w:t>
      </w:r>
      <w:r>
        <w:rPr>
          <w:b/>
          <w:bCs w:val="0"/>
          <w:color w:val="auto"/>
        </w:rPr>
        <w:t>3</w:t>
      </w:r>
      <w:r>
        <w:rPr>
          <w:rFonts w:hint="eastAsia"/>
          <w:b/>
          <w:bCs w:val="0"/>
          <w:color w:val="auto"/>
        </w:rPr>
        <w:t xml:space="preserve">  </w:t>
      </w:r>
      <w:r>
        <w:rPr>
          <w:rFonts w:hint="eastAsia"/>
          <w:color w:val="auto"/>
        </w:rPr>
        <w:t>其他材料</w:t>
      </w:r>
      <w:bookmarkEnd w:id="90"/>
      <w:bookmarkEnd w:id="91"/>
      <w:bookmarkEnd w:id="92"/>
      <w:bookmarkEnd w:id="93"/>
      <w:bookmarkEnd w:id="94"/>
      <w:bookmarkEnd w:id="95"/>
      <w:bookmarkEnd w:id="96"/>
      <w:bookmarkEnd w:id="97"/>
      <w:bookmarkEnd w:id="98"/>
    </w:p>
    <w:p w14:paraId="576A654E">
      <w:pPr>
        <w:numPr>
          <w:ilvl w:val="0"/>
          <w:numId w:val="7"/>
        </w:numPr>
        <w:spacing w:line="312" w:lineRule="auto"/>
        <w:rPr>
          <w:color w:val="auto"/>
        </w:rPr>
      </w:pPr>
      <w:r>
        <w:rPr>
          <w:rFonts w:hint="eastAsia"/>
          <w:color w:val="auto"/>
        </w:rPr>
        <w:t>模块化建筑采用的装饰装修材料应符合现行国家标准《建筑环境通用规范》GB 55016、《建筑设计防火规范》GB 50016和《建筑内部装修设计防火规范》GB 50222等的规定。</w:t>
      </w:r>
    </w:p>
    <w:p w14:paraId="3EB6F9DF">
      <w:pPr>
        <w:numPr>
          <w:ilvl w:val="0"/>
          <w:numId w:val="7"/>
        </w:numPr>
        <w:spacing w:line="312" w:lineRule="auto"/>
        <w:rPr>
          <w:color w:val="auto"/>
        </w:rPr>
      </w:pPr>
      <w:r>
        <w:rPr>
          <w:rFonts w:hint="eastAsia"/>
          <w:color w:val="auto"/>
        </w:rPr>
        <w:t>模块化建筑接缝用密封胶材料应符合现行行业、地方标准《混凝土接缝用建筑密封胶》JC/T 881、《建筑防水材料应用技术规程》DBJ 15-20的规定。</w:t>
      </w:r>
    </w:p>
    <w:p w14:paraId="06D1020F">
      <w:pPr>
        <w:numPr>
          <w:ilvl w:val="0"/>
          <w:numId w:val="7"/>
        </w:numPr>
        <w:spacing w:line="312" w:lineRule="auto"/>
        <w:rPr>
          <w:color w:val="auto"/>
        </w:rPr>
      </w:pPr>
      <w:r>
        <w:rPr>
          <w:color w:val="auto"/>
        </w:rPr>
        <w:t>模块</w:t>
      </w:r>
      <w:r>
        <w:rPr>
          <w:rFonts w:hint="eastAsia"/>
          <w:color w:val="auto"/>
        </w:rPr>
        <w:t>化建筑外墙用保温材料应符合现行行业标准《外墙外保温工程技术标准》JGJ 144和《外墙内保温工程技术标准》JGJ/T 261的规定。</w:t>
      </w:r>
    </w:p>
    <w:p w14:paraId="6DE29F7D">
      <w:pPr>
        <w:numPr>
          <w:ilvl w:val="0"/>
          <w:numId w:val="7"/>
        </w:numPr>
        <w:spacing w:line="312" w:lineRule="auto"/>
        <w:rPr>
          <w:color w:val="auto"/>
        </w:rPr>
      </w:pPr>
      <w:r>
        <w:rPr>
          <w:rFonts w:hint="eastAsia"/>
          <w:color w:val="auto"/>
        </w:rPr>
        <w:t>模块化建筑外围护墙间的接缝用防水材料应符合现行国家标准《建筑与市政工程防水通用规范》GB 55030的规定。</w:t>
      </w:r>
    </w:p>
    <w:p w14:paraId="5C9841EF">
      <w:pPr>
        <w:numPr>
          <w:ilvl w:val="0"/>
          <w:numId w:val="7"/>
        </w:numPr>
        <w:spacing w:line="312" w:lineRule="auto"/>
        <w:rPr>
          <w:color w:val="auto"/>
        </w:rPr>
      </w:pPr>
      <w:r>
        <w:rPr>
          <w:rFonts w:hint="eastAsia"/>
          <w:color w:val="auto"/>
        </w:rPr>
        <w:t>模块化建筑使用的拉结件等其它材料应符合现行有关标准</w:t>
      </w:r>
      <w:r>
        <w:rPr>
          <w:color w:val="auto"/>
        </w:rPr>
        <w:t>的</w:t>
      </w:r>
      <w:r>
        <w:rPr>
          <w:rFonts w:hint="eastAsia"/>
          <w:color w:val="auto"/>
        </w:rPr>
        <w:t>规定。</w:t>
      </w:r>
    </w:p>
    <w:p w14:paraId="1F562068">
      <w:pPr>
        <w:numPr>
          <w:ilvl w:val="0"/>
          <w:numId w:val="7"/>
        </w:numPr>
        <w:spacing w:line="312" w:lineRule="auto"/>
        <w:rPr>
          <w:color w:val="auto"/>
        </w:rPr>
      </w:pPr>
      <w:r>
        <w:rPr>
          <w:rFonts w:hint="eastAsia"/>
          <w:color w:val="auto"/>
        </w:rPr>
        <w:t>生活给水管道应选用耐腐蚀和安装连接方便可靠的管材，宜采用塑料给水管、塑料金属复合管和不锈钢管。</w:t>
      </w:r>
    </w:p>
    <w:p w14:paraId="54FF046E">
      <w:pPr>
        <w:numPr>
          <w:ilvl w:val="0"/>
          <w:numId w:val="7"/>
        </w:numPr>
        <w:spacing w:line="312" w:lineRule="auto"/>
        <w:rPr>
          <w:color w:val="auto"/>
        </w:rPr>
      </w:pPr>
      <w:r>
        <w:rPr>
          <w:rFonts w:hint="eastAsia"/>
          <w:color w:val="auto"/>
        </w:rPr>
        <w:t>生活排水管道应采用建筑排水塑料管等管材及管件，通气管材宜与排水管管材一致。</w:t>
      </w:r>
    </w:p>
    <w:p w14:paraId="176A5DDE">
      <w:pPr>
        <w:numPr>
          <w:ilvl w:val="0"/>
          <w:numId w:val="7"/>
        </w:numPr>
        <w:spacing w:line="312" w:lineRule="auto"/>
        <w:rPr>
          <w:color w:val="auto"/>
        </w:rPr>
        <w:sectPr>
          <w:pgSz w:w="11906" w:h="16838"/>
          <w:pgMar w:top="1440" w:right="1800" w:bottom="1440" w:left="1800" w:header="851" w:footer="992" w:gutter="0"/>
          <w:cols w:space="425" w:num="1"/>
          <w:docGrid w:type="lines" w:linePitch="312" w:charSpace="0"/>
        </w:sectPr>
      </w:pPr>
      <w:r>
        <w:rPr>
          <w:rFonts w:hint="eastAsia"/>
          <w:color w:val="auto"/>
        </w:rPr>
        <w:t>电工套管及配件的规格尺寸和技术性能等应符合JG/T 3050的规定。</w:t>
      </w:r>
    </w:p>
    <w:p w14:paraId="3D32A4D3">
      <w:pPr>
        <w:pStyle w:val="2"/>
        <w:rPr>
          <w:color w:val="auto"/>
        </w:rPr>
      </w:pPr>
      <w:bookmarkStart w:id="99" w:name="_Toc31911"/>
      <w:bookmarkStart w:id="100" w:name="_Toc25818"/>
      <w:bookmarkStart w:id="101" w:name="_Toc16287"/>
      <w:bookmarkStart w:id="102" w:name="_Toc31742"/>
      <w:bookmarkStart w:id="103" w:name="_Toc6149"/>
      <w:bookmarkStart w:id="104" w:name="_Toc8725"/>
      <w:bookmarkStart w:id="105" w:name="_Toc6429"/>
      <w:bookmarkStart w:id="106" w:name="_Toc21281"/>
      <w:bookmarkStart w:id="107" w:name="_Toc12851"/>
      <w:bookmarkStart w:id="108" w:name="_Toc30213"/>
      <w:r>
        <w:rPr>
          <w:b/>
          <w:bCs/>
          <w:color w:val="auto"/>
        </w:rPr>
        <w:t>5</w:t>
      </w:r>
      <w:r>
        <w:rPr>
          <w:rFonts w:hint="eastAsia"/>
          <w:color w:val="auto"/>
        </w:rPr>
        <w:t xml:space="preserve">  建筑设计</w:t>
      </w:r>
      <w:bookmarkEnd w:id="99"/>
      <w:bookmarkEnd w:id="100"/>
      <w:bookmarkEnd w:id="101"/>
      <w:bookmarkEnd w:id="102"/>
      <w:bookmarkEnd w:id="103"/>
      <w:bookmarkEnd w:id="104"/>
      <w:bookmarkEnd w:id="105"/>
      <w:bookmarkEnd w:id="106"/>
      <w:bookmarkEnd w:id="107"/>
    </w:p>
    <w:p w14:paraId="5650692F">
      <w:pPr>
        <w:pStyle w:val="3"/>
        <w:rPr>
          <w:color w:val="auto"/>
        </w:rPr>
      </w:pPr>
      <w:bookmarkStart w:id="109" w:name="_Toc1584"/>
      <w:bookmarkStart w:id="110" w:name="_Toc1423"/>
      <w:bookmarkStart w:id="111" w:name="_Toc4704"/>
      <w:bookmarkStart w:id="112" w:name="_Toc9091"/>
      <w:bookmarkStart w:id="113" w:name="_Toc11364"/>
      <w:bookmarkStart w:id="114" w:name="_Toc25234"/>
      <w:bookmarkStart w:id="115" w:name="_Toc20862"/>
      <w:bookmarkStart w:id="116" w:name="_Toc10469"/>
      <w:bookmarkStart w:id="117" w:name="_Toc26334"/>
      <w:r>
        <w:rPr>
          <w:b/>
          <w:bCs w:val="0"/>
          <w:color w:val="auto"/>
        </w:rPr>
        <w:t>5</w:t>
      </w:r>
      <w:r>
        <w:rPr>
          <w:rFonts w:hint="eastAsia"/>
          <w:b/>
          <w:bCs w:val="0"/>
          <w:color w:val="auto"/>
        </w:rPr>
        <w:t>.</w:t>
      </w:r>
      <w:r>
        <w:rPr>
          <w:b/>
          <w:bCs w:val="0"/>
          <w:color w:val="auto"/>
        </w:rPr>
        <w:t>1</w:t>
      </w:r>
      <w:r>
        <w:rPr>
          <w:rFonts w:hint="eastAsia"/>
          <w:color w:val="auto"/>
        </w:rPr>
        <w:t xml:space="preserve">  一般规定</w:t>
      </w:r>
      <w:bookmarkEnd w:id="109"/>
      <w:bookmarkEnd w:id="110"/>
      <w:bookmarkEnd w:id="111"/>
      <w:bookmarkEnd w:id="112"/>
      <w:bookmarkEnd w:id="113"/>
      <w:bookmarkEnd w:id="114"/>
      <w:bookmarkEnd w:id="115"/>
      <w:bookmarkEnd w:id="116"/>
      <w:bookmarkEnd w:id="117"/>
    </w:p>
    <w:p w14:paraId="693CE994">
      <w:pPr>
        <w:numPr>
          <w:ilvl w:val="0"/>
          <w:numId w:val="8"/>
        </w:numPr>
        <w:spacing w:line="312" w:lineRule="auto"/>
        <w:rPr>
          <w:color w:val="auto"/>
        </w:rPr>
      </w:pPr>
      <w:r>
        <w:rPr>
          <w:rFonts w:hint="eastAsia"/>
          <w:color w:val="auto"/>
        </w:rPr>
        <w:t>模块化建筑的设计应符合现行国家标准《民用建筑设计统一标准》GB</w:t>
      </w:r>
      <w:r>
        <w:rPr>
          <w:color w:val="auto"/>
        </w:rPr>
        <w:t xml:space="preserve"> 50352</w:t>
      </w:r>
      <w:r>
        <w:rPr>
          <w:rFonts w:hint="eastAsia"/>
          <w:color w:val="auto"/>
        </w:rPr>
        <w:t>、《民用建筑通用规范》GB</w:t>
      </w:r>
      <w:r>
        <w:rPr>
          <w:color w:val="auto"/>
        </w:rPr>
        <w:t xml:space="preserve"> 55031</w:t>
      </w:r>
      <w:r>
        <w:rPr>
          <w:rFonts w:hint="eastAsia"/>
          <w:color w:val="auto"/>
        </w:rPr>
        <w:t>、《住宅项目规范》GB 55038、《宿舍建筑设计规范》JGJ 36和《宿舍、旅馆建筑项目规范》GB 55025等的规定。</w:t>
      </w:r>
    </w:p>
    <w:p w14:paraId="7F4B0D0A">
      <w:pPr>
        <w:tabs>
          <w:tab w:val="left" w:pos="0"/>
        </w:tabs>
        <w:spacing w:line="312" w:lineRule="auto"/>
        <w:ind w:firstLine="420" w:firstLineChars="200"/>
        <w:rPr>
          <w:rFonts w:eastAsia="楷体"/>
          <w:color w:val="auto"/>
        </w:rPr>
      </w:pPr>
      <w:r>
        <w:rPr>
          <w:rFonts w:hint="eastAsia" w:ascii="楷体" w:hAnsi="楷体" w:eastAsia="楷体" w:cs="楷体"/>
          <w:color w:val="auto"/>
          <w:szCs w:val="21"/>
        </w:rPr>
        <w:t>【条文说明】</w:t>
      </w:r>
      <w:r>
        <w:rPr>
          <w:rFonts w:eastAsia="楷体"/>
          <w:color w:val="auto"/>
        </w:rPr>
        <w:t>进入21世纪，各项民用建筑工程在功能和质量上有了更高、更新的要求，节能、绿色理念的强化，建筑形式也越来越多样化、功能复杂化、综合化，加之新材料、新技术也不断涌现，《民用建筑设计统一标准》GB 50352</w:t>
      </w:r>
      <w:r>
        <w:rPr>
          <w:rFonts w:hint="eastAsia" w:eastAsia="楷体"/>
          <w:color w:val="auto"/>
        </w:rPr>
        <w:t>和《民用建筑通用规范》GB 55031</w:t>
      </w:r>
      <w:r>
        <w:rPr>
          <w:rFonts w:eastAsia="楷体"/>
          <w:color w:val="auto"/>
        </w:rPr>
        <w:t>已经成为各类民用建筑的设计和有关标准的编制必须遵守的重要通用标准。为确保模块化建筑工程的使用功能和质量，确保模块化建筑使用中人民生命财产安全和身体健康，维护公共利益，保护环境，促进社会的可持续发展。</w:t>
      </w:r>
      <w:r>
        <w:rPr>
          <w:rFonts w:hint="eastAsia" w:eastAsia="楷体"/>
          <w:color w:val="auto"/>
        </w:rPr>
        <w:t>《住宅项目规范》GB 55038提出了住宅项目的规模、布局、功能、性能和关键技术措施等方面的强制性要求，以安全、舒适、绿色、智慧为目标，从而保障居民的基本住房条件和居住环境。</w:t>
      </w:r>
      <w:r>
        <w:rPr>
          <w:rFonts w:hint="eastAsia" w:ascii="楷体" w:hAnsi="楷体" w:eastAsia="楷体" w:cs="楷体"/>
          <w:color w:val="auto"/>
          <w:szCs w:val="21"/>
        </w:rPr>
        <w:t>模块化建筑应遵守该标准，并根据该标准的原则进行设计</w:t>
      </w:r>
      <w:r>
        <w:rPr>
          <w:rFonts w:eastAsia="楷体"/>
          <w:color w:val="auto"/>
        </w:rPr>
        <w:t>。</w:t>
      </w:r>
    </w:p>
    <w:p w14:paraId="091BE068">
      <w:pPr>
        <w:numPr>
          <w:ilvl w:val="0"/>
          <w:numId w:val="8"/>
        </w:numPr>
        <w:spacing w:line="312" w:lineRule="auto"/>
        <w:rPr>
          <w:color w:val="auto"/>
        </w:rPr>
      </w:pPr>
      <w:r>
        <w:rPr>
          <w:rFonts w:hint="eastAsia"/>
          <w:color w:val="auto"/>
        </w:rPr>
        <w:t>模块化建筑的防火设计应符合现行国家标准《建筑防火通用规范》GB</w:t>
      </w:r>
      <w:r>
        <w:rPr>
          <w:color w:val="auto"/>
        </w:rPr>
        <w:t xml:space="preserve"> </w:t>
      </w:r>
      <w:r>
        <w:rPr>
          <w:rFonts w:hint="eastAsia"/>
          <w:color w:val="auto"/>
        </w:rPr>
        <w:t>55037和《建筑设计防火规范》GB</w:t>
      </w:r>
      <w:r>
        <w:rPr>
          <w:color w:val="auto"/>
        </w:rPr>
        <w:t xml:space="preserve"> </w:t>
      </w:r>
      <w:r>
        <w:rPr>
          <w:rFonts w:hint="eastAsia"/>
          <w:color w:val="auto"/>
        </w:rPr>
        <w:t>50016等的规定。</w:t>
      </w:r>
    </w:p>
    <w:p w14:paraId="69BC9B69">
      <w:pPr>
        <w:tabs>
          <w:tab w:val="left" w:pos="0"/>
        </w:tabs>
        <w:spacing w:line="312" w:lineRule="auto"/>
        <w:ind w:firstLine="420" w:firstLineChars="200"/>
        <w:rPr>
          <w:rFonts w:ascii="楷体" w:hAnsi="楷体" w:eastAsia="楷体" w:cs="楷体"/>
          <w:color w:val="auto"/>
          <w:szCs w:val="21"/>
        </w:rPr>
      </w:pPr>
      <w:r>
        <w:rPr>
          <w:rFonts w:hint="eastAsia" w:ascii="楷体" w:hAnsi="楷体" w:eastAsia="楷体" w:cs="楷体"/>
          <w:color w:val="auto"/>
          <w:szCs w:val="21"/>
        </w:rPr>
        <w:t>【条文说明】模块化建筑的防火设计，应遵循国家有关安全、环保、节能、节地、节水、节材等经济技术政策和工程建设的基本要求，贯彻“预防为主，防消结合”的消防工作方针，从全局出发，针对不同类型的建筑及其使用功能的特点以及防火、灭火需要，结合具体工程及当地的地理环境等自然条件、人文背景、经济技术发展水平和消防救援力量等实际情况进行综合考虑。在模块化建筑的设计中，不仅要积极采用先进、成熟的防火技术和措施，更要正确处理好生产或建筑功能要求与消防安全的关系。</w:t>
      </w:r>
    </w:p>
    <w:p w14:paraId="34BA07B1">
      <w:pPr>
        <w:numPr>
          <w:ilvl w:val="0"/>
          <w:numId w:val="8"/>
        </w:numPr>
        <w:spacing w:line="312" w:lineRule="auto"/>
        <w:rPr>
          <w:color w:val="auto"/>
        </w:rPr>
      </w:pPr>
      <w:r>
        <w:rPr>
          <w:rFonts w:hint="eastAsia"/>
          <w:color w:val="auto"/>
        </w:rPr>
        <w:t>模块化建筑的防水设计应符合现行国家标准《建筑与市政工程防水通用规范》GB 55030的规定，并应符合下列规定：</w:t>
      </w:r>
    </w:p>
    <w:p w14:paraId="7952EE63">
      <w:pPr>
        <w:spacing w:line="312" w:lineRule="auto"/>
        <w:ind w:firstLine="422" w:firstLineChars="200"/>
        <w:rPr>
          <w:color w:val="auto"/>
        </w:rPr>
      </w:pPr>
      <w:r>
        <w:rPr>
          <w:rFonts w:hint="eastAsia"/>
          <w:b/>
          <w:color w:val="auto"/>
        </w:rPr>
        <w:t>1</w:t>
      </w:r>
      <w:r>
        <w:rPr>
          <w:b/>
          <w:color w:val="auto"/>
        </w:rPr>
        <w:t xml:space="preserve">  </w:t>
      </w:r>
      <w:r>
        <w:rPr>
          <w:rFonts w:hint="eastAsia"/>
          <w:color w:val="auto"/>
        </w:rPr>
        <w:t>模块单元间接缝宜采用材料防水和构造防水相结合的做法；</w:t>
      </w:r>
    </w:p>
    <w:p w14:paraId="45556F52">
      <w:pPr>
        <w:spacing w:line="312" w:lineRule="auto"/>
        <w:ind w:firstLine="422" w:firstLineChars="200"/>
        <w:rPr>
          <w:color w:val="auto"/>
        </w:rPr>
      </w:pPr>
      <w:r>
        <w:rPr>
          <w:b/>
          <w:color w:val="auto"/>
        </w:rPr>
        <w:t xml:space="preserve">2  </w:t>
      </w:r>
      <w:r>
        <w:rPr>
          <w:rFonts w:hint="eastAsia"/>
          <w:color w:val="auto"/>
        </w:rPr>
        <w:t>模块单元间接缝处宜设置背衬材料，并用硅酮类耐候密封胶密封；</w:t>
      </w:r>
    </w:p>
    <w:p w14:paraId="745C0C86">
      <w:pPr>
        <w:spacing w:line="312" w:lineRule="auto"/>
        <w:ind w:firstLine="422" w:firstLineChars="200"/>
        <w:rPr>
          <w:b/>
          <w:color w:val="auto"/>
        </w:rPr>
      </w:pPr>
      <w:r>
        <w:rPr>
          <w:rFonts w:hint="eastAsia"/>
          <w:b/>
          <w:color w:val="auto"/>
        </w:rPr>
        <w:t>3</w:t>
      </w:r>
      <w:r>
        <w:rPr>
          <w:b/>
          <w:color w:val="auto"/>
        </w:rPr>
        <w:t xml:space="preserve">  </w:t>
      </w:r>
      <w:r>
        <w:rPr>
          <w:rFonts w:hint="eastAsia"/>
          <w:color w:val="auto"/>
        </w:rPr>
        <w:t>模块单元间接缝处的防水构造应满足使用期间的排水要求。</w:t>
      </w:r>
    </w:p>
    <w:p w14:paraId="5E781321">
      <w:pPr>
        <w:pStyle w:val="33"/>
        <w:rPr>
          <w:bCs/>
          <w:color w:val="auto"/>
          <w:szCs w:val="21"/>
        </w:rPr>
      </w:pPr>
      <w:r>
        <w:rPr>
          <w:color w:val="auto"/>
          <w:szCs w:val="21"/>
        </w:rPr>
        <w:t>【条文说明】</w:t>
      </w:r>
      <w:r>
        <w:rPr>
          <w:color w:val="auto"/>
        </w:rPr>
        <w:t>模块化建筑的防水设计应根据当地地理气候特征，合理应用防水材料，提高模块化建筑的防水技术水平，并为防水工程的设计、施工、验收等提供技术依据，满足安全环保，经济合理的要求。模块单元间的连接应考虑建筑使用要求及现场安装和维护检修的操作空间等因素，同时要采取有效的防水等安全措施。图</w:t>
      </w:r>
      <w:r>
        <w:rPr>
          <w:rFonts w:hint="eastAsia"/>
          <w:color w:val="auto"/>
        </w:rPr>
        <w:t>5</w:t>
      </w:r>
      <w:r>
        <w:rPr>
          <w:color w:val="auto"/>
        </w:rPr>
        <w:t>为</w:t>
      </w:r>
      <w:r>
        <w:rPr>
          <w:color w:val="auto"/>
          <w:szCs w:val="21"/>
        </w:rPr>
        <w:t>模块单元间外墙拼缝处常用的导水管设置方式示意图，仅供参考。</w:t>
      </w:r>
    </w:p>
    <w:p w14:paraId="1AAF2196">
      <w:pPr>
        <w:autoSpaceDE w:val="0"/>
        <w:autoSpaceDN w:val="0"/>
        <w:adjustRightInd w:val="0"/>
        <w:snapToGrid w:val="0"/>
        <w:jc w:val="center"/>
        <w:rPr>
          <w:rFonts w:eastAsia="黑体"/>
          <w:color w:val="auto"/>
          <w:kern w:val="0"/>
          <w:sz w:val="18"/>
          <w:szCs w:val="21"/>
        </w:rPr>
      </w:pPr>
      <w:r>
        <w:rPr>
          <w:color w:val="auto"/>
        </w:rPr>
        <w:drawing>
          <wp:inline distT="0" distB="0" distL="114300" distR="114300">
            <wp:extent cx="2999105" cy="1774825"/>
            <wp:effectExtent l="0" t="0" r="10795" b="15875"/>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16"/>
                    <a:stretch>
                      <a:fillRect/>
                    </a:stretch>
                  </pic:blipFill>
                  <pic:spPr>
                    <a:xfrm>
                      <a:off x="0" y="0"/>
                      <a:ext cx="2999105" cy="1774825"/>
                    </a:xfrm>
                    <a:prstGeom prst="rect">
                      <a:avLst/>
                    </a:prstGeom>
                    <a:noFill/>
                    <a:ln>
                      <a:noFill/>
                    </a:ln>
                  </pic:spPr>
                </pic:pic>
              </a:graphicData>
            </a:graphic>
          </wp:inline>
        </w:drawing>
      </w:r>
    </w:p>
    <w:p w14:paraId="028430C3">
      <w:pPr>
        <w:pStyle w:val="33"/>
        <w:ind w:firstLine="0" w:firstLineChars="0"/>
        <w:jc w:val="center"/>
        <w:rPr>
          <w:color w:val="auto"/>
          <w:szCs w:val="21"/>
        </w:rPr>
      </w:pPr>
      <w:r>
        <w:rPr>
          <w:color w:val="auto"/>
          <w:szCs w:val="21"/>
        </w:rPr>
        <w:t>1—发泡芯棒；2—防水密封胶；3—</w:t>
      </w:r>
      <w:r>
        <w:rPr>
          <w:rFonts w:hint="eastAsia"/>
          <w:color w:val="auto"/>
          <w:szCs w:val="21"/>
        </w:rPr>
        <w:t>通气管</w:t>
      </w:r>
      <w:r>
        <w:rPr>
          <w:color w:val="auto"/>
          <w:szCs w:val="21"/>
        </w:rPr>
        <w:t>；4—建筑外墙做法；5—预制外墙</w:t>
      </w:r>
      <w:r>
        <w:rPr>
          <w:rFonts w:hint="eastAsia"/>
          <w:color w:val="auto"/>
          <w:szCs w:val="21"/>
        </w:rPr>
        <w:t>；6</w:t>
      </w:r>
      <w:r>
        <w:rPr>
          <w:color w:val="auto"/>
          <w:szCs w:val="21"/>
        </w:rPr>
        <w:t>—</w:t>
      </w:r>
      <w:r>
        <w:rPr>
          <w:rFonts w:hint="eastAsia"/>
          <w:color w:val="auto"/>
          <w:szCs w:val="21"/>
        </w:rPr>
        <w:t>凹槽</w:t>
      </w:r>
    </w:p>
    <w:p w14:paraId="2BE01F77">
      <w:pPr>
        <w:pStyle w:val="33"/>
        <w:ind w:firstLine="0" w:firstLineChars="0"/>
        <w:jc w:val="center"/>
        <w:rPr>
          <w:color w:val="auto"/>
          <w:szCs w:val="21"/>
        </w:rPr>
      </w:pPr>
      <w:r>
        <w:rPr>
          <w:color w:val="auto"/>
          <w:szCs w:val="21"/>
        </w:rPr>
        <w:t>图5  模块单元外墙拼缝处</w:t>
      </w:r>
      <w:r>
        <w:rPr>
          <w:rFonts w:hint="eastAsia"/>
          <w:color w:val="auto"/>
          <w:szCs w:val="21"/>
        </w:rPr>
        <w:t>防水</w:t>
      </w:r>
      <w:r>
        <w:rPr>
          <w:color w:val="auto"/>
          <w:szCs w:val="21"/>
        </w:rPr>
        <w:t>设置示意</w:t>
      </w:r>
    </w:p>
    <w:p w14:paraId="0AE2E808">
      <w:pPr>
        <w:numPr>
          <w:ilvl w:val="0"/>
          <w:numId w:val="8"/>
        </w:numPr>
        <w:spacing w:line="312" w:lineRule="auto"/>
        <w:rPr>
          <w:color w:val="auto"/>
        </w:rPr>
      </w:pPr>
      <w:r>
        <w:rPr>
          <w:rFonts w:hint="eastAsia"/>
          <w:color w:val="auto"/>
        </w:rPr>
        <w:t>模块化建筑的连接与接口设计应符合下列规定：</w:t>
      </w:r>
    </w:p>
    <w:p w14:paraId="11F4A5C0">
      <w:pPr>
        <w:spacing w:line="312" w:lineRule="auto"/>
        <w:ind w:firstLine="422" w:firstLineChars="200"/>
        <w:jc w:val="left"/>
        <w:rPr>
          <w:color w:val="auto"/>
        </w:rPr>
      </w:pPr>
      <w:r>
        <w:rPr>
          <w:b/>
          <w:bCs/>
          <w:color w:val="auto"/>
        </w:rPr>
        <w:t xml:space="preserve">1 </w:t>
      </w:r>
      <w:r>
        <w:rPr>
          <w:color w:val="auto"/>
        </w:rPr>
        <w:t xml:space="preserve"> </w:t>
      </w:r>
      <w:r>
        <w:rPr>
          <w:rFonts w:hint="eastAsia"/>
          <w:color w:val="auto"/>
        </w:rPr>
        <w:t>应明确工厂加工与现场施工的交界面；</w:t>
      </w:r>
    </w:p>
    <w:p w14:paraId="62C8BDE9">
      <w:pPr>
        <w:spacing w:line="312" w:lineRule="auto"/>
        <w:ind w:firstLine="422" w:firstLineChars="200"/>
        <w:jc w:val="left"/>
        <w:rPr>
          <w:color w:val="auto"/>
        </w:rPr>
      </w:pPr>
      <w:r>
        <w:rPr>
          <w:b/>
          <w:color w:val="auto"/>
        </w:rPr>
        <w:t xml:space="preserve">2  </w:t>
      </w:r>
      <w:r>
        <w:rPr>
          <w:rFonts w:hint="eastAsia"/>
          <w:color w:val="auto"/>
        </w:rPr>
        <w:t>应为现场施工安装提供足够的施工及安全保护空间；</w:t>
      </w:r>
    </w:p>
    <w:p w14:paraId="22D6C34C">
      <w:pPr>
        <w:spacing w:line="312" w:lineRule="auto"/>
        <w:ind w:firstLine="422" w:firstLineChars="200"/>
        <w:jc w:val="left"/>
        <w:rPr>
          <w:color w:val="auto"/>
        </w:rPr>
      </w:pPr>
      <w:r>
        <w:rPr>
          <w:b/>
          <w:color w:val="auto"/>
        </w:rPr>
        <w:t xml:space="preserve">3  </w:t>
      </w:r>
      <w:r>
        <w:rPr>
          <w:rFonts w:hint="eastAsia"/>
          <w:color w:val="auto"/>
        </w:rPr>
        <w:t>宜留有检修口。</w:t>
      </w:r>
    </w:p>
    <w:p w14:paraId="72147233">
      <w:pPr>
        <w:spacing w:line="312" w:lineRule="auto"/>
        <w:ind w:firstLine="420" w:firstLineChars="200"/>
        <w:jc w:val="left"/>
        <w:rPr>
          <w:rFonts w:ascii="楷体" w:hAnsi="楷体" w:eastAsia="楷体" w:cs="楷体"/>
          <w:color w:val="auto"/>
        </w:rPr>
      </w:pPr>
      <w:r>
        <w:rPr>
          <w:rFonts w:hint="eastAsia" w:eastAsia="楷体"/>
          <w:color w:val="auto"/>
        </w:rPr>
        <w:t>【条文说明】</w:t>
      </w:r>
      <w:r>
        <w:rPr>
          <w:rFonts w:hint="eastAsia" w:ascii="楷体" w:hAnsi="楷体" w:eastAsia="楷体" w:cs="楷体"/>
          <w:color w:val="auto"/>
          <w:szCs w:val="21"/>
        </w:rPr>
        <w:t>模块化建筑接口设计应考虑设备及管线的安装位置和要求，并考虑模块单元的后期运维问题。设置检修口，主要目的是提供方便快捷的检修通道，确保各种管线、结构件和设备在装饰完成后仍能进行维护和检查。</w:t>
      </w:r>
    </w:p>
    <w:p w14:paraId="38A6DF1D">
      <w:pPr>
        <w:pStyle w:val="3"/>
        <w:rPr>
          <w:b/>
          <w:bCs w:val="0"/>
          <w:color w:val="auto"/>
        </w:rPr>
      </w:pPr>
      <w:bookmarkStart w:id="118" w:name="_Toc12812"/>
      <w:bookmarkStart w:id="119" w:name="_Toc1374"/>
      <w:bookmarkStart w:id="120" w:name="_Toc17543"/>
      <w:bookmarkStart w:id="121" w:name="_Toc12032"/>
      <w:bookmarkStart w:id="122" w:name="_Toc27114"/>
      <w:bookmarkStart w:id="123" w:name="_Toc3840"/>
      <w:bookmarkStart w:id="124" w:name="_Toc6598"/>
      <w:bookmarkStart w:id="125" w:name="_Toc2744"/>
      <w:bookmarkStart w:id="126" w:name="_Toc22501"/>
      <w:r>
        <w:rPr>
          <w:b/>
          <w:bCs w:val="0"/>
          <w:color w:val="auto"/>
        </w:rPr>
        <w:t>5</w:t>
      </w:r>
      <w:r>
        <w:rPr>
          <w:rFonts w:hint="eastAsia"/>
          <w:b/>
          <w:bCs w:val="0"/>
          <w:color w:val="auto"/>
        </w:rPr>
        <w:t>.</w:t>
      </w:r>
      <w:r>
        <w:rPr>
          <w:b/>
          <w:bCs w:val="0"/>
          <w:color w:val="auto"/>
        </w:rPr>
        <w:t>2</w:t>
      </w:r>
      <w:r>
        <w:rPr>
          <w:rFonts w:hint="eastAsia"/>
          <w:b/>
          <w:bCs w:val="0"/>
          <w:color w:val="auto"/>
        </w:rPr>
        <w:t xml:space="preserve">  </w:t>
      </w:r>
      <w:r>
        <w:rPr>
          <w:rFonts w:hint="eastAsia"/>
          <w:color w:val="auto"/>
        </w:rPr>
        <w:t>模数协调</w:t>
      </w:r>
      <w:bookmarkEnd w:id="118"/>
      <w:bookmarkEnd w:id="119"/>
      <w:bookmarkEnd w:id="120"/>
      <w:bookmarkEnd w:id="121"/>
      <w:bookmarkEnd w:id="122"/>
      <w:bookmarkEnd w:id="123"/>
      <w:bookmarkEnd w:id="124"/>
      <w:bookmarkEnd w:id="125"/>
      <w:bookmarkEnd w:id="126"/>
    </w:p>
    <w:p w14:paraId="7C1D4C7A">
      <w:pPr>
        <w:numPr>
          <w:ilvl w:val="0"/>
          <w:numId w:val="9"/>
        </w:numPr>
        <w:spacing w:line="312" w:lineRule="auto"/>
        <w:rPr>
          <w:color w:val="auto"/>
        </w:rPr>
      </w:pPr>
      <w:r>
        <w:rPr>
          <w:color w:val="auto"/>
        </w:rPr>
        <w:t>模块化建筑设计采用的模数数列应根据建筑功能和经济性原则确定</w:t>
      </w:r>
      <w:r>
        <w:rPr>
          <w:rFonts w:hint="eastAsia"/>
          <w:color w:val="auto"/>
        </w:rPr>
        <w:t>。</w:t>
      </w:r>
      <w:r>
        <w:rPr>
          <w:color w:val="auto"/>
        </w:rPr>
        <w:t>建筑设计应统筹考虑模数要求及</w:t>
      </w:r>
      <w:r>
        <w:rPr>
          <w:rFonts w:hint="eastAsia"/>
          <w:color w:val="auto"/>
        </w:rPr>
        <w:t>部品部件</w:t>
      </w:r>
      <w:r>
        <w:rPr>
          <w:color w:val="auto"/>
        </w:rPr>
        <w:t>的规格，</w:t>
      </w:r>
      <w:r>
        <w:rPr>
          <w:rFonts w:hint="eastAsia"/>
          <w:color w:val="auto"/>
        </w:rPr>
        <w:t>宜采用</w:t>
      </w:r>
      <w:r>
        <w:rPr>
          <w:color w:val="auto"/>
        </w:rPr>
        <w:t>标准化、</w:t>
      </w:r>
      <w:r>
        <w:rPr>
          <w:rFonts w:hint="eastAsia"/>
          <w:color w:val="auto"/>
        </w:rPr>
        <w:t>通用化</w:t>
      </w:r>
      <w:r>
        <w:rPr>
          <w:color w:val="auto"/>
        </w:rPr>
        <w:t>的</w:t>
      </w:r>
      <w:r>
        <w:rPr>
          <w:rFonts w:hint="eastAsia"/>
          <w:color w:val="auto"/>
        </w:rPr>
        <w:t>规格及</w:t>
      </w:r>
      <w:r>
        <w:rPr>
          <w:color w:val="auto"/>
        </w:rPr>
        <w:t>尺寸</w:t>
      </w:r>
      <w:r>
        <w:rPr>
          <w:rFonts w:hint="eastAsia"/>
          <w:color w:val="auto"/>
        </w:rPr>
        <w:t>。</w:t>
      </w:r>
    </w:p>
    <w:p w14:paraId="3AFD57AD">
      <w:pPr>
        <w:pStyle w:val="33"/>
        <w:rPr>
          <w:color w:val="auto"/>
        </w:rPr>
      </w:pPr>
      <w:r>
        <w:rPr>
          <w:rFonts w:hint="eastAsia" w:ascii="楷体" w:hAnsi="楷体" w:cs="楷体"/>
          <w:color w:val="auto"/>
          <w:szCs w:val="21"/>
        </w:rPr>
        <w:t>【条文说明】</w:t>
      </w:r>
      <w:r>
        <w:rPr>
          <w:rFonts w:hint="eastAsia"/>
          <w:color w:val="auto"/>
        </w:rPr>
        <w:t>模数协调是为了提高原材料利用率，减少其规格种类，提高组成模块单元的部品部件的通用性，并在符合标准化设计的同时满足建筑的多样性。</w:t>
      </w:r>
    </w:p>
    <w:p w14:paraId="297488F3">
      <w:pPr>
        <w:numPr>
          <w:ilvl w:val="0"/>
          <w:numId w:val="9"/>
        </w:numPr>
        <w:spacing w:line="312" w:lineRule="auto"/>
        <w:rPr>
          <w:color w:val="auto"/>
        </w:rPr>
      </w:pPr>
      <w:r>
        <w:rPr>
          <w:rFonts w:hint="eastAsia"/>
          <w:color w:val="auto"/>
        </w:rPr>
        <w:t>模数协调宜采用模数网格建立正交的三维空间模数参考系统，并应符合下列规定：</w:t>
      </w:r>
    </w:p>
    <w:p w14:paraId="7FD715D0">
      <w:pPr>
        <w:spacing w:line="312" w:lineRule="auto"/>
        <w:ind w:firstLine="422" w:firstLineChars="200"/>
        <w:rPr>
          <w:color w:val="auto"/>
        </w:rPr>
      </w:pPr>
      <w:r>
        <w:rPr>
          <w:rFonts w:eastAsia="黑体"/>
          <w:b/>
          <w:color w:val="auto"/>
        </w:rPr>
        <w:t xml:space="preserve">1  </w:t>
      </w:r>
      <w:r>
        <w:rPr>
          <w:rFonts w:hint="eastAsia"/>
          <w:color w:val="auto"/>
        </w:rPr>
        <w:t>空间模数参考系统中模数网格的基本模数宜采用1M（</w:t>
      </w:r>
      <w:r>
        <w:rPr>
          <w:color w:val="auto"/>
        </w:rPr>
        <w:t>1M</w:t>
      </w:r>
      <w:r>
        <w:rPr>
          <w:rFonts w:hint="eastAsia"/>
          <w:color w:val="auto"/>
        </w:rPr>
        <w:t>等于</w:t>
      </w:r>
      <w:r>
        <w:rPr>
          <w:color w:val="auto"/>
        </w:rPr>
        <w:t>100mm</w:t>
      </w:r>
      <w:r>
        <w:rPr>
          <w:rFonts w:hint="eastAsia"/>
          <w:color w:val="auto"/>
        </w:rPr>
        <w:t>），模块单元及其内装部品在空间模数参考系统中确定模数协调的安装基准面时，宜以此为依据；</w:t>
      </w:r>
    </w:p>
    <w:p w14:paraId="587244AD">
      <w:pPr>
        <w:spacing w:line="312" w:lineRule="auto"/>
        <w:ind w:firstLine="422" w:firstLineChars="200"/>
        <w:rPr>
          <w:color w:val="auto"/>
        </w:rPr>
      </w:pPr>
      <w:r>
        <w:rPr>
          <w:rFonts w:eastAsia="黑体"/>
          <w:b/>
          <w:color w:val="auto"/>
        </w:rPr>
        <w:t xml:space="preserve">2  </w:t>
      </w:r>
      <w:r>
        <w:rPr>
          <w:color w:val="auto"/>
        </w:rPr>
        <w:t>空间模数参考系统中</w:t>
      </w:r>
      <w:r>
        <w:rPr>
          <w:rFonts w:hint="eastAsia"/>
          <w:color w:val="auto"/>
        </w:rPr>
        <w:t>模数</w:t>
      </w:r>
      <w:r>
        <w:rPr>
          <w:color w:val="auto"/>
        </w:rPr>
        <w:t>网格的</w:t>
      </w:r>
      <w:r>
        <w:rPr>
          <w:rFonts w:hint="eastAsia"/>
          <w:color w:val="auto"/>
        </w:rPr>
        <w:t>扩大</w:t>
      </w:r>
      <w:r>
        <w:rPr>
          <w:color w:val="auto"/>
        </w:rPr>
        <w:t>模数</w:t>
      </w:r>
      <w:r>
        <w:rPr>
          <w:rFonts w:hint="eastAsia"/>
          <w:color w:val="auto"/>
        </w:rPr>
        <w:t>宜</w:t>
      </w:r>
      <w:r>
        <w:rPr>
          <w:color w:val="auto"/>
        </w:rPr>
        <w:t>采用2M、3M的扩大模数数列；</w:t>
      </w:r>
    </w:p>
    <w:p w14:paraId="40F5FCA0">
      <w:pPr>
        <w:spacing w:line="312" w:lineRule="auto"/>
        <w:ind w:firstLine="422" w:firstLineChars="200"/>
        <w:rPr>
          <w:color w:val="auto"/>
        </w:rPr>
      </w:pPr>
      <w:r>
        <w:rPr>
          <w:rFonts w:eastAsia="黑体"/>
          <w:b/>
          <w:color w:val="auto"/>
        </w:rPr>
        <w:t xml:space="preserve">3  </w:t>
      </w:r>
      <w:r>
        <w:rPr>
          <w:rFonts w:hint="eastAsia"/>
          <w:color w:val="auto"/>
        </w:rPr>
        <w:t>每个模块单元及其内装部品的安装基准面宜在空间模数参考系统中确定，模块单元之间、模块单元与内装系统之间以及各个内装系统之间的模数协调关系宜通过标准化接口和公差系统确立。</w:t>
      </w:r>
    </w:p>
    <w:p w14:paraId="505BED56">
      <w:pPr>
        <w:pStyle w:val="33"/>
        <w:rPr>
          <w:color w:val="auto"/>
        </w:rPr>
      </w:pPr>
      <w:r>
        <w:rPr>
          <w:rFonts w:hint="eastAsia" w:ascii="楷体" w:hAnsi="楷体" w:cs="楷体"/>
          <w:color w:val="auto"/>
          <w:szCs w:val="21"/>
        </w:rPr>
        <w:t>【条文说明】</w:t>
      </w:r>
      <w:r>
        <w:rPr>
          <w:rFonts w:hint="eastAsia"/>
          <w:color w:val="auto"/>
        </w:rPr>
        <w:t>工业化建筑的前提是标准化，只有实现了标准化，才可能实现工业化的规模化生产。目前，工业发达国家水平方向的协调尺寸基本全部采用3M。根据我国的国情，本标准提出在模块化建筑中的空间模数参考系统以基本模数1M作为基础，有条件时可以采用2M和3M作为模数网格的基本尺寸。</w:t>
      </w:r>
    </w:p>
    <w:p w14:paraId="585119C4">
      <w:pPr>
        <w:pStyle w:val="33"/>
        <w:rPr>
          <w:color w:val="auto"/>
        </w:rPr>
      </w:pPr>
      <w:r>
        <w:rPr>
          <w:rFonts w:hint="eastAsia"/>
          <w:color w:val="auto"/>
        </w:rPr>
        <w:t>模数空间参考系统中三个方向的模数参考平面所采用的模数网格尺寸可以是不同的，将模块单元及其部品部件置于此空间参考系统中进行模数协调，通过节点和接口使其相互和谐地配合工作，使设计、施工及安装等各个环节的配合简单、明确、可靠，达到建造的高效率和经济性，见图6。</w:t>
      </w:r>
    </w:p>
    <w:p w14:paraId="4F8B5990">
      <w:pPr>
        <w:snapToGrid w:val="0"/>
        <w:ind w:firstLine="315" w:firstLineChars="150"/>
        <w:jc w:val="center"/>
        <w:rPr>
          <w:color w:val="auto"/>
        </w:rPr>
      </w:pPr>
      <w:r>
        <w:rPr>
          <w:color w:val="auto"/>
        </w:rPr>
        <w:drawing>
          <wp:inline distT="0" distB="0" distL="114300" distR="114300">
            <wp:extent cx="2626995" cy="2520315"/>
            <wp:effectExtent l="0" t="0" r="1905" b="13335"/>
            <wp:docPr id="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pic:cNvPicPr>
                      <a:picLocks noChangeAspect="1"/>
                    </pic:cNvPicPr>
                  </pic:nvPicPr>
                  <pic:blipFill>
                    <a:blip r:embed="rId17"/>
                    <a:stretch>
                      <a:fillRect/>
                    </a:stretch>
                  </pic:blipFill>
                  <pic:spPr>
                    <a:xfrm>
                      <a:off x="0" y="0"/>
                      <a:ext cx="2626995" cy="2520315"/>
                    </a:xfrm>
                    <a:prstGeom prst="rect">
                      <a:avLst/>
                    </a:prstGeom>
                    <a:noFill/>
                    <a:ln>
                      <a:noFill/>
                    </a:ln>
                  </pic:spPr>
                </pic:pic>
              </a:graphicData>
            </a:graphic>
          </wp:inline>
        </w:drawing>
      </w:r>
    </w:p>
    <w:p w14:paraId="4875A63C">
      <w:pPr>
        <w:pStyle w:val="26"/>
        <w:rPr>
          <w:rFonts w:eastAsia="楷体"/>
          <w:color w:val="auto"/>
          <w:sz w:val="21"/>
          <w:szCs w:val="24"/>
        </w:rPr>
      </w:pPr>
      <w:r>
        <w:rPr>
          <w:rFonts w:eastAsia="楷体"/>
          <w:color w:val="auto"/>
          <w:sz w:val="21"/>
          <w:szCs w:val="24"/>
        </w:rPr>
        <w:t>图</w:t>
      </w:r>
      <w:r>
        <w:rPr>
          <w:rFonts w:hint="eastAsia" w:eastAsia="楷体"/>
          <w:bCs/>
          <w:color w:val="auto"/>
          <w:sz w:val="21"/>
          <w:szCs w:val="24"/>
        </w:rPr>
        <w:t>6</w:t>
      </w:r>
      <w:r>
        <w:rPr>
          <w:rFonts w:eastAsia="楷体"/>
          <w:color w:val="auto"/>
          <w:sz w:val="21"/>
          <w:szCs w:val="24"/>
        </w:rPr>
        <w:t xml:space="preserve">  模块单元及其内装部品定位的空间模数参考系统</w:t>
      </w:r>
    </w:p>
    <w:p w14:paraId="1949B87A">
      <w:pPr>
        <w:pStyle w:val="26"/>
        <w:rPr>
          <w:rFonts w:eastAsia="楷体"/>
          <w:color w:val="auto"/>
          <w:sz w:val="21"/>
          <w:szCs w:val="24"/>
        </w:rPr>
      </w:pPr>
      <w:r>
        <w:rPr>
          <w:rFonts w:eastAsia="楷体"/>
          <w:color w:val="auto"/>
          <w:sz w:val="21"/>
          <w:szCs w:val="24"/>
        </w:rPr>
        <w:t>n—自然数；M—基本模数</w:t>
      </w:r>
    </w:p>
    <w:p w14:paraId="0814E8BF">
      <w:pPr>
        <w:numPr>
          <w:ilvl w:val="0"/>
          <w:numId w:val="9"/>
        </w:numPr>
        <w:spacing w:line="312" w:lineRule="auto"/>
        <w:rPr>
          <w:color w:val="auto"/>
        </w:rPr>
      </w:pPr>
      <w:r>
        <w:rPr>
          <w:rFonts w:hint="eastAsia"/>
          <w:color w:val="auto"/>
        </w:rPr>
        <w:t>模块单元沿水平方向的定位尺寸应符合下列规定：</w:t>
      </w:r>
    </w:p>
    <w:p w14:paraId="27D44F4E">
      <w:pPr>
        <w:spacing w:line="312" w:lineRule="auto"/>
        <w:ind w:firstLine="422" w:firstLineChars="200"/>
        <w:rPr>
          <w:color w:val="auto"/>
        </w:rPr>
      </w:pPr>
      <w:r>
        <w:rPr>
          <w:rFonts w:eastAsia="黑体"/>
          <w:b/>
          <w:color w:val="auto"/>
        </w:rPr>
        <w:t xml:space="preserve">1 </w:t>
      </w:r>
      <w:r>
        <w:rPr>
          <w:rFonts w:hint="eastAsia" w:eastAsia="黑体"/>
          <w:b/>
          <w:color w:val="auto"/>
        </w:rPr>
        <w:t xml:space="preserve"> </w:t>
      </w:r>
      <w:r>
        <w:rPr>
          <w:rFonts w:hint="eastAsia"/>
          <w:color w:val="auto"/>
        </w:rPr>
        <w:t>模块单元沿水平方向的定位基准面宜采用中心线定位法与界面定位法结合的方法，中心线应定位于模块单元间接口的中间位置，界面宜定位于模块单元的两侧内表面（图</w:t>
      </w:r>
      <w:r>
        <w:rPr>
          <w:color w:val="auto"/>
        </w:rPr>
        <w:t>5.2.</w:t>
      </w:r>
      <w:r>
        <w:rPr>
          <w:rFonts w:hint="eastAsia"/>
          <w:color w:val="auto"/>
        </w:rPr>
        <w:t>3</w:t>
      </w:r>
      <w:r>
        <w:rPr>
          <w:color w:val="auto"/>
        </w:rPr>
        <w:t>）；</w:t>
      </w:r>
    </w:p>
    <w:p w14:paraId="4CE0B904">
      <w:pPr>
        <w:spacing w:line="312" w:lineRule="auto"/>
        <w:ind w:firstLine="422" w:firstLineChars="200"/>
        <w:rPr>
          <w:color w:val="auto"/>
        </w:rPr>
      </w:pPr>
      <w:r>
        <w:rPr>
          <w:rFonts w:hint="eastAsia"/>
          <w:b/>
          <w:color w:val="auto"/>
        </w:rPr>
        <w:t>2</w:t>
      </w:r>
      <w:r>
        <w:rPr>
          <w:b/>
          <w:color w:val="auto"/>
        </w:rPr>
        <w:t xml:space="preserve"> </w:t>
      </w:r>
      <w:r>
        <w:rPr>
          <w:rFonts w:hint="eastAsia"/>
          <w:b/>
          <w:color w:val="auto"/>
        </w:rPr>
        <w:t xml:space="preserve"> </w:t>
      </w:r>
      <w:r>
        <w:rPr>
          <w:rFonts w:hint="eastAsia"/>
          <w:color w:val="auto"/>
        </w:rPr>
        <w:t>模块化建筑平面中相邻中心线间距尺寸应等于模块单元内部净尺寸、模块两侧墙体厚度与模块单元之间接口尺寸之和；</w:t>
      </w:r>
    </w:p>
    <w:p w14:paraId="217831F4">
      <w:pPr>
        <w:spacing w:line="312" w:lineRule="auto"/>
        <w:ind w:firstLine="422" w:firstLineChars="200"/>
        <w:rPr>
          <w:color w:val="auto"/>
          <w:kern w:val="0"/>
          <w:szCs w:val="24"/>
        </w:rPr>
      </w:pPr>
      <w:r>
        <w:rPr>
          <w:rFonts w:eastAsia="黑体"/>
          <w:b/>
          <w:color w:val="auto"/>
        </w:rPr>
        <w:t xml:space="preserve">3 </w:t>
      </w:r>
      <w:r>
        <w:rPr>
          <w:rFonts w:hint="eastAsia" w:eastAsia="黑体"/>
          <w:b/>
          <w:color w:val="auto"/>
        </w:rPr>
        <w:t xml:space="preserve"> </w:t>
      </w:r>
      <w:r>
        <w:rPr>
          <w:rFonts w:hint="eastAsia"/>
          <w:color w:val="auto"/>
        </w:rPr>
        <w:t>模块化建筑平面中</w:t>
      </w:r>
      <w:r>
        <w:rPr>
          <w:rFonts w:hint="eastAsia"/>
          <w:color w:val="auto"/>
          <w:kern w:val="0"/>
          <w:szCs w:val="24"/>
        </w:rPr>
        <w:t>相邻模块单元之间的接口尺寸宜为2</w:t>
      </w:r>
      <w:r>
        <w:rPr>
          <w:color w:val="auto"/>
          <w:kern w:val="0"/>
          <w:szCs w:val="24"/>
        </w:rPr>
        <w:t>0</w:t>
      </w:r>
      <w:r>
        <w:rPr>
          <w:rFonts w:hint="eastAsia"/>
          <w:color w:val="auto"/>
          <w:kern w:val="0"/>
          <w:szCs w:val="24"/>
        </w:rPr>
        <w:t>mm；</w:t>
      </w:r>
    </w:p>
    <w:p w14:paraId="7FEC7BA0">
      <w:pPr>
        <w:spacing w:line="312" w:lineRule="auto"/>
        <w:ind w:firstLine="422" w:firstLineChars="200"/>
        <w:rPr>
          <w:color w:val="auto"/>
          <w:kern w:val="0"/>
          <w:szCs w:val="24"/>
        </w:rPr>
      </w:pPr>
      <w:r>
        <w:rPr>
          <w:rFonts w:eastAsia="黑体"/>
          <w:b/>
          <w:color w:val="auto"/>
        </w:rPr>
        <w:t xml:space="preserve">4 </w:t>
      </w:r>
      <w:r>
        <w:rPr>
          <w:rFonts w:hint="eastAsia" w:eastAsia="黑体"/>
          <w:b/>
          <w:color w:val="auto"/>
        </w:rPr>
        <w:t xml:space="preserve"> </w:t>
      </w:r>
      <w:r>
        <w:rPr>
          <w:rFonts w:hint="eastAsia"/>
          <w:color w:val="auto"/>
        </w:rPr>
        <w:t>模块化建筑平面中宜优先满足</w:t>
      </w:r>
      <w:r>
        <w:rPr>
          <w:rFonts w:hint="eastAsia"/>
          <w:color w:val="auto"/>
          <w:kern w:val="0"/>
          <w:szCs w:val="24"/>
        </w:rPr>
        <w:t>净尺寸模数，再满足</w:t>
      </w:r>
      <w:bookmarkStart w:id="127" w:name="OLE_LINK3"/>
      <w:bookmarkStart w:id="128" w:name="OLE_LINK4"/>
      <w:r>
        <w:rPr>
          <w:rFonts w:hint="eastAsia"/>
          <w:color w:val="auto"/>
          <w:kern w:val="0"/>
          <w:szCs w:val="24"/>
        </w:rPr>
        <w:t>标志尺寸</w:t>
      </w:r>
      <w:bookmarkEnd w:id="127"/>
      <w:bookmarkEnd w:id="128"/>
      <w:r>
        <w:rPr>
          <w:rFonts w:hint="eastAsia"/>
          <w:color w:val="auto"/>
          <w:kern w:val="0"/>
          <w:szCs w:val="24"/>
        </w:rPr>
        <w:t>模数。</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A1DE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vAlign w:val="center"/>
          </w:tcPr>
          <w:p w14:paraId="3FFD6E08">
            <w:pPr>
              <w:jc w:val="center"/>
              <w:rPr>
                <w:color w:val="auto"/>
                <w:kern w:val="0"/>
                <w:sz w:val="20"/>
                <w:szCs w:val="24"/>
              </w:rPr>
            </w:pPr>
            <w:r>
              <w:rPr>
                <w:color w:val="auto"/>
              </w:rPr>
              <w:object>
                <v:shape id="_x0000_i1025" o:spt="75" type="#_x0000_t75" style="height:168.75pt;width:311.25pt;" o:ole="t" filled="f" o:preferrelative="t" stroked="f" coordsize="21600,21600">
                  <v:path/>
                  <v:fill on="f" focussize="0,0"/>
                  <v:stroke on="f" joinstyle="miter"/>
                  <v:imagedata r:id="rId19" o:title=""/>
                  <o:lock v:ext="edit" aspectratio="t"/>
                  <w10:wrap type="none"/>
                  <w10:anchorlock/>
                </v:shape>
                <o:OLEObject Type="Embed" ProgID="Visio.Drawing.15" ShapeID="_x0000_i1025" DrawAspect="Content" ObjectID="_1468075725" r:id="rId18">
                  <o:LockedField>false</o:LockedField>
                </o:OLEObject>
              </w:object>
            </w:r>
          </w:p>
        </w:tc>
      </w:tr>
    </w:tbl>
    <w:p w14:paraId="33AE0E7D">
      <w:pPr>
        <w:adjustRightInd w:val="0"/>
        <w:snapToGrid w:val="0"/>
        <w:spacing w:line="400" w:lineRule="exact"/>
        <w:jc w:val="center"/>
        <w:rPr>
          <w:rFonts w:ascii="黑体" w:hAnsi="黑体" w:eastAsia="黑体"/>
          <w:color w:val="auto"/>
          <w:kern w:val="0"/>
          <w:sz w:val="18"/>
          <w:szCs w:val="21"/>
        </w:rPr>
      </w:pPr>
      <w:r>
        <w:rPr>
          <w:rFonts w:ascii="黑体" w:hAnsi="黑体" w:eastAsia="黑体"/>
          <w:color w:val="auto"/>
          <w:sz w:val="18"/>
          <w:szCs w:val="21"/>
        </w:rPr>
        <w:t>图</w:t>
      </w:r>
      <w:r>
        <w:rPr>
          <w:b/>
          <w:color w:val="auto"/>
          <w:sz w:val="18"/>
          <w:szCs w:val="21"/>
        </w:rPr>
        <w:t>5</w:t>
      </w:r>
      <w:r>
        <w:rPr>
          <w:rFonts w:ascii="宋体" w:hAnsi="宋体"/>
          <w:b/>
          <w:color w:val="auto"/>
          <w:sz w:val="18"/>
          <w:szCs w:val="21"/>
        </w:rPr>
        <w:t>.</w:t>
      </w:r>
      <w:r>
        <w:rPr>
          <w:b/>
          <w:color w:val="auto"/>
          <w:sz w:val="18"/>
          <w:szCs w:val="21"/>
        </w:rPr>
        <w:t>2</w:t>
      </w:r>
      <w:r>
        <w:rPr>
          <w:rFonts w:ascii="宋体" w:hAnsi="宋体"/>
          <w:b/>
          <w:color w:val="auto"/>
          <w:sz w:val="18"/>
          <w:szCs w:val="21"/>
        </w:rPr>
        <w:t>.</w:t>
      </w:r>
      <w:r>
        <w:rPr>
          <w:b/>
          <w:color w:val="auto"/>
          <w:sz w:val="18"/>
          <w:szCs w:val="21"/>
        </w:rPr>
        <w:t>3</w:t>
      </w:r>
      <w:r>
        <w:rPr>
          <w:color w:val="auto"/>
          <w:sz w:val="18"/>
          <w:szCs w:val="21"/>
        </w:rPr>
        <w:t xml:space="preserve">  </w:t>
      </w:r>
      <w:r>
        <w:rPr>
          <w:rFonts w:ascii="黑体" w:hAnsi="黑体" w:eastAsia="黑体"/>
          <w:color w:val="auto"/>
          <w:kern w:val="0"/>
          <w:sz w:val="18"/>
          <w:szCs w:val="21"/>
        </w:rPr>
        <w:t>模块单元的定位轴线示意图</w:t>
      </w:r>
    </w:p>
    <w:p w14:paraId="248DD603">
      <w:pPr>
        <w:spacing w:line="400" w:lineRule="exact"/>
        <w:jc w:val="center"/>
        <w:rPr>
          <w:rFonts w:eastAsia="黑体" w:cs="黑体"/>
          <w:bCs/>
          <w:color w:val="auto"/>
          <w:sz w:val="18"/>
          <w:szCs w:val="18"/>
        </w:rPr>
      </w:pPr>
      <w:r>
        <w:rPr>
          <w:rFonts w:hint="eastAsia" w:eastAsia="黑体" w:cs="黑体"/>
          <w:bCs/>
          <w:i/>
          <w:iCs/>
          <w:color w:val="auto"/>
          <w:sz w:val="18"/>
          <w:szCs w:val="18"/>
        </w:rPr>
        <w:t>L</w:t>
      </w:r>
      <w:r>
        <w:rPr>
          <w:rFonts w:hint="eastAsia" w:eastAsia="黑体" w:cs="黑体"/>
          <w:bCs/>
          <w:color w:val="auto"/>
          <w:sz w:val="18"/>
          <w:szCs w:val="18"/>
        </w:rPr>
        <w:t>—竖向中心线间距；</w:t>
      </w:r>
      <w:r>
        <w:rPr>
          <w:rFonts w:hint="eastAsia" w:eastAsia="黑体" w:cs="黑体"/>
          <w:bCs/>
          <w:i/>
          <w:iCs/>
          <w:color w:val="auto"/>
          <w:sz w:val="18"/>
          <w:szCs w:val="18"/>
        </w:rPr>
        <w:t>W</w:t>
      </w:r>
      <w:r>
        <w:rPr>
          <w:rFonts w:hint="eastAsia" w:eastAsia="黑体" w:cs="黑体"/>
          <w:bCs/>
          <w:color w:val="auto"/>
          <w:sz w:val="18"/>
          <w:szCs w:val="18"/>
        </w:rPr>
        <w:t>—横向中心线间距；</w:t>
      </w:r>
      <w:r>
        <w:rPr>
          <w:rFonts w:hint="eastAsia" w:eastAsia="黑体" w:cs="黑体"/>
          <w:bCs/>
          <w:i/>
          <w:iCs/>
          <w:color w:val="auto"/>
          <w:sz w:val="18"/>
          <w:szCs w:val="18"/>
        </w:rPr>
        <w:t>L</w:t>
      </w:r>
      <w:r>
        <w:rPr>
          <w:rFonts w:hint="eastAsia" w:eastAsia="黑体" w:cs="黑体"/>
          <w:bCs/>
          <w:i/>
          <w:iCs/>
          <w:color w:val="auto"/>
          <w:sz w:val="18"/>
          <w:szCs w:val="18"/>
          <w:vertAlign w:val="subscript"/>
        </w:rPr>
        <w:t>a</w:t>
      </w:r>
      <w:r>
        <w:rPr>
          <w:rFonts w:hint="eastAsia" w:eastAsia="黑体" w:cs="黑体"/>
          <w:bCs/>
          <w:color w:val="auto"/>
          <w:sz w:val="18"/>
          <w:szCs w:val="18"/>
        </w:rPr>
        <w:t>—模块单元内部净长度；</w:t>
      </w:r>
    </w:p>
    <w:p w14:paraId="52EFF421">
      <w:pPr>
        <w:spacing w:line="400" w:lineRule="exact"/>
        <w:jc w:val="center"/>
        <w:rPr>
          <w:rFonts w:eastAsia="黑体" w:cs="黑体"/>
          <w:bCs/>
          <w:color w:val="auto"/>
          <w:sz w:val="18"/>
          <w:szCs w:val="18"/>
        </w:rPr>
      </w:pPr>
      <w:r>
        <w:rPr>
          <w:rFonts w:hint="eastAsia" w:eastAsia="黑体" w:cs="黑体"/>
          <w:bCs/>
          <w:i/>
          <w:iCs/>
          <w:color w:val="auto"/>
          <w:sz w:val="18"/>
          <w:szCs w:val="18"/>
        </w:rPr>
        <w:t>W</w:t>
      </w:r>
      <w:r>
        <w:rPr>
          <w:rFonts w:hint="eastAsia" w:eastAsia="黑体" w:cs="黑体"/>
          <w:bCs/>
          <w:i/>
          <w:iCs/>
          <w:color w:val="auto"/>
          <w:sz w:val="18"/>
          <w:szCs w:val="18"/>
          <w:vertAlign w:val="subscript"/>
        </w:rPr>
        <w:t>a</w:t>
      </w:r>
      <w:r>
        <w:rPr>
          <w:rFonts w:hint="eastAsia" w:eastAsia="黑体" w:cs="黑体"/>
          <w:bCs/>
          <w:color w:val="auto"/>
          <w:sz w:val="18"/>
          <w:szCs w:val="18"/>
        </w:rPr>
        <w:t>—模块单元内部净宽度；</w:t>
      </w:r>
      <w:r>
        <w:rPr>
          <w:rFonts w:eastAsia="黑体" w:cs="黑体"/>
          <w:bCs/>
          <w:color w:val="auto"/>
          <w:sz w:val="18"/>
          <w:szCs w:val="18"/>
        </w:rPr>
        <w:t>1</w:t>
      </w:r>
      <w:r>
        <w:rPr>
          <w:rFonts w:hint="eastAsia" w:eastAsia="黑体" w:cs="黑体"/>
          <w:bCs/>
          <w:color w:val="auto"/>
          <w:sz w:val="18"/>
          <w:szCs w:val="18"/>
        </w:rPr>
        <w:t>—模块单元；</w:t>
      </w:r>
    </w:p>
    <w:bookmarkEnd w:id="108"/>
    <w:p w14:paraId="4EBF49EE">
      <w:pPr>
        <w:numPr>
          <w:ilvl w:val="0"/>
          <w:numId w:val="9"/>
        </w:numPr>
        <w:spacing w:line="312" w:lineRule="auto"/>
        <w:rPr>
          <w:color w:val="auto"/>
        </w:rPr>
      </w:pPr>
      <w:r>
        <w:rPr>
          <w:color w:val="auto"/>
        </w:rPr>
        <w:t>模块单元的平面尺寸</w:t>
      </w:r>
      <w:r>
        <w:rPr>
          <w:rFonts w:hint="eastAsia"/>
          <w:color w:val="auto"/>
        </w:rPr>
        <w:t>宜符合表5</w:t>
      </w:r>
      <w:r>
        <w:rPr>
          <w:color w:val="auto"/>
        </w:rPr>
        <w:t>.2.4</w:t>
      </w:r>
      <w:r>
        <w:rPr>
          <w:rFonts w:hint="eastAsia"/>
          <w:color w:val="auto"/>
        </w:rPr>
        <w:t>的规定</w:t>
      </w:r>
      <w:r>
        <w:rPr>
          <w:color w:val="auto"/>
        </w:rPr>
        <w:t>。</w:t>
      </w:r>
    </w:p>
    <w:p w14:paraId="7FF9800F">
      <w:pPr>
        <w:tabs>
          <w:tab w:val="left" w:pos="2652"/>
          <w:tab w:val="center" w:pos="4629"/>
        </w:tabs>
        <w:jc w:val="center"/>
        <w:rPr>
          <w:rFonts w:eastAsia="黑体" w:cs="黑体"/>
          <w:bCs/>
          <w:color w:val="auto"/>
          <w:sz w:val="18"/>
          <w:szCs w:val="18"/>
        </w:rPr>
      </w:pPr>
      <w:r>
        <w:rPr>
          <w:rFonts w:hint="eastAsia" w:eastAsia="黑体" w:cs="黑体"/>
          <w:bCs/>
          <w:color w:val="auto"/>
          <w:sz w:val="18"/>
          <w:szCs w:val="18"/>
        </w:rPr>
        <w:t>表</w:t>
      </w:r>
      <w:r>
        <w:rPr>
          <w:rFonts w:eastAsia="黑体"/>
          <w:b/>
          <w:color w:val="auto"/>
          <w:sz w:val="18"/>
        </w:rPr>
        <w:t>5</w:t>
      </w:r>
      <w:r>
        <w:rPr>
          <w:rFonts w:ascii="宋体" w:hAnsi="宋体"/>
          <w:b/>
          <w:color w:val="auto"/>
          <w:sz w:val="18"/>
        </w:rPr>
        <w:t>.</w:t>
      </w:r>
      <w:r>
        <w:rPr>
          <w:rFonts w:eastAsia="黑体"/>
          <w:b/>
          <w:color w:val="auto"/>
          <w:sz w:val="18"/>
        </w:rPr>
        <w:t>2</w:t>
      </w:r>
      <w:r>
        <w:rPr>
          <w:rFonts w:ascii="宋体" w:hAnsi="宋体"/>
          <w:b/>
          <w:color w:val="auto"/>
          <w:sz w:val="18"/>
        </w:rPr>
        <w:t>.</w:t>
      </w:r>
      <w:r>
        <w:rPr>
          <w:rFonts w:eastAsia="黑体"/>
          <w:b/>
          <w:color w:val="auto"/>
          <w:sz w:val="18"/>
        </w:rPr>
        <w:t>4</w:t>
      </w:r>
      <w:r>
        <w:rPr>
          <w:rFonts w:eastAsia="黑体" w:cs="黑体"/>
          <w:bCs/>
          <w:color w:val="auto"/>
          <w:sz w:val="18"/>
          <w:szCs w:val="18"/>
        </w:rPr>
        <w:t xml:space="preserve"> </w:t>
      </w:r>
      <w:r>
        <w:rPr>
          <w:rFonts w:hint="eastAsia" w:eastAsia="黑体" w:cs="黑体"/>
          <w:bCs/>
          <w:color w:val="auto"/>
          <w:sz w:val="18"/>
          <w:szCs w:val="18"/>
        </w:rPr>
        <w:t xml:space="preserve"> 模块单元平面尺寸选用模数</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51"/>
        <w:gridCol w:w="2551"/>
        <w:gridCol w:w="2551"/>
      </w:tblGrid>
      <w:tr w14:paraId="1C1B48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1" w:type="dxa"/>
            <w:vAlign w:val="center"/>
          </w:tcPr>
          <w:p w14:paraId="457B24C5">
            <w:pPr>
              <w:snapToGrid w:val="0"/>
              <w:jc w:val="center"/>
              <w:rPr>
                <w:color w:val="auto"/>
                <w:kern w:val="0"/>
                <w:sz w:val="15"/>
                <w:szCs w:val="15"/>
              </w:rPr>
            </w:pPr>
            <w:r>
              <w:rPr>
                <w:rFonts w:hint="eastAsia"/>
                <w:color w:val="auto"/>
                <w:kern w:val="0"/>
                <w:sz w:val="15"/>
                <w:szCs w:val="15"/>
              </w:rPr>
              <w:t>平面尺寸</w:t>
            </w:r>
          </w:p>
        </w:tc>
        <w:tc>
          <w:tcPr>
            <w:tcW w:w="2551" w:type="dxa"/>
            <w:vAlign w:val="center"/>
          </w:tcPr>
          <w:p w14:paraId="56A79FCA">
            <w:pPr>
              <w:snapToGrid w:val="0"/>
              <w:jc w:val="center"/>
              <w:rPr>
                <w:color w:val="auto"/>
                <w:kern w:val="0"/>
                <w:sz w:val="15"/>
                <w:szCs w:val="15"/>
              </w:rPr>
            </w:pPr>
            <w:r>
              <w:rPr>
                <w:rFonts w:hint="eastAsia"/>
                <w:color w:val="auto"/>
                <w:kern w:val="0"/>
                <w:sz w:val="15"/>
                <w:szCs w:val="15"/>
              </w:rPr>
              <w:t>开间</w:t>
            </w:r>
          </w:p>
        </w:tc>
        <w:tc>
          <w:tcPr>
            <w:tcW w:w="2551" w:type="dxa"/>
            <w:vAlign w:val="center"/>
          </w:tcPr>
          <w:p w14:paraId="57864327">
            <w:pPr>
              <w:snapToGrid w:val="0"/>
              <w:jc w:val="center"/>
              <w:rPr>
                <w:color w:val="auto"/>
                <w:kern w:val="0"/>
                <w:sz w:val="15"/>
                <w:szCs w:val="15"/>
              </w:rPr>
            </w:pPr>
            <w:r>
              <w:rPr>
                <w:rFonts w:hint="eastAsia"/>
                <w:color w:val="auto"/>
                <w:kern w:val="0"/>
                <w:sz w:val="15"/>
                <w:szCs w:val="15"/>
              </w:rPr>
              <w:t>进深</w:t>
            </w:r>
          </w:p>
        </w:tc>
      </w:tr>
      <w:tr w14:paraId="734D12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1" w:type="dxa"/>
            <w:vAlign w:val="center"/>
          </w:tcPr>
          <w:p w14:paraId="3CA3310D">
            <w:pPr>
              <w:snapToGrid w:val="0"/>
              <w:jc w:val="center"/>
              <w:rPr>
                <w:color w:val="auto"/>
                <w:kern w:val="0"/>
                <w:sz w:val="15"/>
                <w:szCs w:val="15"/>
              </w:rPr>
            </w:pPr>
            <w:r>
              <w:rPr>
                <w:color w:val="auto"/>
                <w:kern w:val="0"/>
                <w:sz w:val="15"/>
                <w:szCs w:val="15"/>
              </w:rPr>
              <w:t>净尺寸模数</w:t>
            </w:r>
          </w:p>
        </w:tc>
        <w:tc>
          <w:tcPr>
            <w:tcW w:w="2551" w:type="dxa"/>
            <w:vAlign w:val="center"/>
          </w:tcPr>
          <w:p w14:paraId="706618FE">
            <w:pPr>
              <w:snapToGrid w:val="0"/>
              <w:jc w:val="center"/>
              <w:rPr>
                <w:color w:val="auto"/>
                <w:kern w:val="0"/>
                <w:sz w:val="15"/>
                <w:szCs w:val="15"/>
              </w:rPr>
            </w:pPr>
            <w:r>
              <w:rPr>
                <w:color w:val="auto"/>
                <w:kern w:val="0"/>
                <w:sz w:val="15"/>
                <w:szCs w:val="15"/>
              </w:rPr>
              <w:t>2M或3M</w:t>
            </w:r>
          </w:p>
        </w:tc>
        <w:tc>
          <w:tcPr>
            <w:tcW w:w="2551" w:type="dxa"/>
            <w:vAlign w:val="center"/>
          </w:tcPr>
          <w:p w14:paraId="6BA453D6">
            <w:pPr>
              <w:snapToGrid w:val="0"/>
              <w:jc w:val="center"/>
              <w:rPr>
                <w:color w:val="auto"/>
                <w:kern w:val="0"/>
                <w:sz w:val="15"/>
                <w:szCs w:val="15"/>
              </w:rPr>
            </w:pPr>
            <w:r>
              <w:rPr>
                <w:color w:val="auto"/>
                <w:kern w:val="0"/>
                <w:sz w:val="15"/>
                <w:szCs w:val="15"/>
              </w:rPr>
              <w:t>3M</w:t>
            </w:r>
          </w:p>
        </w:tc>
      </w:tr>
      <w:tr w14:paraId="56B893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1" w:type="dxa"/>
            <w:vAlign w:val="center"/>
          </w:tcPr>
          <w:p w14:paraId="681BDC51">
            <w:pPr>
              <w:snapToGrid w:val="0"/>
              <w:jc w:val="center"/>
              <w:rPr>
                <w:color w:val="auto"/>
                <w:kern w:val="0"/>
                <w:sz w:val="15"/>
                <w:szCs w:val="15"/>
              </w:rPr>
            </w:pPr>
            <w:r>
              <w:rPr>
                <w:color w:val="auto"/>
                <w:kern w:val="0"/>
                <w:sz w:val="15"/>
                <w:szCs w:val="15"/>
              </w:rPr>
              <w:t>标志尺寸模数</w:t>
            </w:r>
          </w:p>
        </w:tc>
        <w:tc>
          <w:tcPr>
            <w:tcW w:w="2551" w:type="dxa"/>
            <w:vAlign w:val="center"/>
          </w:tcPr>
          <w:p w14:paraId="74AA8882">
            <w:pPr>
              <w:snapToGrid w:val="0"/>
              <w:jc w:val="center"/>
              <w:rPr>
                <w:color w:val="auto"/>
                <w:kern w:val="0"/>
                <w:sz w:val="15"/>
                <w:szCs w:val="15"/>
              </w:rPr>
            </w:pPr>
            <w:r>
              <w:rPr>
                <w:color w:val="auto"/>
                <w:kern w:val="0"/>
                <w:sz w:val="15"/>
                <w:szCs w:val="15"/>
              </w:rPr>
              <w:t>1M或1/2M</w:t>
            </w:r>
          </w:p>
        </w:tc>
        <w:tc>
          <w:tcPr>
            <w:tcW w:w="2551" w:type="dxa"/>
            <w:vAlign w:val="center"/>
          </w:tcPr>
          <w:p w14:paraId="5226F823">
            <w:pPr>
              <w:snapToGrid w:val="0"/>
              <w:jc w:val="center"/>
              <w:rPr>
                <w:color w:val="auto"/>
                <w:kern w:val="0"/>
                <w:sz w:val="15"/>
                <w:szCs w:val="15"/>
              </w:rPr>
            </w:pPr>
            <w:r>
              <w:rPr>
                <w:rFonts w:hint="eastAsia"/>
                <w:color w:val="auto"/>
                <w:kern w:val="0"/>
                <w:sz w:val="15"/>
                <w:szCs w:val="15"/>
              </w:rPr>
              <w:t>1M或1/2M</w:t>
            </w:r>
          </w:p>
        </w:tc>
      </w:tr>
    </w:tbl>
    <w:p w14:paraId="67219583">
      <w:pPr>
        <w:pStyle w:val="33"/>
        <w:rPr>
          <w:color w:val="auto"/>
        </w:rPr>
      </w:pPr>
      <w:r>
        <w:rPr>
          <w:rFonts w:hint="eastAsia" w:ascii="楷体" w:hAnsi="楷体" w:cs="楷体"/>
          <w:color w:val="auto"/>
          <w:szCs w:val="21"/>
        </w:rPr>
        <w:t>【条文说明】</w:t>
      </w:r>
      <w:r>
        <w:rPr>
          <w:rFonts w:hint="eastAsia"/>
          <w:color w:val="auto"/>
        </w:rPr>
        <w:t>标志尺寸通常为建筑物定位轴线之间（开间、进深）的距离。建筑</w:t>
      </w:r>
      <w:r>
        <w:rPr>
          <w:color w:val="auto"/>
        </w:rPr>
        <w:t>的平面尺寸可包含模块</w:t>
      </w:r>
      <w:r>
        <w:rPr>
          <w:rFonts w:hint="eastAsia"/>
          <w:color w:val="auto"/>
        </w:rPr>
        <w:t>单元</w:t>
      </w:r>
      <w:r>
        <w:rPr>
          <w:color w:val="auto"/>
        </w:rPr>
        <w:t>净尺寸和标志尺寸，一般情况下，模块</w:t>
      </w:r>
      <w:r>
        <w:rPr>
          <w:rFonts w:hint="eastAsia"/>
          <w:color w:val="auto"/>
        </w:rPr>
        <w:t>单元</w:t>
      </w:r>
      <w:r>
        <w:rPr>
          <w:color w:val="auto"/>
        </w:rPr>
        <w:t>的净尺寸与标志尺寸难以同时满足模数要求。模块化建筑的生产模具，通常是以钢内胆和可移动外模板组成，这种工艺可保证模块</w:t>
      </w:r>
      <w:r>
        <w:rPr>
          <w:rFonts w:hint="eastAsia"/>
          <w:color w:val="auto"/>
        </w:rPr>
        <w:t>单元</w:t>
      </w:r>
      <w:r>
        <w:rPr>
          <w:color w:val="auto"/>
        </w:rPr>
        <w:t>内部净尺寸的高精准度，可以和内装部品部件的精度相匹配。因此，内部净尺寸的模数宜有更高要求，可采用2M或3M，以实现内装部品部件的定型化，有利于提高模块化建筑施工的经济性和高效率。此外，考虑到设计习惯及行业发展现状，也可采用标志尺寸作为平面尺寸进行设计。</w:t>
      </w:r>
    </w:p>
    <w:p w14:paraId="073B9269">
      <w:pPr>
        <w:pStyle w:val="3"/>
        <w:rPr>
          <w:color w:val="auto"/>
        </w:rPr>
      </w:pPr>
      <w:bookmarkStart w:id="129" w:name="_Toc18712"/>
      <w:bookmarkStart w:id="130" w:name="_Toc18206"/>
      <w:bookmarkStart w:id="131" w:name="_Toc12514"/>
      <w:bookmarkStart w:id="132" w:name="_Toc11472"/>
      <w:bookmarkStart w:id="133" w:name="_Toc20739"/>
      <w:bookmarkStart w:id="134" w:name="_Toc13275"/>
      <w:bookmarkStart w:id="135" w:name="_Toc27607"/>
      <w:bookmarkStart w:id="136" w:name="_Toc25580"/>
      <w:bookmarkStart w:id="137" w:name="_Toc2396"/>
      <w:bookmarkStart w:id="138" w:name="_Toc25340"/>
      <w:r>
        <w:rPr>
          <w:b/>
          <w:bCs w:val="0"/>
          <w:color w:val="auto"/>
        </w:rPr>
        <w:t>5</w:t>
      </w:r>
      <w:r>
        <w:rPr>
          <w:rFonts w:hint="eastAsia"/>
          <w:b/>
          <w:bCs w:val="0"/>
          <w:color w:val="auto"/>
        </w:rPr>
        <w:t>.</w:t>
      </w:r>
      <w:r>
        <w:rPr>
          <w:b/>
          <w:bCs w:val="0"/>
          <w:color w:val="auto"/>
        </w:rPr>
        <w:t>3</w:t>
      </w:r>
      <w:r>
        <w:rPr>
          <w:rFonts w:hint="eastAsia"/>
          <w:color w:val="auto"/>
        </w:rPr>
        <w:t xml:space="preserve">  平面、立面设计</w:t>
      </w:r>
      <w:bookmarkEnd w:id="129"/>
      <w:bookmarkEnd w:id="130"/>
      <w:bookmarkEnd w:id="131"/>
      <w:bookmarkEnd w:id="132"/>
      <w:bookmarkEnd w:id="133"/>
      <w:bookmarkEnd w:id="134"/>
      <w:bookmarkEnd w:id="135"/>
      <w:bookmarkEnd w:id="136"/>
      <w:bookmarkEnd w:id="137"/>
    </w:p>
    <w:p w14:paraId="5F2B566B">
      <w:pPr>
        <w:numPr>
          <w:ilvl w:val="0"/>
          <w:numId w:val="10"/>
        </w:numPr>
        <w:spacing w:line="312" w:lineRule="auto"/>
        <w:rPr>
          <w:color w:val="auto"/>
        </w:rPr>
      </w:pPr>
      <w:r>
        <w:rPr>
          <w:color w:val="auto"/>
        </w:rPr>
        <w:t>模块化建筑的平面设计应符合下列规定：</w:t>
      </w:r>
    </w:p>
    <w:p w14:paraId="6C80AEFB">
      <w:pPr>
        <w:spacing w:line="312" w:lineRule="auto"/>
        <w:ind w:firstLine="422" w:firstLineChars="200"/>
        <w:rPr>
          <w:color w:val="auto"/>
          <w:szCs w:val="24"/>
        </w:rPr>
      </w:pPr>
      <w:r>
        <w:rPr>
          <w:rFonts w:eastAsia="黑体"/>
          <w:b/>
          <w:color w:val="auto"/>
        </w:rPr>
        <w:t xml:space="preserve">1  </w:t>
      </w:r>
      <w:r>
        <w:rPr>
          <w:color w:val="auto"/>
          <w:szCs w:val="24"/>
        </w:rPr>
        <w:t>平面设计宜简洁、规则</w:t>
      </w:r>
      <w:r>
        <w:rPr>
          <w:rFonts w:hint="eastAsia"/>
          <w:color w:val="auto"/>
          <w:szCs w:val="24"/>
        </w:rPr>
        <w:t>，</w:t>
      </w:r>
      <w:r>
        <w:rPr>
          <w:color w:val="auto"/>
          <w:kern w:val="0"/>
          <w:szCs w:val="24"/>
        </w:rPr>
        <w:t>模块</w:t>
      </w:r>
      <w:r>
        <w:rPr>
          <w:rFonts w:hint="eastAsia"/>
          <w:color w:val="auto"/>
          <w:kern w:val="0"/>
          <w:szCs w:val="24"/>
        </w:rPr>
        <w:t>单元</w:t>
      </w:r>
      <w:r>
        <w:rPr>
          <w:color w:val="auto"/>
          <w:kern w:val="0"/>
          <w:szCs w:val="24"/>
        </w:rPr>
        <w:t>划分形状宜规整，</w:t>
      </w:r>
      <w:r>
        <w:rPr>
          <w:rFonts w:hint="eastAsia"/>
          <w:color w:val="auto"/>
          <w:kern w:val="0"/>
          <w:szCs w:val="24"/>
        </w:rPr>
        <w:t>不宜</w:t>
      </w:r>
      <w:r>
        <w:rPr>
          <w:color w:val="auto"/>
          <w:kern w:val="0"/>
          <w:szCs w:val="24"/>
        </w:rPr>
        <w:t>出现过多转角</w:t>
      </w:r>
      <w:r>
        <w:rPr>
          <w:rFonts w:hint="eastAsia"/>
          <w:color w:val="auto"/>
          <w:kern w:val="0"/>
          <w:szCs w:val="24"/>
        </w:rPr>
        <w:t>；</w:t>
      </w:r>
    </w:p>
    <w:p w14:paraId="068A56A6">
      <w:pPr>
        <w:spacing w:line="312" w:lineRule="auto"/>
        <w:ind w:firstLine="422" w:firstLineChars="200"/>
        <w:rPr>
          <w:color w:val="auto"/>
        </w:rPr>
      </w:pPr>
      <w:r>
        <w:rPr>
          <w:rFonts w:eastAsia="黑体"/>
          <w:b/>
          <w:color w:val="auto"/>
        </w:rPr>
        <w:t xml:space="preserve">2  </w:t>
      </w:r>
      <w:r>
        <w:rPr>
          <w:rFonts w:hint="eastAsia"/>
          <w:color w:val="auto"/>
        </w:rPr>
        <w:t>模块单元的布置方案上下层无法完全一致时，应满足结构竖向构件连续性的要求</w:t>
      </w:r>
      <w:r>
        <w:rPr>
          <w:color w:val="auto"/>
        </w:rPr>
        <w:t>；</w:t>
      </w:r>
    </w:p>
    <w:p w14:paraId="6FE98AA1">
      <w:pPr>
        <w:spacing w:line="312" w:lineRule="auto"/>
        <w:ind w:firstLine="422" w:firstLineChars="200"/>
        <w:rPr>
          <w:color w:val="auto"/>
        </w:rPr>
      </w:pPr>
      <w:r>
        <w:rPr>
          <w:rFonts w:eastAsia="黑体"/>
          <w:b/>
          <w:color w:val="auto"/>
        </w:rPr>
        <w:t xml:space="preserve">3  </w:t>
      </w:r>
      <w:r>
        <w:rPr>
          <w:rFonts w:hint="eastAsia"/>
          <w:color w:val="auto"/>
        </w:rPr>
        <w:t>同一</w:t>
      </w:r>
      <w:r>
        <w:rPr>
          <w:color w:val="auto"/>
        </w:rPr>
        <w:t>功能区由多个模块</w:t>
      </w:r>
      <w:r>
        <w:rPr>
          <w:rFonts w:hint="eastAsia"/>
          <w:color w:val="auto"/>
        </w:rPr>
        <w:t>单元</w:t>
      </w:r>
      <w:r>
        <w:rPr>
          <w:color w:val="auto"/>
        </w:rPr>
        <w:t>组成时，功能区内的设备、门窗</w:t>
      </w:r>
      <w:r>
        <w:rPr>
          <w:rFonts w:hint="eastAsia"/>
          <w:color w:val="auto"/>
        </w:rPr>
        <w:t>、固定收纳等</w:t>
      </w:r>
      <w:r>
        <w:rPr>
          <w:color w:val="auto"/>
        </w:rPr>
        <w:t>不宜跨模块</w:t>
      </w:r>
      <w:r>
        <w:rPr>
          <w:rFonts w:hint="eastAsia"/>
          <w:color w:val="auto"/>
        </w:rPr>
        <w:t>单元</w:t>
      </w:r>
      <w:r>
        <w:rPr>
          <w:color w:val="auto"/>
        </w:rPr>
        <w:t>布置</w:t>
      </w:r>
      <w:r>
        <w:rPr>
          <w:rFonts w:hint="eastAsia"/>
          <w:color w:val="auto"/>
        </w:rPr>
        <w:t>；</w:t>
      </w:r>
    </w:p>
    <w:p w14:paraId="15AA6DF5">
      <w:pPr>
        <w:spacing w:line="312" w:lineRule="auto"/>
        <w:ind w:firstLine="422" w:firstLineChars="200"/>
        <w:rPr>
          <w:color w:val="auto"/>
        </w:rPr>
      </w:pPr>
      <w:r>
        <w:rPr>
          <w:b/>
          <w:color w:val="auto"/>
        </w:rPr>
        <w:t xml:space="preserve">4  </w:t>
      </w:r>
      <w:r>
        <w:rPr>
          <w:color w:val="auto"/>
        </w:rPr>
        <w:t>楼梯间、电梯间、卫生间、厨房等具有</w:t>
      </w:r>
      <w:r>
        <w:rPr>
          <w:rFonts w:hint="eastAsia"/>
          <w:color w:val="auto"/>
        </w:rPr>
        <w:t>特定</w:t>
      </w:r>
      <w:r>
        <w:rPr>
          <w:color w:val="auto"/>
        </w:rPr>
        <w:t>功能</w:t>
      </w:r>
      <w:r>
        <w:rPr>
          <w:rFonts w:hint="eastAsia"/>
          <w:color w:val="auto"/>
        </w:rPr>
        <w:t>或</w:t>
      </w:r>
      <w:r>
        <w:rPr>
          <w:color w:val="auto"/>
        </w:rPr>
        <w:t>管线密集区域，宜采用独立模块单元；</w:t>
      </w:r>
    </w:p>
    <w:p w14:paraId="541C6E05">
      <w:pPr>
        <w:spacing w:line="312" w:lineRule="auto"/>
        <w:ind w:firstLine="422" w:firstLineChars="200"/>
        <w:rPr>
          <w:color w:val="auto"/>
        </w:rPr>
      </w:pPr>
      <w:r>
        <w:rPr>
          <w:rFonts w:hint="eastAsia" w:eastAsia="黑体"/>
          <w:b/>
          <w:color w:val="auto"/>
        </w:rPr>
        <w:t>5</w:t>
      </w:r>
      <w:r>
        <w:rPr>
          <w:rFonts w:eastAsia="黑体"/>
          <w:b/>
          <w:color w:val="auto"/>
        </w:rPr>
        <w:t xml:space="preserve">  </w:t>
      </w:r>
      <w:r>
        <w:rPr>
          <w:color w:val="auto"/>
        </w:rPr>
        <w:t>建筑平面设计时应考虑相邻模块单元</w:t>
      </w:r>
      <w:r>
        <w:rPr>
          <w:rFonts w:hint="eastAsia"/>
          <w:color w:val="auto"/>
        </w:rPr>
        <w:t>之间结构</w:t>
      </w:r>
      <w:r>
        <w:rPr>
          <w:color w:val="auto"/>
        </w:rPr>
        <w:t>和设备管线的连接构造</w:t>
      </w:r>
      <w:r>
        <w:rPr>
          <w:rFonts w:hint="eastAsia"/>
          <w:color w:val="auto"/>
        </w:rPr>
        <w:t>，模块单元间管线接口应集中设置</w:t>
      </w:r>
      <w:r>
        <w:rPr>
          <w:color w:val="auto"/>
        </w:rPr>
        <w:t>。</w:t>
      </w:r>
    </w:p>
    <w:p w14:paraId="39BD0E01">
      <w:pPr>
        <w:pStyle w:val="33"/>
        <w:rPr>
          <w:color w:val="auto"/>
        </w:rPr>
      </w:pPr>
      <w:r>
        <w:rPr>
          <w:rFonts w:hint="eastAsia" w:ascii="楷体" w:hAnsi="楷体" w:cs="楷体"/>
          <w:color w:val="auto"/>
          <w:szCs w:val="21"/>
        </w:rPr>
        <w:t>【条文说明】</w:t>
      </w:r>
      <w:r>
        <w:rPr>
          <w:rFonts w:hint="eastAsia"/>
          <w:color w:val="auto"/>
        </w:rPr>
        <w:t>在进行模块化建筑平面设计时，应充分考虑模块单元之间的连接，相邻模块单元连接包括单元构件连接、设备管线连接及装修部品部件连接。在进行模块单元拆分布置时，应尽可能减少同一功能区中的模块单元数量，以减少接口数量。</w:t>
      </w:r>
    </w:p>
    <w:p w14:paraId="3A538EED">
      <w:pPr>
        <w:numPr>
          <w:ilvl w:val="0"/>
          <w:numId w:val="10"/>
        </w:numPr>
        <w:spacing w:line="312" w:lineRule="auto"/>
        <w:rPr>
          <w:color w:val="auto"/>
        </w:rPr>
      </w:pPr>
      <w:r>
        <w:rPr>
          <w:rFonts w:hint="eastAsia"/>
          <w:color w:val="auto"/>
        </w:rPr>
        <w:t>模块化建筑的立面设计应符合下列规定：</w:t>
      </w:r>
    </w:p>
    <w:p w14:paraId="4D41C6E2">
      <w:pPr>
        <w:spacing w:line="312" w:lineRule="auto"/>
        <w:ind w:firstLine="422" w:firstLineChars="200"/>
        <w:rPr>
          <w:color w:val="auto"/>
        </w:rPr>
      </w:pPr>
      <w:r>
        <w:rPr>
          <w:b/>
          <w:color w:val="auto"/>
        </w:rPr>
        <w:t xml:space="preserve">1 </w:t>
      </w:r>
      <w:r>
        <w:rPr>
          <w:rFonts w:hint="eastAsia"/>
          <w:b/>
          <w:color w:val="auto"/>
        </w:rPr>
        <w:t xml:space="preserve"> </w:t>
      </w:r>
      <w:r>
        <w:rPr>
          <w:color w:val="auto"/>
        </w:rPr>
        <w:t>立面</w:t>
      </w:r>
      <w:r>
        <w:rPr>
          <w:rFonts w:hint="eastAsia"/>
          <w:color w:val="auto"/>
        </w:rPr>
        <w:t>分割</w:t>
      </w:r>
      <w:r>
        <w:rPr>
          <w:color w:val="auto"/>
        </w:rPr>
        <w:t>应</w:t>
      </w:r>
      <w:r>
        <w:rPr>
          <w:rFonts w:hint="eastAsia"/>
          <w:color w:val="auto"/>
        </w:rPr>
        <w:t>尺寸合理，并与模块单元之间的拼缝位置相协调；</w:t>
      </w:r>
    </w:p>
    <w:p w14:paraId="7CF23D99">
      <w:pPr>
        <w:spacing w:line="312" w:lineRule="auto"/>
        <w:ind w:firstLine="422" w:firstLineChars="200"/>
        <w:rPr>
          <w:color w:val="auto"/>
        </w:rPr>
      </w:pPr>
      <w:r>
        <w:rPr>
          <w:rFonts w:eastAsia="黑体"/>
          <w:b/>
          <w:color w:val="auto"/>
        </w:rPr>
        <w:t xml:space="preserve">2 </w:t>
      </w:r>
      <w:r>
        <w:rPr>
          <w:rFonts w:hint="eastAsia" w:eastAsia="黑体"/>
          <w:b/>
          <w:color w:val="auto"/>
        </w:rPr>
        <w:t xml:space="preserve"> </w:t>
      </w:r>
      <w:r>
        <w:rPr>
          <w:rFonts w:hint="eastAsia"/>
          <w:color w:val="auto"/>
        </w:rPr>
        <w:t>立面</w:t>
      </w:r>
      <w:r>
        <w:rPr>
          <w:color w:val="auto"/>
        </w:rPr>
        <w:t>设计应充分考虑模块单元间的接口</w:t>
      </w:r>
      <w:r>
        <w:rPr>
          <w:rFonts w:hint="eastAsia"/>
          <w:color w:val="auto"/>
        </w:rPr>
        <w:t>公差，必要时可做</w:t>
      </w:r>
      <w:r>
        <w:rPr>
          <w:color w:val="auto"/>
        </w:rPr>
        <w:t>遮蔽与美化。</w:t>
      </w:r>
    </w:p>
    <w:p w14:paraId="6EA09642">
      <w:pPr>
        <w:pStyle w:val="33"/>
        <w:rPr>
          <w:color w:val="auto"/>
        </w:rPr>
      </w:pPr>
      <w:r>
        <w:rPr>
          <w:rFonts w:hint="eastAsia" w:ascii="楷体" w:hAnsi="楷体" w:cs="楷体"/>
          <w:color w:val="auto"/>
          <w:szCs w:val="21"/>
        </w:rPr>
        <w:t>【条文说明】</w:t>
      </w:r>
      <w:r>
        <w:rPr>
          <w:rFonts w:hint="eastAsia"/>
          <w:color w:val="auto"/>
        </w:rPr>
        <w:t>本条规定了外立面通过变形缝进行尺寸分割，变形缝应能适应温度变化引起的外墙变形。同时应采用建筑体量、材质肌理、色彩变化等方式来实现不同的建筑立面效果。不宜采用专用的装饰构件来完成建筑外立面，避免增加模块化建筑安装施工的难度。由于模块化建筑的特点，模块单元之间存在天然的拼缝，在建筑立面设计时应充分考虑拼缝接口的影响。</w:t>
      </w:r>
    </w:p>
    <w:p w14:paraId="3E48FCF0">
      <w:pPr>
        <w:numPr>
          <w:ilvl w:val="0"/>
          <w:numId w:val="10"/>
        </w:numPr>
        <w:spacing w:line="312" w:lineRule="auto"/>
        <w:rPr>
          <w:color w:val="auto"/>
        </w:rPr>
      </w:pPr>
      <w:r>
        <w:rPr>
          <w:rFonts w:hint="eastAsia"/>
          <w:color w:val="auto"/>
        </w:rPr>
        <w:t>模块化建筑在进行立面设计时，其建筑层高定位基准面应设置在模块单元底板的建筑完成面顶面。建筑层高为下层模块单元室内建筑完成面至上层模块单元室内建筑完成面之间的高度</w:t>
      </w:r>
      <w:r>
        <w:rPr>
          <w:rFonts w:hint="eastAsia"/>
          <w:color w:val="auto"/>
          <w:kern w:val="0"/>
        </w:rPr>
        <w:t>（图</w:t>
      </w:r>
      <w:r>
        <w:rPr>
          <w:rFonts w:hint="eastAsia"/>
          <w:color w:val="auto"/>
        </w:rPr>
        <w:t>5</w:t>
      </w:r>
      <w:r>
        <w:rPr>
          <w:color w:val="auto"/>
          <w:kern w:val="0"/>
        </w:rPr>
        <w:t>.</w:t>
      </w:r>
      <w:r>
        <w:rPr>
          <w:rFonts w:hint="eastAsia"/>
          <w:color w:val="auto"/>
        </w:rPr>
        <w:t>3</w:t>
      </w:r>
      <w:r>
        <w:rPr>
          <w:color w:val="auto"/>
          <w:kern w:val="0"/>
        </w:rPr>
        <w:t>.3）。</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72D97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14:paraId="4051B07B">
            <w:pPr>
              <w:tabs>
                <w:tab w:val="left" w:pos="0"/>
              </w:tabs>
              <w:spacing w:line="312" w:lineRule="auto"/>
              <w:jc w:val="center"/>
              <w:rPr>
                <w:color w:val="auto"/>
              </w:rPr>
            </w:pPr>
            <w:r>
              <w:rPr>
                <w:color w:val="auto"/>
              </w:rPr>
              <w:drawing>
                <wp:inline distT="0" distB="0" distL="114300" distR="114300">
                  <wp:extent cx="2122170" cy="1979930"/>
                  <wp:effectExtent l="0" t="0" r="11430" b="1270"/>
                  <wp:docPr id="48" name="图片 48" descr="img_v3_02lk_4ca671fc-f84d-46e3-9ed9-b693f90c103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img_v3_02lk_4ca671fc-f84d-46e3-9ed9-b693f90c103g"/>
                          <pic:cNvPicPr>
                            <a:picLocks noChangeAspect="1"/>
                          </pic:cNvPicPr>
                        </pic:nvPicPr>
                        <pic:blipFill>
                          <a:blip r:embed="rId20"/>
                          <a:stretch>
                            <a:fillRect/>
                          </a:stretch>
                        </pic:blipFill>
                        <pic:spPr>
                          <a:xfrm>
                            <a:off x="0" y="0"/>
                            <a:ext cx="2122170" cy="1979930"/>
                          </a:xfrm>
                          <a:prstGeom prst="rect">
                            <a:avLst/>
                          </a:prstGeom>
                        </pic:spPr>
                      </pic:pic>
                    </a:graphicData>
                  </a:graphic>
                </wp:inline>
              </w:drawing>
            </w:r>
          </w:p>
        </w:tc>
        <w:tc>
          <w:tcPr>
            <w:tcW w:w="4261" w:type="dxa"/>
            <w:tcBorders>
              <w:tl2br w:val="nil"/>
              <w:tr2bl w:val="nil"/>
            </w:tcBorders>
            <w:vAlign w:val="center"/>
          </w:tcPr>
          <w:p w14:paraId="7DBF8C06">
            <w:pPr>
              <w:tabs>
                <w:tab w:val="left" w:pos="0"/>
              </w:tabs>
              <w:spacing w:line="312" w:lineRule="auto"/>
              <w:jc w:val="center"/>
              <w:rPr>
                <w:color w:val="auto"/>
              </w:rPr>
            </w:pPr>
            <w:r>
              <w:rPr>
                <w:color w:val="auto"/>
              </w:rPr>
              <w:drawing>
                <wp:inline distT="0" distB="0" distL="114300" distR="114300">
                  <wp:extent cx="2143760" cy="1979930"/>
                  <wp:effectExtent l="0" t="0" r="8890" b="1270"/>
                  <wp:docPr id="51" name="图片 51" descr="img_v3_02lk_4348c619-8649-4c8d-9cca-4a6628620ff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img_v3_02lk_4348c619-8649-4c8d-9cca-4a6628620ffg"/>
                          <pic:cNvPicPr>
                            <a:picLocks noChangeAspect="1"/>
                          </pic:cNvPicPr>
                        </pic:nvPicPr>
                        <pic:blipFill>
                          <a:blip r:embed="rId21"/>
                          <a:stretch>
                            <a:fillRect/>
                          </a:stretch>
                        </pic:blipFill>
                        <pic:spPr>
                          <a:xfrm>
                            <a:off x="0" y="0"/>
                            <a:ext cx="2143760" cy="1979930"/>
                          </a:xfrm>
                          <a:prstGeom prst="rect">
                            <a:avLst/>
                          </a:prstGeom>
                        </pic:spPr>
                      </pic:pic>
                    </a:graphicData>
                  </a:graphic>
                </wp:inline>
              </w:drawing>
            </w:r>
          </w:p>
        </w:tc>
      </w:tr>
      <w:tr w14:paraId="2171D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Borders>
              <w:tl2br w:val="nil"/>
              <w:tr2bl w:val="nil"/>
            </w:tcBorders>
            <w:vAlign w:val="center"/>
          </w:tcPr>
          <w:p w14:paraId="13BC2E01">
            <w:pPr>
              <w:autoSpaceDE w:val="0"/>
              <w:autoSpaceDN w:val="0"/>
              <w:spacing w:line="400" w:lineRule="exact"/>
              <w:jc w:val="center"/>
              <w:rPr>
                <w:bCs/>
                <w:color w:val="auto"/>
              </w:rPr>
            </w:pPr>
            <w:r>
              <w:rPr>
                <w:rFonts w:hint="eastAsia" w:eastAsia="黑体"/>
                <w:bCs/>
                <w:color w:val="auto"/>
                <w:kern w:val="0"/>
                <w:sz w:val="18"/>
                <w:szCs w:val="21"/>
              </w:rPr>
              <w:t>（a）有底板模块</w:t>
            </w:r>
          </w:p>
        </w:tc>
        <w:tc>
          <w:tcPr>
            <w:tcW w:w="4261" w:type="dxa"/>
            <w:tcBorders>
              <w:tl2br w:val="nil"/>
              <w:tr2bl w:val="nil"/>
            </w:tcBorders>
            <w:vAlign w:val="center"/>
          </w:tcPr>
          <w:p w14:paraId="4CDE328E">
            <w:pPr>
              <w:tabs>
                <w:tab w:val="left" w:pos="2652"/>
                <w:tab w:val="center" w:pos="4629"/>
              </w:tabs>
              <w:spacing w:line="400" w:lineRule="exact"/>
              <w:jc w:val="center"/>
              <w:rPr>
                <w:bCs/>
                <w:color w:val="auto"/>
              </w:rPr>
            </w:pPr>
            <w:r>
              <w:rPr>
                <w:rFonts w:hint="eastAsia" w:eastAsia="黑体"/>
                <w:bCs/>
                <w:color w:val="auto"/>
                <w:kern w:val="0"/>
                <w:sz w:val="18"/>
                <w:szCs w:val="21"/>
              </w:rPr>
              <w:t>（b）无底板模块</w:t>
            </w:r>
          </w:p>
        </w:tc>
      </w:tr>
    </w:tbl>
    <w:p w14:paraId="7BE0E20E">
      <w:pPr>
        <w:spacing w:line="400" w:lineRule="exact"/>
        <w:jc w:val="center"/>
        <w:rPr>
          <w:rFonts w:eastAsia="黑体" w:cs="黑体"/>
          <w:bCs/>
          <w:i/>
          <w:iCs/>
          <w:color w:val="auto"/>
          <w:sz w:val="18"/>
          <w:szCs w:val="18"/>
        </w:rPr>
      </w:pPr>
      <w:r>
        <w:rPr>
          <w:rFonts w:hint="eastAsia" w:eastAsia="黑体" w:cs="黑体"/>
          <w:bCs/>
          <w:color w:val="auto"/>
          <w:sz w:val="18"/>
          <w:szCs w:val="18"/>
        </w:rPr>
        <w:t>图</w:t>
      </w:r>
      <w:r>
        <w:rPr>
          <w:b/>
          <w:color w:val="auto"/>
          <w:sz w:val="18"/>
          <w:szCs w:val="21"/>
        </w:rPr>
        <w:t>5</w:t>
      </w:r>
      <w:r>
        <w:rPr>
          <w:rFonts w:ascii="宋体" w:hAnsi="宋体"/>
          <w:b/>
          <w:color w:val="auto"/>
          <w:sz w:val="18"/>
          <w:szCs w:val="21"/>
        </w:rPr>
        <w:t>.</w:t>
      </w:r>
      <w:r>
        <w:rPr>
          <w:rFonts w:hint="eastAsia"/>
          <w:b/>
          <w:color w:val="auto"/>
          <w:sz w:val="18"/>
          <w:szCs w:val="21"/>
        </w:rPr>
        <w:t>3</w:t>
      </w:r>
      <w:r>
        <w:rPr>
          <w:rFonts w:ascii="宋体" w:hAnsi="宋体"/>
          <w:b/>
          <w:color w:val="auto"/>
          <w:sz w:val="18"/>
          <w:szCs w:val="21"/>
        </w:rPr>
        <w:t>.</w:t>
      </w:r>
      <w:r>
        <w:rPr>
          <w:b/>
          <w:color w:val="auto"/>
          <w:sz w:val="18"/>
          <w:szCs w:val="21"/>
        </w:rPr>
        <w:t>3</w:t>
      </w:r>
      <w:r>
        <w:rPr>
          <w:rFonts w:hint="eastAsia" w:eastAsia="黑体" w:cs="黑体"/>
          <w:bCs/>
          <w:color w:val="auto"/>
          <w:sz w:val="18"/>
          <w:szCs w:val="18"/>
        </w:rPr>
        <w:t xml:space="preserve">  模块化建筑层高示意</w:t>
      </w:r>
    </w:p>
    <w:p w14:paraId="552CCCAC">
      <w:pPr>
        <w:spacing w:line="400" w:lineRule="exact"/>
        <w:jc w:val="center"/>
        <w:rPr>
          <w:rFonts w:eastAsia="黑体" w:cs="黑体"/>
          <w:bCs/>
          <w:color w:val="auto"/>
          <w:sz w:val="18"/>
          <w:szCs w:val="18"/>
        </w:rPr>
      </w:pPr>
      <w:r>
        <w:rPr>
          <w:rFonts w:hint="eastAsia" w:eastAsia="黑体" w:cs="黑体"/>
          <w:bCs/>
          <w:i/>
          <w:iCs/>
          <w:color w:val="auto"/>
          <w:sz w:val="18"/>
          <w:szCs w:val="18"/>
        </w:rPr>
        <w:t>H</w:t>
      </w:r>
      <w:r>
        <w:rPr>
          <w:rFonts w:hint="eastAsia" w:eastAsia="黑体" w:cs="黑体"/>
          <w:bCs/>
          <w:color w:val="auto"/>
          <w:sz w:val="18"/>
          <w:szCs w:val="18"/>
        </w:rPr>
        <w:t>—模块单元高度；</w:t>
      </w:r>
      <w:r>
        <w:rPr>
          <w:rFonts w:hint="eastAsia" w:eastAsia="黑体" w:cs="黑体"/>
          <w:bCs/>
          <w:i/>
          <w:iCs/>
          <w:color w:val="auto"/>
          <w:sz w:val="18"/>
          <w:szCs w:val="18"/>
        </w:rPr>
        <w:t>h</w:t>
      </w:r>
      <w:r>
        <w:rPr>
          <w:rFonts w:hint="eastAsia" w:eastAsia="黑体" w:cs="黑体"/>
          <w:bCs/>
          <w:color w:val="auto"/>
          <w:sz w:val="18"/>
          <w:szCs w:val="18"/>
        </w:rPr>
        <w:t>—建筑结构层高；</w:t>
      </w:r>
    </w:p>
    <w:p w14:paraId="420E07A1">
      <w:pPr>
        <w:spacing w:line="400" w:lineRule="exact"/>
        <w:jc w:val="center"/>
        <w:rPr>
          <w:rFonts w:eastAsia="黑体" w:cs="黑体"/>
          <w:bCs/>
          <w:color w:val="auto"/>
          <w:sz w:val="18"/>
          <w:szCs w:val="18"/>
        </w:rPr>
      </w:pPr>
      <w:r>
        <w:rPr>
          <w:rFonts w:hint="eastAsia" w:eastAsia="黑体" w:cs="黑体"/>
          <w:bCs/>
          <w:i/>
          <w:iCs/>
          <w:color w:val="auto"/>
          <w:sz w:val="18"/>
          <w:szCs w:val="18"/>
        </w:rPr>
        <w:t>h'</w:t>
      </w:r>
      <w:r>
        <w:rPr>
          <w:rFonts w:hint="eastAsia" w:eastAsia="黑体" w:cs="黑体"/>
          <w:bCs/>
          <w:color w:val="auto"/>
          <w:sz w:val="18"/>
          <w:szCs w:val="18"/>
        </w:rPr>
        <w:t>—建筑净高；</w:t>
      </w:r>
      <w:r>
        <w:rPr>
          <w:rFonts w:hint="eastAsia" w:eastAsia="黑体" w:cs="黑体"/>
          <w:bCs/>
          <w:i/>
          <w:iCs/>
          <w:color w:val="auto"/>
          <w:sz w:val="18"/>
          <w:szCs w:val="18"/>
        </w:rPr>
        <w:t>a</w:t>
      </w:r>
      <w:r>
        <w:rPr>
          <w:rFonts w:hint="eastAsia" w:eastAsia="黑体" w:cs="黑体"/>
          <w:bCs/>
          <w:color w:val="auto"/>
          <w:sz w:val="18"/>
          <w:szCs w:val="18"/>
        </w:rPr>
        <w:t>—接口高度；</w:t>
      </w:r>
      <w:r>
        <w:rPr>
          <w:rFonts w:hint="eastAsia" w:eastAsia="黑体" w:cs="黑体"/>
          <w:bCs/>
          <w:i/>
          <w:iCs/>
          <w:color w:val="auto"/>
          <w:sz w:val="18"/>
          <w:szCs w:val="18"/>
        </w:rPr>
        <w:t>b</w:t>
      </w:r>
      <w:r>
        <w:rPr>
          <w:rFonts w:hint="eastAsia" w:eastAsia="黑体" w:cs="黑体"/>
          <w:bCs/>
          <w:color w:val="auto"/>
          <w:sz w:val="18"/>
          <w:szCs w:val="18"/>
        </w:rPr>
        <w:t>—后浇混凝土高度；</w:t>
      </w:r>
      <w:r>
        <w:rPr>
          <w:rFonts w:eastAsia="黑体" w:cs="黑体"/>
          <w:bCs/>
          <w:color w:val="auto"/>
          <w:sz w:val="18"/>
          <w:szCs w:val="18"/>
        </w:rPr>
        <w:t>1</w:t>
      </w:r>
      <w:r>
        <w:rPr>
          <w:rFonts w:hint="eastAsia" w:eastAsia="黑体" w:cs="黑体"/>
          <w:bCs/>
          <w:color w:val="auto"/>
          <w:sz w:val="18"/>
          <w:szCs w:val="18"/>
        </w:rPr>
        <w:t>—室内地面装修完成面</w:t>
      </w:r>
    </w:p>
    <w:p w14:paraId="3AB55A0D">
      <w:pPr>
        <w:numPr>
          <w:ilvl w:val="0"/>
          <w:numId w:val="10"/>
        </w:numPr>
        <w:spacing w:line="312" w:lineRule="auto"/>
        <w:rPr>
          <w:color w:val="auto"/>
        </w:rPr>
      </w:pPr>
      <w:r>
        <w:rPr>
          <w:rFonts w:hint="eastAsia"/>
          <w:color w:val="auto"/>
        </w:rPr>
        <w:t>模块化框架结构的立面设计宜采用标准化模块单元的不同组合形式来实现多样化的建筑造型及使用功能。</w:t>
      </w:r>
    </w:p>
    <w:p w14:paraId="209FAEF1">
      <w:pPr>
        <w:spacing w:line="312" w:lineRule="auto"/>
        <w:ind w:firstLine="420" w:firstLineChars="200"/>
        <w:rPr>
          <w:rFonts w:eastAsia="楷体"/>
          <w:color w:val="auto"/>
          <w:szCs w:val="21"/>
        </w:rPr>
      </w:pPr>
      <w:r>
        <w:rPr>
          <w:rFonts w:eastAsia="楷体"/>
          <w:color w:val="auto"/>
          <w:szCs w:val="21"/>
        </w:rPr>
        <w:t>【条文说明】模块化框架结构的立面设计通常采用并列式、交错式等多种组合形式来实现多样化的建筑造型，主要形式见图</w:t>
      </w:r>
      <w:r>
        <w:rPr>
          <w:rFonts w:hint="eastAsia" w:eastAsia="楷体"/>
          <w:color w:val="auto"/>
          <w:szCs w:val="21"/>
        </w:rPr>
        <w:t>7</w:t>
      </w:r>
      <w:r>
        <w:rPr>
          <w:rFonts w:eastAsia="楷体"/>
          <w:color w:val="auto"/>
          <w:szCs w:val="21"/>
        </w:rPr>
        <w:t>。</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56"/>
        <w:gridCol w:w="3102"/>
        <w:gridCol w:w="2964"/>
      </w:tblGrid>
      <w:tr w14:paraId="47DA2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66" w:type="dxa"/>
            <w:vAlign w:val="center"/>
          </w:tcPr>
          <w:p w14:paraId="37642830">
            <w:pPr>
              <w:adjustRightInd w:val="0"/>
              <w:snapToGrid w:val="0"/>
              <w:jc w:val="center"/>
              <w:rPr>
                <w:color w:val="auto"/>
                <w:kern w:val="0"/>
                <w:sz w:val="20"/>
                <w:szCs w:val="20"/>
              </w:rPr>
            </w:pPr>
            <w:r>
              <w:rPr>
                <w:color w:val="auto"/>
                <w:kern w:val="0"/>
                <w:sz w:val="20"/>
                <w:szCs w:val="20"/>
              </w:rPr>
              <w:drawing>
                <wp:inline distT="0" distB="0" distL="114300" distR="114300">
                  <wp:extent cx="1391920" cy="1296035"/>
                  <wp:effectExtent l="0" t="0" r="10160" b="14605"/>
                  <wp:docPr id="4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6"/>
                          <pic:cNvPicPr>
                            <a:picLocks noChangeAspect="1"/>
                          </pic:cNvPicPr>
                        </pic:nvPicPr>
                        <pic:blipFill>
                          <a:blip r:embed="rId22"/>
                          <a:srcRect r="71872"/>
                          <a:stretch>
                            <a:fillRect/>
                          </a:stretch>
                        </pic:blipFill>
                        <pic:spPr>
                          <a:xfrm>
                            <a:off x="0" y="0"/>
                            <a:ext cx="1391920" cy="1296035"/>
                          </a:xfrm>
                          <a:prstGeom prst="rect">
                            <a:avLst/>
                          </a:prstGeom>
                          <a:noFill/>
                          <a:ln>
                            <a:noFill/>
                          </a:ln>
                        </pic:spPr>
                      </pic:pic>
                    </a:graphicData>
                  </a:graphic>
                </wp:inline>
              </w:drawing>
            </w:r>
          </w:p>
        </w:tc>
        <w:tc>
          <w:tcPr>
            <w:tcW w:w="3100" w:type="dxa"/>
            <w:vAlign w:val="center"/>
          </w:tcPr>
          <w:p w14:paraId="21BF40C8">
            <w:pPr>
              <w:adjustRightInd w:val="0"/>
              <w:snapToGrid w:val="0"/>
              <w:jc w:val="center"/>
              <w:rPr>
                <w:color w:val="auto"/>
                <w:kern w:val="0"/>
                <w:sz w:val="20"/>
                <w:szCs w:val="20"/>
              </w:rPr>
            </w:pPr>
            <w:r>
              <w:rPr>
                <w:color w:val="auto"/>
                <w:kern w:val="0"/>
                <w:sz w:val="20"/>
                <w:szCs w:val="20"/>
              </w:rPr>
              <w:drawing>
                <wp:inline distT="0" distB="0" distL="114300" distR="114300">
                  <wp:extent cx="1511935" cy="1296035"/>
                  <wp:effectExtent l="0" t="0" r="12065" b="14605"/>
                  <wp:docPr id="4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6"/>
                          <pic:cNvPicPr>
                            <a:picLocks noChangeAspect="1"/>
                          </pic:cNvPicPr>
                        </pic:nvPicPr>
                        <pic:blipFill>
                          <a:blip r:embed="rId22"/>
                          <a:srcRect l="31464" r="37979"/>
                          <a:stretch>
                            <a:fillRect/>
                          </a:stretch>
                        </pic:blipFill>
                        <pic:spPr>
                          <a:xfrm>
                            <a:off x="0" y="0"/>
                            <a:ext cx="1511935" cy="1296035"/>
                          </a:xfrm>
                          <a:prstGeom prst="rect">
                            <a:avLst/>
                          </a:prstGeom>
                          <a:noFill/>
                          <a:ln>
                            <a:noFill/>
                          </a:ln>
                        </pic:spPr>
                      </pic:pic>
                    </a:graphicData>
                  </a:graphic>
                </wp:inline>
              </w:drawing>
            </w:r>
          </w:p>
        </w:tc>
        <w:tc>
          <w:tcPr>
            <w:tcW w:w="2956" w:type="dxa"/>
            <w:vAlign w:val="center"/>
          </w:tcPr>
          <w:p w14:paraId="4F61566C">
            <w:pPr>
              <w:adjustRightInd w:val="0"/>
              <w:snapToGrid w:val="0"/>
              <w:jc w:val="center"/>
              <w:rPr>
                <w:color w:val="auto"/>
                <w:kern w:val="0"/>
                <w:sz w:val="20"/>
                <w:szCs w:val="20"/>
              </w:rPr>
            </w:pPr>
            <w:r>
              <w:rPr>
                <w:color w:val="auto"/>
              </w:rPr>
              <w:object>
                <v:shape id="_x0000_i1026" o:spt="75" type="#_x0000_t75" style="height:102pt;width:132pt;" o:ole="t" filled="f" o:preferrelative="t" stroked="f" coordsize="21600,21600">
                  <v:path/>
                  <v:fill on="f" focussize="0,0"/>
                  <v:stroke on="f" joinstyle="miter"/>
                  <v:imagedata r:id="rId24" cropleft="43454f" cropright="-139f" o:title=""/>
                  <o:lock v:ext="edit" aspectratio="t"/>
                  <w10:wrap type="none"/>
                  <w10:anchorlock/>
                </v:shape>
                <o:OLEObject Type="Embed" ProgID="Visio.Drawing.15" ShapeID="_x0000_i1026" DrawAspect="Content" ObjectID="_1468075726" r:id="rId23">
                  <o:LockedField>false</o:LockedField>
                </o:OLEObject>
              </w:object>
            </w:r>
          </w:p>
        </w:tc>
      </w:tr>
      <w:tr w14:paraId="7C74A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66" w:type="dxa"/>
            <w:vAlign w:val="center"/>
          </w:tcPr>
          <w:p w14:paraId="52A60D38">
            <w:pPr>
              <w:spacing w:line="312" w:lineRule="auto"/>
              <w:jc w:val="center"/>
              <w:rPr>
                <w:rFonts w:eastAsia="楷体"/>
                <w:color w:val="auto"/>
                <w:szCs w:val="21"/>
              </w:rPr>
            </w:pPr>
            <w:r>
              <w:rPr>
                <w:rFonts w:hint="eastAsia" w:eastAsia="楷体"/>
                <w:color w:val="auto"/>
                <w:szCs w:val="21"/>
              </w:rPr>
              <w:t>（a）</w:t>
            </w:r>
            <w:r>
              <w:rPr>
                <w:rFonts w:eastAsia="楷体"/>
                <w:color w:val="auto"/>
                <w:szCs w:val="21"/>
              </w:rPr>
              <w:t>并列式</w:t>
            </w:r>
          </w:p>
        </w:tc>
        <w:tc>
          <w:tcPr>
            <w:tcW w:w="3100" w:type="dxa"/>
            <w:vAlign w:val="center"/>
          </w:tcPr>
          <w:p w14:paraId="6104A9D2">
            <w:pPr>
              <w:spacing w:line="312" w:lineRule="auto"/>
              <w:jc w:val="center"/>
              <w:rPr>
                <w:rFonts w:eastAsia="楷体"/>
                <w:color w:val="auto"/>
                <w:szCs w:val="21"/>
              </w:rPr>
            </w:pPr>
            <w:r>
              <w:rPr>
                <w:rFonts w:hint="eastAsia" w:eastAsia="楷体"/>
                <w:color w:val="auto"/>
                <w:szCs w:val="21"/>
              </w:rPr>
              <w:t>（b）</w:t>
            </w:r>
            <w:r>
              <w:rPr>
                <w:rFonts w:eastAsia="楷体"/>
                <w:color w:val="auto"/>
                <w:szCs w:val="21"/>
              </w:rPr>
              <w:t>交错式</w:t>
            </w:r>
          </w:p>
        </w:tc>
        <w:tc>
          <w:tcPr>
            <w:tcW w:w="2956" w:type="dxa"/>
            <w:vAlign w:val="center"/>
          </w:tcPr>
          <w:p w14:paraId="3A784C80">
            <w:pPr>
              <w:spacing w:line="312" w:lineRule="auto"/>
              <w:jc w:val="center"/>
              <w:rPr>
                <w:rFonts w:eastAsia="楷体"/>
                <w:color w:val="auto"/>
                <w:szCs w:val="21"/>
              </w:rPr>
            </w:pPr>
            <w:r>
              <w:rPr>
                <w:rFonts w:hint="eastAsia" w:eastAsia="楷体"/>
                <w:color w:val="auto"/>
                <w:szCs w:val="21"/>
              </w:rPr>
              <w:t>（c）</w:t>
            </w:r>
            <w:r>
              <w:rPr>
                <w:rFonts w:eastAsia="楷体"/>
                <w:color w:val="auto"/>
                <w:szCs w:val="21"/>
              </w:rPr>
              <w:t>骑楼式</w:t>
            </w:r>
          </w:p>
        </w:tc>
      </w:tr>
      <w:tr w14:paraId="1DE99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66" w:type="dxa"/>
            <w:vAlign w:val="center"/>
          </w:tcPr>
          <w:p w14:paraId="1DCA5CE6">
            <w:pPr>
              <w:adjustRightInd w:val="0"/>
              <w:snapToGrid w:val="0"/>
              <w:jc w:val="center"/>
              <w:rPr>
                <w:color w:val="auto"/>
                <w:kern w:val="0"/>
                <w:sz w:val="20"/>
                <w:szCs w:val="20"/>
              </w:rPr>
            </w:pPr>
            <w:r>
              <w:rPr>
                <w:color w:val="auto"/>
                <w:kern w:val="0"/>
                <w:sz w:val="20"/>
                <w:szCs w:val="20"/>
              </w:rPr>
              <w:drawing>
                <wp:inline distT="0" distB="0" distL="114300" distR="114300">
                  <wp:extent cx="1463040" cy="1296035"/>
                  <wp:effectExtent l="0" t="0" r="0" b="14605"/>
                  <wp:docPr id="6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8"/>
                          <pic:cNvPicPr>
                            <a:picLocks noChangeAspect="1"/>
                          </pic:cNvPicPr>
                        </pic:nvPicPr>
                        <pic:blipFill>
                          <a:blip r:embed="rId25"/>
                          <a:stretch>
                            <a:fillRect/>
                          </a:stretch>
                        </pic:blipFill>
                        <pic:spPr>
                          <a:xfrm>
                            <a:off x="0" y="0"/>
                            <a:ext cx="1463040" cy="1296035"/>
                          </a:xfrm>
                          <a:prstGeom prst="rect">
                            <a:avLst/>
                          </a:prstGeom>
                          <a:noFill/>
                          <a:ln>
                            <a:noFill/>
                          </a:ln>
                        </pic:spPr>
                      </pic:pic>
                    </a:graphicData>
                  </a:graphic>
                </wp:inline>
              </w:drawing>
            </w:r>
          </w:p>
        </w:tc>
        <w:tc>
          <w:tcPr>
            <w:tcW w:w="3100" w:type="dxa"/>
            <w:vAlign w:val="center"/>
          </w:tcPr>
          <w:p w14:paraId="5CA39DD1">
            <w:pPr>
              <w:adjustRightInd w:val="0"/>
              <w:snapToGrid w:val="0"/>
              <w:jc w:val="center"/>
              <w:rPr>
                <w:color w:val="auto"/>
                <w:kern w:val="0"/>
                <w:sz w:val="20"/>
                <w:szCs w:val="20"/>
              </w:rPr>
            </w:pPr>
            <w:r>
              <w:rPr>
                <w:color w:val="auto"/>
                <w:kern w:val="0"/>
                <w:sz w:val="20"/>
                <w:szCs w:val="20"/>
              </w:rPr>
              <w:drawing>
                <wp:inline distT="0" distB="0" distL="114300" distR="114300">
                  <wp:extent cx="1260475" cy="1296035"/>
                  <wp:effectExtent l="0" t="0" r="4445" b="14605"/>
                  <wp:docPr id="6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9"/>
                          <pic:cNvPicPr>
                            <a:picLocks noChangeAspect="1"/>
                          </pic:cNvPicPr>
                        </pic:nvPicPr>
                        <pic:blipFill>
                          <a:blip r:embed="rId26"/>
                          <a:stretch>
                            <a:fillRect/>
                          </a:stretch>
                        </pic:blipFill>
                        <pic:spPr>
                          <a:xfrm>
                            <a:off x="0" y="0"/>
                            <a:ext cx="1260475" cy="1296035"/>
                          </a:xfrm>
                          <a:prstGeom prst="rect">
                            <a:avLst/>
                          </a:prstGeom>
                          <a:noFill/>
                          <a:ln>
                            <a:noFill/>
                          </a:ln>
                        </pic:spPr>
                      </pic:pic>
                    </a:graphicData>
                  </a:graphic>
                </wp:inline>
              </w:drawing>
            </w:r>
          </w:p>
        </w:tc>
        <w:tc>
          <w:tcPr>
            <w:tcW w:w="2956" w:type="dxa"/>
            <w:vAlign w:val="center"/>
          </w:tcPr>
          <w:p w14:paraId="26BEE023">
            <w:pPr>
              <w:adjustRightInd w:val="0"/>
              <w:snapToGrid w:val="0"/>
              <w:jc w:val="center"/>
              <w:rPr>
                <w:color w:val="auto"/>
                <w:kern w:val="0"/>
                <w:sz w:val="20"/>
                <w:szCs w:val="20"/>
              </w:rPr>
            </w:pPr>
            <w:r>
              <w:rPr>
                <w:color w:val="auto"/>
                <w:kern w:val="0"/>
                <w:sz w:val="20"/>
                <w:szCs w:val="20"/>
              </w:rPr>
              <w:drawing>
                <wp:inline distT="0" distB="0" distL="114300" distR="114300">
                  <wp:extent cx="1676400" cy="1296035"/>
                  <wp:effectExtent l="0" t="0" r="0" b="14605"/>
                  <wp:docPr id="6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0"/>
                          <pic:cNvPicPr>
                            <a:picLocks noChangeAspect="1"/>
                          </pic:cNvPicPr>
                        </pic:nvPicPr>
                        <pic:blipFill>
                          <a:blip r:embed="rId27"/>
                          <a:stretch>
                            <a:fillRect/>
                          </a:stretch>
                        </pic:blipFill>
                        <pic:spPr>
                          <a:xfrm>
                            <a:off x="0" y="0"/>
                            <a:ext cx="1676400" cy="1296035"/>
                          </a:xfrm>
                          <a:prstGeom prst="rect">
                            <a:avLst/>
                          </a:prstGeom>
                          <a:noFill/>
                          <a:ln>
                            <a:noFill/>
                          </a:ln>
                        </pic:spPr>
                      </pic:pic>
                    </a:graphicData>
                  </a:graphic>
                </wp:inline>
              </w:drawing>
            </w:r>
          </w:p>
        </w:tc>
      </w:tr>
      <w:tr w14:paraId="3E6AC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66" w:type="dxa"/>
            <w:shd w:val="clear" w:color="auto" w:fill="auto"/>
            <w:vAlign w:val="center"/>
          </w:tcPr>
          <w:p w14:paraId="0265726B">
            <w:pPr>
              <w:spacing w:line="312" w:lineRule="auto"/>
              <w:jc w:val="center"/>
              <w:rPr>
                <w:rFonts w:eastAsia="楷体"/>
                <w:color w:val="auto"/>
                <w:szCs w:val="21"/>
              </w:rPr>
            </w:pPr>
            <w:r>
              <w:rPr>
                <w:rFonts w:hint="eastAsia" w:eastAsia="楷体"/>
                <w:color w:val="auto"/>
                <w:szCs w:val="21"/>
              </w:rPr>
              <w:t>（d）</w:t>
            </w:r>
            <w:r>
              <w:rPr>
                <w:rFonts w:eastAsia="楷体"/>
                <w:color w:val="auto"/>
                <w:szCs w:val="21"/>
              </w:rPr>
              <w:t>底部大空间式</w:t>
            </w:r>
          </w:p>
        </w:tc>
        <w:tc>
          <w:tcPr>
            <w:tcW w:w="3100" w:type="dxa"/>
            <w:shd w:val="clear" w:color="auto" w:fill="auto"/>
            <w:vAlign w:val="center"/>
          </w:tcPr>
          <w:p w14:paraId="7944DAE8">
            <w:pPr>
              <w:spacing w:line="312" w:lineRule="auto"/>
              <w:jc w:val="center"/>
              <w:rPr>
                <w:rFonts w:eastAsia="楷体"/>
                <w:color w:val="auto"/>
                <w:szCs w:val="21"/>
              </w:rPr>
            </w:pPr>
            <w:r>
              <w:rPr>
                <w:rFonts w:hint="eastAsia" w:eastAsia="楷体"/>
                <w:color w:val="auto"/>
                <w:szCs w:val="21"/>
              </w:rPr>
              <w:t>（e）</w:t>
            </w:r>
            <w:r>
              <w:rPr>
                <w:rFonts w:eastAsia="楷体"/>
                <w:color w:val="auto"/>
                <w:szCs w:val="21"/>
              </w:rPr>
              <w:t>阳台交错立面式</w:t>
            </w:r>
          </w:p>
        </w:tc>
        <w:tc>
          <w:tcPr>
            <w:tcW w:w="2956" w:type="dxa"/>
            <w:shd w:val="clear" w:color="auto" w:fill="auto"/>
            <w:vAlign w:val="center"/>
          </w:tcPr>
          <w:p w14:paraId="2DD1C26E">
            <w:pPr>
              <w:spacing w:line="312" w:lineRule="auto"/>
              <w:jc w:val="center"/>
              <w:rPr>
                <w:rFonts w:eastAsia="楷体"/>
                <w:color w:val="auto"/>
                <w:szCs w:val="21"/>
              </w:rPr>
            </w:pPr>
            <w:r>
              <w:rPr>
                <w:rFonts w:hint="eastAsia" w:eastAsia="楷体"/>
                <w:color w:val="auto"/>
                <w:szCs w:val="21"/>
              </w:rPr>
              <w:t>（f）</w:t>
            </w:r>
            <w:r>
              <w:rPr>
                <w:rFonts w:eastAsia="楷体"/>
                <w:color w:val="auto"/>
                <w:szCs w:val="21"/>
              </w:rPr>
              <w:t>C字型</w:t>
            </w:r>
          </w:p>
        </w:tc>
      </w:tr>
      <w:tr w14:paraId="43A85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66" w:type="dxa"/>
            <w:shd w:val="clear" w:color="auto" w:fill="auto"/>
            <w:vAlign w:val="center"/>
          </w:tcPr>
          <w:p w14:paraId="41879099">
            <w:pPr>
              <w:adjustRightInd w:val="0"/>
              <w:snapToGrid w:val="0"/>
              <w:jc w:val="center"/>
              <w:rPr>
                <w:color w:val="auto"/>
                <w:kern w:val="0"/>
                <w:sz w:val="20"/>
                <w:szCs w:val="20"/>
              </w:rPr>
            </w:pPr>
            <w:r>
              <w:rPr>
                <w:color w:val="auto"/>
                <w:kern w:val="0"/>
                <w:sz w:val="20"/>
                <w:szCs w:val="20"/>
              </w:rPr>
              <w:drawing>
                <wp:inline distT="0" distB="0" distL="114300" distR="114300">
                  <wp:extent cx="1477010" cy="1296035"/>
                  <wp:effectExtent l="0" t="0" r="1270" b="14605"/>
                  <wp:docPr id="6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1"/>
                          <pic:cNvPicPr>
                            <a:picLocks noChangeAspect="1"/>
                          </pic:cNvPicPr>
                        </pic:nvPicPr>
                        <pic:blipFill>
                          <a:blip r:embed="rId28"/>
                          <a:stretch>
                            <a:fillRect/>
                          </a:stretch>
                        </pic:blipFill>
                        <pic:spPr>
                          <a:xfrm>
                            <a:off x="0" y="0"/>
                            <a:ext cx="1477010" cy="1296035"/>
                          </a:xfrm>
                          <a:prstGeom prst="rect">
                            <a:avLst/>
                          </a:prstGeom>
                          <a:noFill/>
                          <a:ln>
                            <a:noFill/>
                          </a:ln>
                        </pic:spPr>
                      </pic:pic>
                    </a:graphicData>
                  </a:graphic>
                </wp:inline>
              </w:drawing>
            </w:r>
          </w:p>
        </w:tc>
        <w:tc>
          <w:tcPr>
            <w:tcW w:w="3100" w:type="dxa"/>
            <w:shd w:val="clear" w:color="auto" w:fill="auto"/>
            <w:vAlign w:val="center"/>
          </w:tcPr>
          <w:p w14:paraId="7EACD594">
            <w:pPr>
              <w:adjustRightInd w:val="0"/>
              <w:snapToGrid w:val="0"/>
              <w:jc w:val="center"/>
              <w:rPr>
                <w:color w:val="auto"/>
                <w:kern w:val="0"/>
                <w:sz w:val="20"/>
                <w:szCs w:val="20"/>
              </w:rPr>
            </w:pPr>
            <w:r>
              <w:rPr>
                <w:color w:val="auto"/>
                <w:kern w:val="0"/>
                <w:sz w:val="20"/>
                <w:szCs w:val="20"/>
              </w:rPr>
              <w:drawing>
                <wp:inline distT="0" distB="0" distL="114300" distR="114300">
                  <wp:extent cx="1905000" cy="1296035"/>
                  <wp:effectExtent l="0" t="0" r="0" b="14605"/>
                  <wp:docPr id="6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4"/>
                          <pic:cNvPicPr>
                            <a:picLocks noChangeAspect="1"/>
                          </pic:cNvPicPr>
                        </pic:nvPicPr>
                        <pic:blipFill>
                          <a:blip r:embed="rId29"/>
                          <a:stretch>
                            <a:fillRect/>
                          </a:stretch>
                        </pic:blipFill>
                        <pic:spPr>
                          <a:xfrm>
                            <a:off x="0" y="0"/>
                            <a:ext cx="1905000" cy="1296035"/>
                          </a:xfrm>
                          <a:prstGeom prst="rect">
                            <a:avLst/>
                          </a:prstGeom>
                          <a:noFill/>
                          <a:ln>
                            <a:noFill/>
                          </a:ln>
                        </pic:spPr>
                      </pic:pic>
                    </a:graphicData>
                  </a:graphic>
                </wp:inline>
              </w:drawing>
            </w:r>
          </w:p>
        </w:tc>
        <w:tc>
          <w:tcPr>
            <w:tcW w:w="2956" w:type="dxa"/>
            <w:shd w:val="clear" w:color="auto" w:fill="auto"/>
            <w:vAlign w:val="center"/>
          </w:tcPr>
          <w:p w14:paraId="30A50AA2">
            <w:pPr>
              <w:adjustRightInd w:val="0"/>
              <w:snapToGrid w:val="0"/>
              <w:jc w:val="center"/>
              <w:rPr>
                <w:color w:val="auto"/>
                <w:kern w:val="0"/>
                <w:sz w:val="20"/>
                <w:szCs w:val="20"/>
              </w:rPr>
            </w:pPr>
            <w:r>
              <w:rPr>
                <w:color w:val="auto"/>
                <w:kern w:val="0"/>
                <w:sz w:val="20"/>
                <w:szCs w:val="20"/>
              </w:rPr>
              <w:drawing>
                <wp:inline distT="0" distB="0" distL="114300" distR="114300">
                  <wp:extent cx="1804670" cy="1296035"/>
                  <wp:effectExtent l="0" t="0" r="8890" b="14605"/>
                  <wp:docPr id="6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5"/>
                          <pic:cNvPicPr>
                            <a:picLocks noChangeAspect="1"/>
                          </pic:cNvPicPr>
                        </pic:nvPicPr>
                        <pic:blipFill>
                          <a:blip r:embed="rId30"/>
                          <a:stretch>
                            <a:fillRect/>
                          </a:stretch>
                        </pic:blipFill>
                        <pic:spPr>
                          <a:xfrm>
                            <a:off x="0" y="0"/>
                            <a:ext cx="1804670" cy="1296035"/>
                          </a:xfrm>
                          <a:prstGeom prst="rect">
                            <a:avLst/>
                          </a:prstGeom>
                          <a:noFill/>
                          <a:ln>
                            <a:noFill/>
                          </a:ln>
                        </pic:spPr>
                      </pic:pic>
                    </a:graphicData>
                  </a:graphic>
                </wp:inline>
              </w:drawing>
            </w:r>
          </w:p>
        </w:tc>
      </w:tr>
      <w:tr w14:paraId="3C2E1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66" w:type="dxa"/>
            <w:shd w:val="clear" w:color="auto" w:fill="auto"/>
            <w:vAlign w:val="center"/>
          </w:tcPr>
          <w:p w14:paraId="1FFC25EB">
            <w:pPr>
              <w:spacing w:line="312" w:lineRule="auto"/>
              <w:jc w:val="center"/>
              <w:rPr>
                <w:rFonts w:eastAsia="楷体"/>
                <w:color w:val="auto"/>
                <w:szCs w:val="21"/>
              </w:rPr>
            </w:pPr>
            <w:r>
              <w:rPr>
                <w:rFonts w:hint="eastAsia" w:eastAsia="楷体"/>
                <w:color w:val="auto"/>
                <w:szCs w:val="21"/>
              </w:rPr>
              <w:t>（g）</w:t>
            </w:r>
            <w:r>
              <w:rPr>
                <w:rFonts w:eastAsia="楷体"/>
                <w:color w:val="auto"/>
                <w:szCs w:val="21"/>
              </w:rPr>
              <w:t>口字型</w:t>
            </w:r>
          </w:p>
        </w:tc>
        <w:tc>
          <w:tcPr>
            <w:tcW w:w="3100" w:type="dxa"/>
            <w:shd w:val="clear" w:color="auto" w:fill="auto"/>
            <w:vAlign w:val="center"/>
          </w:tcPr>
          <w:p w14:paraId="4A4D8F5E">
            <w:pPr>
              <w:spacing w:line="312" w:lineRule="auto"/>
              <w:jc w:val="center"/>
              <w:rPr>
                <w:rFonts w:eastAsia="楷体"/>
                <w:color w:val="auto"/>
                <w:szCs w:val="21"/>
              </w:rPr>
            </w:pPr>
            <w:r>
              <w:rPr>
                <w:rFonts w:hint="eastAsia" w:eastAsia="楷体"/>
                <w:color w:val="auto"/>
                <w:szCs w:val="21"/>
              </w:rPr>
              <w:t>（h）</w:t>
            </w:r>
            <w:r>
              <w:rPr>
                <w:rFonts w:eastAsia="楷体"/>
                <w:color w:val="auto"/>
                <w:szCs w:val="21"/>
              </w:rPr>
              <w:t>内廊式</w:t>
            </w:r>
          </w:p>
        </w:tc>
        <w:tc>
          <w:tcPr>
            <w:tcW w:w="2956" w:type="dxa"/>
            <w:shd w:val="clear" w:color="auto" w:fill="auto"/>
            <w:vAlign w:val="center"/>
          </w:tcPr>
          <w:p w14:paraId="1C2AED8F">
            <w:pPr>
              <w:spacing w:line="312" w:lineRule="auto"/>
              <w:jc w:val="center"/>
              <w:rPr>
                <w:rFonts w:eastAsia="楷体"/>
                <w:color w:val="auto"/>
                <w:szCs w:val="21"/>
              </w:rPr>
            </w:pPr>
            <w:r>
              <w:rPr>
                <w:rFonts w:hint="eastAsia" w:eastAsia="楷体"/>
                <w:color w:val="auto"/>
                <w:szCs w:val="21"/>
              </w:rPr>
              <w:t>（i）</w:t>
            </w:r>
            <w:r>
              <w:rPr>
                <w:rFonts w:eastAsia="楷体"/>
                <w:color w:val="auto"/>
                <w:szCs w:val="21"/>
              </w:rPr>
              <w:t>外廊式</w:t>
            </w:r>
          </w:p>
        </w:tc>
      </w:tr>
    </w:tbl>
    <w:p w14:paraId="575B6198">
      <w:pPr>
        <w:spacing w:line="312" w:lineRule="auto"/>
        <w:jc w:val="center"/>
        <w:rPr>
          <w:rFonts w:eastAsia="楷体"/>
          <w:color w:val="auto"/>
          <w:szCs w:val="21"/>
        </w:rPr>
      </w:pPr>
      <w:r>
        <w:rPr>
          <w:rFonts w:eastAsia="楷体"/>
          <w:color w:val="auto"/>
          <w:szCs w:val="21"/>
        </w:rPr>
        <w:t>图</w:t>
      </w:r>
      <w:r>
        <w:rPr>
          <w:rFonts w:hint="eastAsia" w:eastAsia="楷体"/>
          <w:color w:val="auto"/>
          <w:szCs w:val="21"/>
        </w:rPr>
        <w:t>7</w:t>
      </w:r>
      <w:r>
        <w:rPr>
          <w:rFonts w:eastAsia="楷体"/>
          <w:color w:val="auto"/>
          <w:szCs w:val="21"/>
        </w:rPr>
        <w:t xml:space="preserve">  框架式模块单元组合形式示意</w:t>
      </w:r>
    </w:p>
    <w:p w14:paraId="288A335A">
      <w:pPr>
        <w:pStyle w:val="3"/>
        <w:rPr>
          <w:color w:val="auto"/>
        </w:rPr>
      </w:pPr>
      <w:bookmarkStart w:id="139" w:name="_Toc11410"/>
      <w:bookmarkStart w:id="140" w:name="_Toc31939"/>
      <w:bookmarkStart w:id="141" w:name="_Toc3363"/>
      <w:bookmarkStart w:id="142" w:name="_Toc18085"/>
      <w:bookmarkStart w:id="143" w:name="_Toc19455"/>
      <w:bookmarkStart w:id="144" w:name="_Toc3933"/>
      <w:bookmarkStart w:id="145" w:name="_Toc549"/>
      <w:bookmarkStart w:id="146" w:name="_Toc26682"/>
      <w:bookmarkStart w:id="147" w:name="_Toc17037"/>
      <w:r>
        <w:rPr>
          <w:b/>
          <w:bCs w:val="0"/>
          <w:color w:val="auto"/>
        </w:rPr>
        <w:t>5</w:t>
      </w:r>
      <w:r>
        <w:rPr>
          <w:rFonts w:hint="eastAsia"/>
          <w:b/>
          <w:bCs w:val="0"/>
          <w:color w:val="auto"/>
        </w:rPr>
        <w:t>.</w:t>
      </w:r>
      <w:r>
        <w:rPr>
          <w:b/>
          <w:bCs w:val="0"/>
          <w:color w:val="auto"/>
        </w:rPr>
        <w:t>4</w:t>
      </w:r>
      <w:r>
        <w:rPr>
          <w:rFonts w:hint="eastAsia"/>
          <w:color w:val="auto"/>
        </w:rPr>
        <w:t xml:space="preserve">  外围护系统</w:t>
      </w:r>
      <w:bookmarkEnd w:id="139"/>
      <w:bookmarkEnd w:id="140"/>
      <w:bookmarkEnd w:id="141"/>
      <w:bookmarkEnd w:id="142"/>
      <w:bookmarkEnd w:id="143"/>
      <w:bookmarkEnd w:id="144"/>
      <w:bookmarkEnd w:id="145"/>
      <w:bookmarkEnd w:id="146"/>
      <w:bookmarkEnd w:id="147"/>
    </w:p>
    <w:p w14:paraId="5AE9A56C">
      <w:pPr>
        <w:numPr>
          <w:ilvl w:val="0"/>
          <w:numId w:val="11"/>
        </w:numPr>
        <w:spacing w:line="312" w:lineRule="auto"/>
        <w:rPr>
          <w:color w:val="auto"/>
        </w:rPr>
      </w:pPr>
      <w:r>
        <w:rPr>
          <w:rFonts w:hint="eastAsia"/>
          <w:color w:val="auto"/>
        </w:rPr>
        <w:t>模块化建筑应合理确定外围护系统的设计使用年限，住宅建筑的外围护系统的设计工作年限应与主体结构相协调。</w:t>
      </w:r>
    </w:p>
    <w:p w14:paraId="50BFF543">
      <w:pPr>
        <w:numPr>
          <w:ilvl w:val="0"/>
          <w:numId w:val="11"/>
        </w:numPr>
        <w:spacing w:line="312" w:lineRule="auto"/>
        <w:rPr>
          <w:color w:val="auto"/>
        </w:rPr>
      </w:pPr>
      <w:r>
        <w:rPr>
          <w:rFonts w:hint="eastAsia"/>
          <w:color w:val="auto"/>
        </w:rPr>
        <w:t>模块化建筑的外围护系统应根据当地气候条件、使用功能等综合确定抗风、抗震、节能、耐撞击、防火、水密、气密、隔声、热工和耐久性能等要求，屋面系统尚应满足结构性能要求。</w:t>
      </w:r>
    </w:p>
    <w:p w14:paraId="17C71293">
      <w:pPr>
        <w:pStyle w:val="33"/>
        <w:rPr>
          <w:color w:val="auto"/>
        </w:rPr>
      </w:pPr>
      <w:r>
        <w:rPr>
          <w:rFonts w:hint="eastAsia" w:ascii="楷体" w:hAnsi="楷体" w:cs="楷体"/>
          <w:color w:val="auto"/>
          <w:szCs w:val="21"/>
        </w:rPr>
        <w:t>【条文说明】</w:t>
      </w:r>
      <w:r>
        <w:rPr>
          <w:rFonts w:hint="eastAsia"/>
          <w:color w:val="auto"/>
        </w:rPr>
        <w:t>在进行外围护系统的集成设计时，应根据不同材料特性、施工工艺和节点构造特点明确具体的性能要求，包括安全性、功能性和耐久性等，同时屋面系统还应增加结构性能要求，以满足可能出现的风荷载、积水荷载、遮阳装置及照明装置等的承载要求。</w:t>
      </w:r>
    </w:p>
    <w:p w14:paraId="5603EFB1">
      <w:pPr>
        <w:numPr>
          <w:ilvl w:val="0"/>
          <w:numId w:val="11"/>
        </w:numPr>
        <w:spacing w:line="312" w:lineRule="auto"/>
        <w:rPr>
          <w:color w:val="auto"/>
        </w:rPr>
      </w:pPr>
      <w:r>
        <w:rPr>
          <w:rFonts w:hint="eastAsia"/>
          <w:color w:val="auto"/>
        </w:rPr>
        <w:t>外墙应进行整体防水设计，并应符合下列规定：</w:t>
      </w:r>
    </w:p>
    <w:p w14:paraId="30212BD8">
      <w:pPr>
        <w:spacing w:line="312" w:lineRule="auto"/>
        <w:ind w:firstLine="422" w:firstLineChars="200"/>
        <w:rPr>
          <w:color w:val="auto"/>
        </w:rPr>
      </w:pPr>
      <w:r>
        <w:rPr>
          <w:b/>
          <w:color w:val="auto"/>
        </w:rPr>
        <w:t xml:space="preserve">1 </w:t>
      </w:r>
      <w:r>
        <w:rPr>
          <w:rFonts w:hint="eastAsia"/>
          <w:b/>
          <w:color w:val="auto"/>
        </w:rPr>
        <w:t xml:space="preserve"> </w:t>
      </w:r>
      <w:r>
        <w:rPr>
          <w:rFonts w:hint="eastAsia"/>
          <w:color w:val="auto"/>
        </w:rPr>
        <w:t>防水设计应包括外墙防水工程的构造、防水层材料的选择和节点的密封防水构造；</w:t>
      </w:r>
    </w:p>
    <w:p w14:paraId="08A009C6">
      <w:pPr>
        <w:spacing w:line="312" w:lineRule="auto"/>
        <w:ind w:firstLine="422" w:firstLineChars="200"/>
        <w:rPr>
          <w:color w:val="auto"/>
        </w:rPr>
      </w:pPr>
      <w:r>
        <w:rPr>
          <w:rFonts w:hint="eastAsia"/>
          <w:b/>
          <w:color w:val="auto"/>
        </w:rPr>
        <w:t>2</w:t>
      </w:r>
      <w:r>
        <w:rPr>
          <w:b/>
          <w:color w:val="auto"/>
        </w:rPr>
        <w:t xml:space="preserve"> </w:t>
      </w:r>
      <w:r>
        <w:rPr>
          <w:rFonts w:hint="eastAsia"/>
          <w:b/>
          <w:color w:val="auto"/>
        </w:rPr>
        <w:t xml:space="preserve"> </w:t>
      </w:r>
      <w:r>
        <w:rPr>
          <w:rFonts w:hint="eastAsia"/>
          <w:color w:val="auto"/>
        </w:rPr>
        <w:t>节点的防水设计应包括门窗洞口、雨篷、阳台、变形缝、伸出外墙管道、女儿墙压顶、外墙预埋件、模块单元等交接部位的防水构造；</w:t>
      </w:r>
    </w:p>
    <w:p w14:paraId="7B2A09BD">
      <w:pPr>
        <w:tabs>
          <w:tab w:val="left" w:pos="0"/>
        </w:tabs>
        <w:spacing w:line="312" w:lineRule="auto"/>
        <w:ind w:firstLine="422" w:firstLineChars="200"/>
        <w:rPr>
          <w:color w:val="auto"/>
        </w:rPr>
      </w:pPr>
      <w:r>
        <w:rPr>
          <w:rFonts w:hint="eastAsia"/>
          <w:b/>
          <w:color w:val="auto"/>
        </w:rPr>
        <w:t>3</w:t>
      </w:r>
      <w:r>
        <w:rPr>
          <w:b/>
          <w:color w:val="auto"/>
        </w:rPr>
        <w:t xml:space="preserve"> </w:t>
      </w:r>
      <w:r>
        <w:rPr>
          <w:rFonts w:hint="eastAsia"/>
          <w:b/>
          <w:color w:val="auto"/>
        </w:rPr>
        <w:t xml:space="preserve"> </w:t>
      </w:r>
      <w:r>
        <w:rPr>
          <w:rFonts w:hint="eastAsia"/>
          <w:color w:val="auto"/>
        </w:rPr>
        <w:t>防水材料宜采用弹性材料；</w:t>
      </w:r>
    </w:p>
    <w:p w14:paraId="43AF8466">
      <w:pPr>
        <w:spacing w:line="312" w:lineRule="auto"/>
        <w:ind w:firstLine="422" w:firstLineChars="200"/>
        <w:rPr>
          <w:color w:val="auto"/>
        </w:rPr>
      </w:pPr>
      <w:r>
        <w:rPr>
          <w:b/>
          <w:color w:val="auto"/>
        </w:rPr>
        <w:t xml:space="preserve">4 </w:t>
      </w:r>
      <w:r>
        <w:rPr>
          <w:rFonts w:hint="eastAsia"/>
          <w:b/>
          <w:color w:val="auto"/>
        </w:rPr>
        <w:t xml:space="preserve"> </w:t>
      </w:r>
      <w:r>
        <w:rPr>
          <w:rFonts w:hint="eastAsia"/>
          <w:color w:val="auto"/>
        </w:rPr>
        <w:t>预制和现浇混凝土交接处应采取有效的防渗措施，并宜结合建筑立面设置分隔线条；</w:t>
      </w:r>
    </w:p>
    <w:p w14:paraId="352A4559">
      <w:pPr>
        <w:spacing w:line="312" w:lineRule="auto"/>
        <w:ind w:firstLine="422" w:firstLineChars="200"/>
        <w:rPr>
          <w:color w:val="auto"/>
        </w:rPr>
      </w:pPr>
      <w:r>
        <w:rPr>
          <w:b/>
          <w:color w:val="auto"/>
        </w:rPr>
        <w:t>5</w:t>
      </w:r>
      <w:r>
        <w:rPr>
          <w:rFonts w:hint="eastAsia"/>
          <w:b/>
          <w:color w:val="auto"/>
        </w:rPr>
        <w:t xml:space="preserve">  </w:t>
      </w:r>
      <w:r>
        <w:rPr>
          <w:rFonts w:hint="eastAsia"/>
          <w:color w:val="auto"/>
        </w:rPr>
        <w:t>顶层框架式模块单元间外墙拼缝底部应采取排水措施。</w:t>
      </w:r>
    </w:p>
    <w:p w14:paraId="207D910B">
      <w:pPr>
        <w:pStyle w:val="33"/>
        <w:rPr>
          <w:color w:val="auto"/>
          <w:szCs w:val="21"/>
        </w:rPr>
      </w:pPr>
      <w:r>
        <w:rPr>
          <w:color w:val="auto"/>
          <w:szCs w:val="21"/>
        </w:rPr>
        <w:t>【条文说明】材料防水是靠防水材料阻断水的通路，以达到防水的目的或增加抗渗漏的能力。如接缝处采用耐候性密封胶等防水材料，用以阻断水的通路。构造防水是采取合适的构造形式，阻断水的通路，以达到防水的目的。如在接缝外口设置适当的线型构造，形成空腔，截断毛细管通路，利用排水构造将渗入接缝的雨水排出墙外，防止向室内渗漏。框架式模块单元竖向缝应分段设置导水管，间距宜每层设置，顶层外墙拼缝底部应设置导水管。模块化建筑外墙的设计关键在于模块单元之间竖向及水平接缝处防水构造的设计。图</w:t>
      </w:r>
      <w:r>
        <w:rPr>
          <w:rFonts w:hint="eastAsia"/>
          <w:color w:val="auto"/>
          <w:szCs w:val="21"/>
        </w:rPr>
        <w:t>8</w:t>
      </w:r>
      <w:r>
        <w:rPr>
          <w:color w:val="auto"/>
          <w:szCs w:val="21"/>
        </w:rPr>
        <w:t>和图9分别为外墙模块竖缝和横缝常用防水构造示意，仅供参考</w:t>
      </w:r>
      <w:r>
        <w:rPr>
          <w:rFonts w:hint="eastAsia"/>
          <w:color w:val="auto"/>
          <w:szCs w:val="21"/>
        </w:rPr>
        <w:t>，防水加强层可用防水砂浆加</w:t>
      </w:r>
      <w:r>
        <w:rPr>
          <w:color w:val="auto"/>
          <w:szCs w:val="21"/>
        </w:rPr>
        <w:t>耐碱玻纤网格布</w:t>
      </w:r>
      <w:r>
        <w:rPr>
          <w:rFonts w:hint="eastAsia"/>
          <w:color w:val="auto"/>
          <w:szCs w:val="21"/>
        </w:rPr>
        <w:t>或防水卷材等其它防水材料</w:t>
      </w:r>
      <w:r>
        <w:rPr>
          <w:color w:val="auto"/>
          <w:szCs w:val="21"/>
        </w:rPr>
        <w:t>。</w:t>
      </w:r>
    </w:p>
    <w:p w14:paraId="014FA82C">
      <w:pPr>
        <w:pStyle w:val="33"/>
        <w:adjustRightInd w:val="0"/>
        <w:snapToGrid w:val="0"/>
        <w:spacing w:line="240" w:lineRule="auto"/>
        <w:ind w:firstLine="0" w:firstLineChars="0"/>
        <w:jc w:val="center"/>
        <w:rPr>
          <w:color w:val="auto"/>
        </w:rPr>
      </w:pPr>
      <w:r>
        <w:rPr>
          <w:color w:val="auto"/>
        </w:rPr>
        <w:drawing>
          <wp:inline distT="0" distB="0" distL="114300" distR="114300">
            <wp:extent cx="3403600" cy="1526540"/>
            <wp:effectExtent l="0" t="0" r="6350" b="1651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31"/>
                    <a:stretch>
                      <a:fillRect/>
                    </a:stretch>
                  </pic:blipFill>
                  <pic:spPr>
                    <a:xfrm>
                      <a:off x="0" y="0"/>
                      <a:ext cx="3403600" cy="1526540"/>
                    </a:xfrm>
                    <a:prstGeom prst="rect">
                      <a:avLst/>
                    </a:prstGeom>
                    <a:noFill/>
                    <a:ln>
                      <a:noFill/>
                    </a:ln>
                  </pic:spPr>
                </pic:pic>
              </a:graphicData>
            </a:graphic>
          </wp:inline>
        </w:drawing>
      </w:r>
    </w:p>
    <w:p w14:paraId="699042A7">
      <w:pPr>
        <w:spacing w:line="312" w:lineRule="auto"/>
        <w:jc w:val="center"/>
        <w:rPr>
          <w:rFonts w:eastAsia="楷体"/>
          <w:color w:val="auto"/>
          <w:szCs w:val="21"/>
        </w:rPr>
      </w:pPr>
      <w:r>
        <w:rPr>
          <w:rFonts w:eastAsia="楷体"/>
          <w:color w:val="auto"/>
          <w:szCs w:val="21"/>
        </w:rPr>
        <w:t>1—</w:t>
      </w:r>
      <w:r>
        <w:rPr>
          <w:rFonts w:hint="eastAsia" w:eastAsia="楷体"/>
          <w:color w:val="auto"/>
          <w:szCs w:val="21"/>
        </w:rPr>
        <w:t>导水凹槽</w:t>
      </w:r>
      <w:r>
        <w:rPr>
          <w:rFonts w:eastAsia="楷体"/>
          <w:color w:val="auto"/>
          <w:szCs w:val="21"/>
        </w:rPr>
        <w:t>；2—发泡芯棒；3—防水密封胶；</w:t>
      </w:r>
    </w:p>
    <w:p w14:paraId="5F65A5C2">
      <w:pPr>
        <w:spacing w:line="312" w:lineRule="auto"/>
        <w:jc w:val="center"/>
        <w:rPr>
          <w:rFonts w:eastAsia="楷体"/>
          <w:color w:val="auto"/>
          <w:szCs w:val="21"/>
        </w:rPr>
      </w:pPr>
      <w:r>
        <w:rPr>
          <w:rFonts w:eastAsia="楷体"/>
          <w:color w:val="auto"/>
          <w:szCs w:val="21"/>
        </w:rPr>
        <w:t>4—预制外墙；5—防水</w:t>
      </w:r>
      <w:r>
        <w:rPr>
          <w:rFonts w:hint="eastAsia" w:eastAsia="楷体"/>
          <w:color w:val="auto"/>
          <w:szCs w:val="21"/>
        </w:rPr>
        <w:t>加强层</w:t>
      </w:r>
      <w:r>
        <w:rPr>
          <w:rFonts w:eastAsia="楷体"/>
          <w:color w:val="auto"/>
          <w:szCs w:val="21"/>
        </w:rPr>
        <w:t>；</w:t>
      </w:r>
      <w:r>
        <w:rPr>
          <w:rFonts w:hint="eastAsia" w:eastAsia="楷体"/>
          <w:color w:val="auto"/>
          <w:szCs w:val="21"/>
        </w:rPr>
        <w:t>6</w:t>
      </w:r>
      <w:r>
        <w:rPr>
          <w:rFonts w:eastAsia="楷体"/>
          <w:color w:val="auto"/>
          <w:szCs w:val="21"/>
        </w:rPr>
        <w:t>—建筑外墙做法</w:t>
      </w:r>
    </w:p>
    <w:p w14:paraId="0357D33A">
      <w:pPr>
        <w:spacing w:line="312" w:lineRule="auto"/>
        <w:jc w:val="center"/>
        <w:rPr>
          <w:rFonts w:eastAsia="楷体"/>
          <w:color w:val="auto"/>
          <w:szCs w:val="21"/>
        </w:rPr>
      </w:pPr>
      <w:r>
        <w:rPr>
          <w:rFonts w:eastAsia="楷体"/>
          <w:color w:val="auto"/>
          <w:szCs w:val="21"/>
        </w:rPr>
        <w:t>图8  外墙模块竖缝防水构造示意</w:t>
      </w:r>
    </w:p>
    <w:p w14:paraId="6A16B455">
      <w:pPr>
        <w:tabs>
          <w:tab w:val="left" w:pos="2652"/>
          <w:tab w:val="center" w:pos="4629"/>
        </w:tabs>
        <w:adjustRightInd w:val="0"/>
        <w:snapToGrid w:val="0"/>
        <w:jc w:val="center"/>
        <w:rPr>
          <w:rFonts w:eastAsia="黑体" w:cs="黑体"/>
          <w:bCs/>
          <w:color w:val="auto"/>
          <w:sz w:val="18"/>
          <w:szCs w:val="18"/>
        </w:rPr>
      </w:pPr>
      <w:r>
        <w:rPr>
          <w:color w:val="auto"/>
        </w:rPr>
        <w:drawing>
          <wp:inline distT="0" distB="0" distL="114300" distR="114300">
            <wp:extent cx="2644775" cy="2401570"/>
            <wp:effectExtent l="0" t="0" r="3175" b="1778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32"/>
                    <a:stretch>
                      <a:fillRect/>
                    </a:stretch>
                  </pic:blipFill>
                  <pic:spPr>
                    <a:xfrm>
                      <a:off x="0" y="0"/>
                      <a:ext cx="2644775" cy="2401570"/>
                    </a:xfrm>
                    <a:prstGeom prst="rect">
                      <a:avLst/>
                    </a:prstGeom>
                    <a:noFill/>
                    <a:ln>
                      <a:noFill/>
                    </a:ln>
                  </pic:spPr>
                </pic:pic>
              </a:graphicData>
            </a:graphic>
          </wp:inline>
        </w:drawing>
      </w:r>
    </w:p>
    <w:p w14:paraId="66C7DD6D">
      <w:pPr>
        <w:spacing w:line="312" w:lineRule="auto"/>
        <w:jc w:val="center"/>
        <w:rPr>
          <w:rFonts w:eastAsia="楷体"/>
          <w:color w:val="auto"/>
          <w:szCs w:val="21"/>
        </w:rPr>
      </w:pPr>
      <w:r>
        <w:rPr>
          <w:rFonts w:eastAsia="楷体"/>
          <w:color w:val="auto"/>
          <w:szCs w:val="21"/>
        </w:rPr>
        <w:t>1—叠合楼板；2—预制外墙；3—坐浆层；</w:t>
      </w:r>
    </w:p>
    <w:p w14:paraId="3521A212">
      <w:pPr>
        <w:spacing w:line="312" w:lineRule="auto"/>
        <w:jc w:val="center"/>
        <w:rPr>
          <w:rFonts w:eastAsia="楷体"/>
          <w:color w:val="auto"/>
          <w:szCs w:val="21"/>
        </w:rPr>
      </w:pPr>
      <w:r>
        <w:rPr>
          <w:rFonts w:eastAsia="楷体"/>
          <w:color w:val="auto"/>
          <w:szCs w:val="21"/>
        </w:rPr>
        <w:t>4—防水</w:t>
      </w:r>
      <w:r>
        <w:rPr>
          <w:rFonts w:hint="eastAsia" w:eastAsia="楷体"/>
          <w:color w:val="auto"/>
          <w:szCs w:val="21"/>
        </w:rPr>
        <w:t>加强层</w:t>
      </w:r>
      <w:r>
        <w:rPr>
          <w:rFonts w:eastAsia="楷体"/>
          <w:color w:val="auto"/>
          <w:szCs w:val="21"/>
        </w:rPr>
        <w:t>；</w:t>
      </w:r>
      <w:r>
        <w:rPr>
          <w:rFonts w:hint="eastAsia" w:eastAsia="楷体"/>
          <w:color w:val="auto"/>
          <w:szCs w:val="21"/>
        </w:rPr>
        <w:t>5</w:t>
      </w:r>
      <w:r>
        <w:rPr>
          <w:rFonts w:eastAsia="楷体"/>
          <w:color w:val="auto"/>
          <w:szCs w:val="21"/>
        </w:rPr>
        <w:t>—建筑外墙做法</w:t>
      </w:r>
    </w:p>
    <w:p w14:paraId="5135DED2">
      <w:pPr>
        <w:spacing w:line="312" w:lineRule="auto"/>
        <w:jc w:val="center"/>
        <w:rPr>
          <w:rFonts w:eastAsia="楷体"/>
          <w:color w:val="auto"/>
          <w:szCs w:val="21"/>
        </w:rPr>
      </w:pPr>
      <w:r>
        <w:rPr>
          <w:rFonts w:eastAsia="楷体"/>
          <w:color w:val="auto"/>
          <w:szCs w:val="21"/>
        </w:rPr>
        <w:t>图9  外墙模块横缝防水构造示意</w:t>
      </w:r>
    </w:p>
    <w:p w14:paraId="00A95E91">
      <w:pPr>
        <w:numPr>
          <w:ilvl w:val="0"/>
          <w:numId w:val="11"/>
        </w:numPr>
        <w:spacing w:line="312" w:lineRule="auto"/>
        <w:rPr>
          <w:color w:val="auto"/>
        </w:rPr>
      </w:pPr>
      <w:r>
        <w:rPr>
          <w:rFonts w:hint="eastAsia"/>
          <w:color w:val="auto"/>
        </w:rPr>
        <w:t>屋面防水设计应符合现行国家标准《屋面工程技术规范》GB 50345的规定，并应符合下列规定：</w:t>
      </w:r>
    </w:p>
    <w:p w14:paraId="41E8F7AF">
      <w:pPr>
        <w:spacing w:line="312" w:lineRule="auto"/>
        <w:ind w:firstLine="422" w:firstLineChars="200"/>
        <w:rPr>
          <w:b/>
          <w:color w:val="auto"/>
        </w:rPr>
      </w:pPr>
      <w:r>
        <w:rPr>
          <w:rFonts w:hint="eastAsia"/>
          <w:b/>
          <w:color w:val="auto"/>
        </w:rPr>
        <w:t xml:space="preserve">1  </w:t>
      </w:r>
      <w:r>
        <w:rPr>
          <w:rFonts w:hint="eastAsia"/>
          <w:bCs/>
          <w:color w:val="auto"/>
        </w:rPr>
        <w:t>模块化建筑宜采用平屋面；</w:t>
      </w:r>
    </w:p>
    <w:p w14:paraId="62A70044">
      <w:pPr>
        <w:spacing w:line="312" w:lineRule="auto"/>
        <w:ind w:firstLine="422" w:firstLineChars="200"/>
        <w:rPr>
          <w:color w:val="auto"/>
        </w:rPr>
      </w:pPr>
      <w:r>
        <w:rPr>
          <w:rFonts w:hint="eastAsia"/>
          <w:b/>
          <w:color w:val="auto"/>
        </w:rPr>
        <w:t>2</w:t>
      </w:r>
      <w:r>
        <w:rPr>
          <w:rFonts w:hint="eastAsia"/>
          <w:color w:val="auto"/>
        </w:rPr>
        <w:t xml:space="preserve">  当屋顶采用结构找坡时，坡度不应小于3%；采用材料找坡时，宜采用质量轻、吸水率低和有一定强度的材料，坡度宜为2%；</w:t>
      </w:r>
    </w:p>
    <w:p w14:paraId="1F1E1D12">
      <w:pPr>
        <w:spacing w:line="312" w:lineRule="auto"/>
        <w:ind w:firstLine="422" w:firstLineChars="200"/>
        <w:rPr>
          <w:color w:val="auto"/>
        </w:rPr>
      </w:pPr>
      <w:r>
        <w:rPr>
          <w:rFonts w:hint="eastAsia"/>
          <w:b/>
          <w:color w:val="auto"/>
        </w:rPr>
        <w:t xml:space="preserve">3  </w:t>
      </w:r>
      <w:r>
        <w:rPr>
          <w:rFonts w:hint="eastAsia"/>
          <w:color w:val="auto"/>
        </w:rPr>
        <w:t>屋面模块单元间的接缝应先封堵，采取防水加强措施后再浇筑混凝土叠合层。</w:t>
      </w:r>
    </w:p>
    <w:p w14:paraId="3222CBD8">
      <w:pPr>
        <w:pStyle w:val="33"/>
        <w:rPr>
          <w:color w:val="auto"/>
          <w:szCs w:val="21"/>
        </w:rPr>
      </w:pPr>
      <w:r>
        <w:rPr>
          <w:color w:val="auto"/>
          <w:szCs w:val="21"/>
        </w:rPr>
        <w:t>【条文说明】屋顶模块单元接缝周边钢筋较多，接缝处封堵和防水措施实施难度大，容易出现渗水隐患，图10为屋面</w:t>
      </w:r>
      <w:bookmarkStart w:id="148" w:name="OLE_LINK42"/>
      <w:r>
        <w:rPr>
          <w:color w:val="auto"/>
          <w:szCs w:val="21"/>
        </w:rPr>
        <w:t>模块单元接缝处</w:t>
      </w:r>
      <w:bookmarkEnd w:id="148"/>
      <w:r>
        <w:rPr>
          <w:color w:val="auto"/>
          <w:szCs w:val="21"/>
        </w:rPr>
        <w:t>常用的防水加强做法示意，仅供参考。</w:t>
      </w:r>
    </w:p>
    <w:p w14:paraId="541F2A58">
      <w:pPr>
        <w:autoSpaceDE w:val="0"/>
        <w:autoSpaceDN w:val="0"/>
        <w:jc w:val="center"/>
        <w:rPr>
          <w:rFonts w:eastAsia="黑体"/>
          <w:color w:val="auto"/>
          <w:kern w:val="0"/>
          <w:sz w:val="18"/>
          <w:szCs w:val="21"/>
        </w:rPr>
      </w:pPr>
      <w:r>
        <w:rPr>
          <w:rFonts w:ascii="宋体" w:hAnsi="宋体" w:cs="宋体"/>
          <w:color w:val="auto"/>
          <w:sz w:val="24"/>
          <w:szCs w:val="24"/>
        </w:rPr>
        <w:drawing>
          <wp:inline distT="0" distB="0" distL="114300" distR="114300">
            <wp:extent cx="2689860" cy="1815465"/>
            <wp:effectExtent l="0" t="0" r="7620" b="13335"/>
            <wp:docPr id="19"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descr="IMG_256"/>
                    <pic:cNvPicPr>
                      <a:picLocks noChangeAspect="1"/>
                    </pic:cNvPicPr>
                  </pic:nvPicPr>
                  <pic:blipFill>
                    <a:blip r:embed="rId33"/>
                    <a:stretch>
                      <a:fillRect/>
                    </a:stretch>
                  </pic:blipFill>
                  <pic:spPr>
                    <a:xfrm>
                      <a:off x="0" y="0"/>
                      <a:ext cx="2689860" cy="1815465"/>
                    </a:xfrm>
                    <a:prstGeom prst="rect">
                      <a:avLst/>
                    </a:prstGeom>
                    <a:noFill/>
                    <a:ln w="9525">
                      <a:noFill/>
                    </a:ln>
                  </pic:spPr>
                </pic:pic>
              </a:graphicData>
            </a:graphic>
          </wp:inline>
        </w:drawing>
      </w:r>
    </w:p>
    <w:p w14:paraId="18707D40">
      <w:pPr>
        <w:spacing w:line="312" w:lineRule="auto"/>
        <w:jc w:val="center"/>
        <w:rPr>
          <w:rFonts w:eastAsia="楷体"/>
          <w:color w:val="auto"/>
          <w:szCs w:val="21"/>
        </w:rPr>
      </w:pPr>
      <w:r>
        <w:rPr>
          <w:rFonts w:eastAsia="楷体"/>
          <w:color w:val="auto"/>
          <w:szCs w:val="21"/>
        </w:rPr>
        <w:t>1—建筑屋面做法；2—混凝土后浇区；3—T形专用密封胶条；4—发泡芯棒；</w:t>
      </w:r>
    </w:p>
    <w:p w14:paraId="68FB85F8">
      <w:pPr>
        <w:spacing w:line="312" w:lineRule="auto"/>
        <w:jc w:val="center"/>
        <w:rPr>
          <w:rFonts w:eastAsia="楷体"/>
          <w:color w:val="auto"/>
          <w:szCs w:val="21"/>
        </w:rPr>
      </w:pPr>
      <w:r>
        <w:rPr>
          <w:rFonts w:eastAsia="楷体"/>
          <w:color w:val="auto"/>
          <w:szCs w:val="21"/>
        </w:rPr>
        <w:t>5—屋顶</w:t>
      </w:r>
      <w:r>
        <w:rPr>
          <w:rFonts w:hint="eastAsia" w:eastAsia="楷体"/>
          <w:color w:val="auto"/>
          <w:szCs w:val="21"/>
        </w:rPr>
        <w:t>框架式</w:t>
      </w:r>
      <w:r>
        <w:rPr>
          <w:rFonts w:eastAsia="楷体"/>
          <w:color w:val="auto"/>
          <w:szCs w:val="21"/>
        </w:rPr>
        <w:t>模块</w:t>
      </w:r>
    </w:p>
    <w:p w14:paraId="29F16B61">
      <w:pPr>
        <w:spacing w:line="312" w:lineRule="auto"/>
        <w:jc w:val="center"/>
        <w:rPr>
          <w:rFonts w:eastAsia="楷体"/>
          <w:color w:val="auto"/>
          <w:szCs w:val="21"/>
        </w:rPr>
      </w:pPr>
      <w:r>
        <w:rPr>
          <w:rFonts w:eastAsia="楷体"/>
          <w:color w:val="auto"/>
          <w:szCs w:val="21"/>
        </w:rPr>
        <w:t>图10  屋面模块单元接缝处防水加强做法示意</w:t>
      </w:r>
    </w:p>
    <w:p w14:paraId="6160BA0E">
      <w:pPr>
        <w:numPr>
          <w:ilvl w:val="0"/>
          <w:numId w:val="11"/>
        </w:numPr>
        <w:spacing w:line="312" w:lineRule="auto"/>
        <w:rPr>
          <w:color w:val="auto"/>
        </w:rPr>
      </w:pPr>
      <w:r>
        <w:rPr>
          <w:rFonts w:hint="eastAsia"/>
          <w:color w:val="auto"/>
        </w:rPr>
        <w:t>屋面设备安装处、天沟、檐沟、天窗、变形缝、雨水管、伸出屋面的管井管道、门窗洞边和勒角等部位应加强防水做法；女儿墙板内侧在要求的泛水高度处应设凹槽、挑檐或其他泛水收头等构造。</w:t>
      </w:r>
    </w:p>
    <w:p w14:paraId="429BD9F9">
      <w:pPr>
        <w:numPr>
          <w:ilvl w:val="0"/>
          <w:numId w:val="11"/>
        </w:numPr>
        <w:spacing w:line="312" w:lineRule="auto"/>
        <w:rPr>
          <w:color w:val="auto"/>
        </w:rPr>
      </w:pPr>
      <w:r>
        <w:rPr>
          <w:rFonts w:hint="eastAsia"/>
          <w:color w:val="auto"/>
        </w:rPr>
        <w:t>模块单元中的门窗制品、门窗洞口制作尺寸及偏差应符合现行国家标准《建筑门窗洞口尺寸系列》GB/T 5824的规定，</w:t>
      </w:r>
      <w:r>
        <w:rPr>
          <w:bCs/>
          <w:color w:val="auto"/>
        </w:rPr>
        <w:t>门窗制品宜采用预埋式连接。</w:t>
      </w:r>
    </w:p>
    <w:p w14:paraId="2731354C">
      <w:pPr>
        <w:numPr>
          <w:ilvl w:val="0"/>
          <w:numId w:val="11"/>
        </w:numPr>
        <w:spacing w:line="312" w:lineRule="auto"/>
        <w:rPr>
          <w:color w:val="auto"/>
        </w:rPr>
      </w:pPr>
      <w:r>
        <w:rPr>
          <w:rFonts w:hint="eastAsia"/>
          <w:color w:val="auto"/>
        </w:rPr>
        <w:t>模块化建筑中的外装修、外围护系统宜一体化设计，并一体化生产。</w:t>
      </w:r>
    </w:p>
    <w:bookmarkEnd w:id="138"/>
    <w:p w14:paraId="5662B966">
      <w:pPr>
        <w:numPr>
          <w:ilvl w:val="0"/>
          <w:numId w:val="11"/>
        </w:numPr>
        <w:spacing w:line="312" w:lineRule="auto"/>
        <w:rPr>
          <w:color w:val="auto"/>
        </w:rPr>
        <w:sectPr>
          <w:pgSz w:w="11906" w:h="16838"/>
          <w:pgMar w:top="1440" w:right="1800" w:bottom="1440" w:left="1800" w:header="851" w:footer="992" w:gutter="0"/>
          <w:cols w:space="425" w:num="1"/>
          <w:docGrid w:type="lines" w:linePitch="312" w:charSpace="0"/>
        </w:sectPr>
      </w:pPr>
    </w:p>
    <w:p w14:paraId="38B3F47D">
      <w:pPr>
        <w:pStyle w:val="2"/>
        <w:rPr>
          <w:bCs/>
          <w:color w:val="auto"/>
        </w:rPr>
      </w:pPr>
      <w:bookmarkStart w:id="149" w:name="_Toc25434"/>
      <w:bookmarkStart w:id="150" w:name="_Toc30974"/>
      <w:bookmarkStart w:id="151" w:name="_Toc20737"/>
      <w:bookmarkStart w:id="152" w:name="_Toc411"/>
      <w:bookmarkStart w:id="153" w:name="_Toc28456"/>
      <w:bookmarkStart w:id="154" w:name="_Toc2497"/>
      <w:bookmarkStart w:id="155" w:name="_Toc4503"/>
      <w:bookmarkStart w:id="156" w:name="_Toc27539"/>
      <w:bookmarkStart w:id="157" w:name="_Toc8971"/>
      <w:r>
        <w:rPr>
          <w:b/>
          <w:bCs/>
          <w:color w:val="auto"/>
        </w:rPr>
        <w:t>6</w:t>
      </w:r>
      <w:r>
        <w:rPr>
          <w:rFonts w:hint="eastAsia"/>
          <w:color w:val="auto"/>
        </w:rPr>
        <w:t xml:space="preserve">  </w:t>
      </w:r>
      <w:r>
        <w:rPr>
          <w:rFonts w:hint="eastAsia"/>
          <w:bCs/>
          <w:color w:val="auto"/>
        </w:rPr>
        <w:t>结构设计</w:t>
      </w:r>
      <w:bookmarkEnd w:id="149"/>
      <w:bookmarkEnd w:id="150"/>
      <w:bookmarkEnd w:id="151"/>
      <w:bookmarkEnd w:id="152"/>
      <w:bookmarkEnd w:id="153"/>
      <w:bookmarkEnd w:id="154"/>
      <w:bookmarkEnd w:id="155"/>
      <w:bookmarkEnd w:id="156"/>
      <w:bookmarkEnd w:id="157"/>
    </w:p>
    <w:p w14:paraId="6E0BAE15">
      <w:pPr>
        <w:pStyle w:val="3"/>
        <w:rPr>
          <w:color w:val="auto"/>
        </w:rPr>
      </w:pPr>
      <w:bookmarkStart w:id="158" w:name="_Toc24389"/>
      <w:bookmarkStart w:id="159" w:name="_Toc12949"/>
      <w:bookmarkStart w:id="160" w:name="_Toc13119"/>
      <w:bookmarkStart w:id="161" w:name="_Toc13243"/>
      <w:bookmarkStart w:id="162" w:name="_Toc1353"/>
      <w:bookmarkStart w:id="163" w:name="_Toc24863"/>
      <w:bookmarkStart w:id="164" w:name="_Toc30551"/>
      <w:bookmarkStart w:id="165" w:name="_Toc15047"/>
      <w:bookmarkStart w:id="166" w:name="_Toc11000"/>
      <w:r>
        <w:rPr>
          <w:b/>
          <w:bCs w:val="0"/>
          <w:color w:val="auto"/>
        </w:rPr>
        <w:t>6</w:t>
      </w:r>
      <w:r>
        <w:rPr>
          <w:rFonts w:hint="eastAsia"/>
          <w:b/>
          <w:bCs w:val="0"/>
          <w:color w:val="auto"/>
        </w:rPr>
        <w:t>.</w:t>
      </w:r>
      <w:r>
        <w:rPr>
          <w:b/>
          <w:bCs w:val="0"/>
          <w:color w:val="auto"/>
        </w:rPr>
        <w:t>1</w:t>
      </w:r>
      <w:r>
        <w:rPr>
          <w:rFonts w:hint="eastAsia"/>
          <w:color w:val="auto"/>
        </w:rPr>
        <w:t xml:space="preserve">  一般规定</w:t>
      </w:r>
      <w:bookmarkEnd w:id="158"/>
      <w:bookmarkEnd w:id="159"/>
      <w:bookmarkEnd w:id="160"/>
      <w:bookmarkEnd w:id="161"/>
      <w:bookmarkEnd w:id="162"/>
      <w:bookmarkEnd w:id="163"/>
      <w:bookmarkEnd w:id="164"/>
      <w:bookmarkEnd w:id="165"/>
      <w:bookmarkEnd w:id="166"/>
    </w:p>
    <w:p w14:paraId="5A15B56D">
      <w:pPr>
        <w:numPr>
          <w:ilvl w:val="0"/>
          <w:numId w:val="12"/>
        </w:numPr>
        <w:spacing w:line="312" w:lineRule="auto"/>
        <w:rPr>
          <w:color w:val="auto"/>
        </w:rPr>
      </w:pPr>
      <w:r>
        <w:rPr>
          <w:color w:val="auto"/>
        </w:rPr>
        <w:t>模块化</w:t>
      </w:r>
      <w:r>
        <w:rPr>
          <w:rFonts w:hint="eastAsia"/>
          <w:color w:val="auto"/>
        </w:rPr>
        <w:t>建筑的结构设计应符合国家现行</w:t>
      </w:r>
      <w:r>
        <w:rPr>
          <w:color w:val="auto"/>
        </w:rPr>
        <w:t>标准</w:t>
      </w:r>
      <w:r>
        <w:rPr>
          <w:rFonts w:hint="eastAsia"/>
          <w:color w:val="auto"/>
        </w:rPr>
        <w:t>《混凝土结构通用规范》GB 55008、</w:t>
      </w:r>
      <w:r>
        <w:rPr>
          <w:color w:val="auto"/>
        </w:rPr>
        <w:t>《混凝土结构设计</w:t>
      </w:r>
      <w:r>
        <w:rPr>
          <w:rFonts w:hint="eastAsia"/>
          <w:color w:val="auto"/>
        </w:rPr>
        <w:t>标准</w:t>
      </w:r>
      <w:r>
        <w:rPr>
          <w:color w:val="auto"/>
        </w:rPr>
        <w:t>》GB</w:t>
      </w:r>
      <w:r>
        <w:rPr>
          <w:rFonts w:hint="eastAsia"/>
          <w:color w:val="auto"/>
        </w:rPr>
        <w:t>/T</w:t>
      </w:r>
      <w:r>
        <w:rPr>
          <w:color w:val="auto"/>
        </w:rPr>
        <w:t xml:space="preserve"> 50010、《建筑抗震设计</w:t>
      </w:r>
      <w:r>
        <w:rPr>
          <w:rFonts w:hint="eastAsia"/>
          <w:color w:val="auto"/>
        </w:rPr>
        <w:t>标准</w:t>
      </w:r>
      <w:r>
        <w:rPr>
          <w:color w:val="auto"/>
        </w:rPr>
        <w:t>》GB</w:t>
      </w:r>
      <w:r>
        <w:rPr>
          <w:rFonts w:hint="eastAsia"/>
          <w:color w:val="auto"/>
        </w:rPr>
        <w:t>/T</w:t>
      </w:r>
      <w:r>
        <w:rPr>
          <w:color w:val="auto"/>
        </w:rPr>
        <w:t xml:space="preserve"> 50011</w:t>
      </w:r>
      <w:bookmarkStart w:id="167" w:name="OLE_LINK26"/>
      <w:r>
        <w:rPr>
          <w:rFonts w:hint="eastAsia"/>
          <w:color w:val="auto"/>
        </w:rPr>
        <w:t>、</w:t>
      </w:r>
      <w:r>
        <w:rPr>
          <w:color w:val="auto"/>
        </w:rPr>
        <w:t>《装配式混凝土结构技术规程》JGJ 1</w:t>
      </w:r>
      <w:bookmarkEnd w:id="167"/>
      <w:r>
        <w:rPr>
          <w:rFonts w:hint="eastAsia"/>
          <w:color w:val="auto"/>
        </w:rPr>
        <w:t>、</w:t>
      </w:r>
      <w:r>
        <w:rPr>
          <w:color w:val="auto"/>
        </w:rPr>
        <w:t>《高层建筑混凝土结构技术规程》</w:t>
      </w:r>
      <w:r>
        <w:rPr>
          <w:rFonts w:hint="eastAsia"/>
          <w:color w:val="auto"/>
        </w:rPr>
        <w:t>JGJ 3</w:t>
      </w:r>
      <w:bookmarkStart w:id="168" w:name="OLE_LINK12"/>
      <w:r>
        <w:rPr>
          <w:rFonts w:hint="eastAsia"/>
          <w:color w:val="auto"/>
        </w:rPr>
        <w:t>和广东省</w:t>
      </w:r>
      <w:bookmarkStart w:id="169" w:name="OLE_LINK9"/>
      <w:r>
        <w:rPr>
          <w:rFonts w:hint="eastAsia"/>
          <w:color w:val="auto"/>
        </w:rPr>
        <w:t>《高层建筑混凝土结构技术规程》</w:t>
      </w:r>
      <w:r>
        <w:rPr>
          <w:color w:val="auto"/>
        </w:rPr>
        <w:t>DBJ 15-92</w:t>
      </w:r>
      <w:bookmarkEnd w:id="169"/>
      <w:r>
        <w:rPr>
          <w:rFonts w:hint="eastAsia"/>
          <w:color w:val="auto"/>
        </w:rPr>
        <w:t>的规定</w:t>
      </w:r>
      <w:bookmarkEnd w:id="168"/>
      <w:r>
        <w:rPr>
          <w:color w:val="auto"/>
        </w:rPr>
        <w:t>。</w:t>
      </w:r>
    </w:p>
    <w:p w14:paraId="34B32CB9">
      <w:pPr>
        <w:pStyle w:val="33"/>
        <w:rPr>
          <w:color w:val="auto"/>
        </w:rPr>
      </w:pPr>
      <w:r>
        <w:rPr>
          <w:rFonts w:hint="eastAsia" w:ascii="楷体" w:hAnsi="楷体" w:cs="楷体"/>
          <w:color w:val="auto"/>
          <w:szCs w:val="21"/>
        </w:rPr>
        <w:t>【条文说明】模块化框架结构、模块化预制剪力墙结构、模块化叠合剪力墙结构力学性能与常规装配整体式框架结构、装配整体式剪力墙结构基本一致，</w:t>
      </w:r>
      <w:r>
        <w:rPr>
          <w:rFonts w:hint="eastAsia"/>
          <w:color w:val="auto"/>
        </w:rPr>
        <w:t>模块化现浇结构力学性能与常规现浇结构基本一致，可按照相关现行标准的规定执行。</w:t>
      </w:r>
    </w:p>
    <w:p w14:paraId="14C04182">
      <w:pPr>
        <w:numPr>
          <w:ilvl w:val="0"/>
          <w:numId w:val="12"/>
        </w:numPr>
        <w:spacing w:line="312" w:lineRule="auto"/>
        <w:rPr>
          <w:bCs/>
          <w:color w:val="auto"/>
        </w:rPr>
      </w:pPr>
      <w:r>
        <w:rPr>
          <w:rFonts w:hint="eastAsia"/>
          <w:bCs/>
          <w:color w:val="auto"/>
        </w:rPr>
        <w:t>模块化建筑的结构安全等级和设计工作年限应符合现行国家标准《工程结构通用规范》GB 55001的规定。</w:t>
      </w:r>
    </w:p>
    <w:p w14:paraId="6DF0DD12">
      <w:pPr>
        <w:numPr>
          <w:ilvl w:val="0"/>
          <w:numId w:val="12"/>
        </w:numPr>
        <w:spacing w:line="312" w:lineRule="auto"/>
        <w:rPr>
          <w:bCs/>
          <w:color w:val="auto"/>
        </w:rPr>
      </w:pPr>
      <w:r>
        <w:rPr>
          <w:rFonts w:hint="eastAsia"/>
          <w:bCs/>
          <w:color w:val="auto"/>
        </w:rPr>
        <w:t>模块化建筑的结构抗震设计应遵循抗震概念设计的基本原则，采用合理的结构抗震设计方案和可靠的抗震措施。</w:t>
      </w:r>
    </w:p>
    <w:p w14:paraId="6F60EC31">
      <w:pPr>
        <w:pStyle w:val="33"/>
        <w:ind w:firstLineChars="0"/>
        <w:rPr>
          <w:color w:val="auto"/>
          <w:szCs w:val="21"/>
        </w:rPr>
      </w:pPr>
      <w:r>
        <w:rPr>
          <w:rFonts w:hint="eastAsia" w:ascii="楷体" w:hAnsi="楷体" w:cs="楷体"/>
          <w:color w:val="auto"/>
          <w:szCs w:val="21"/>
        </w:rPr>
        <w:t>【条文说明】模块化建筑的结构抗震设计应</w:t>
      </w:r>
      <w:r>
        <w:rPr>
          <w:color w:val="auto"/>
          <w:szCs w:val="21"/>
        </w:rPr>
        <w:t>采用合理的结构抗震设计方案，加强结构的整体性</w:t>
      </w:r>
      <w:r>
        <w:rPr>
          <w:rFonts w:hint="eastAsia"/>
          <w:color w:val="auto"/>
          <w:szCs w:val="21"/>
        </w:rPr>
        <w:t>，并</w:t>
      </w:r>
      <w:r>
        <w:rPr>
          <w:color w:val="auto"/>
          <w:szCs w:val="21"/>
        </w:rPr>
        <w:t>应采取可靠的抗震措施，实现强柱弱梁、强剪弱弯、强节点、强锚固等要求，防止构件产生脆性破坏</w:t>
      </w:r>
      <w:r>
        <w:rPr>
          <w:rFonts w:hint="eastAsia"/>
          <w:color w:val="auto"/>
          <w:szCs w:val="21"/>
        </w:rPr>
        <w:t>。其中，</w:t>
      </w:r>
      <w:r>
        <w:rPr>
          <w:color w:val="auto"/>
          <w:szCs w:val="21"/>
        </w:rPr>
        <w:t>外围护墙板与主体结构之间的连接件应具有足够的变形能力，满足在设防地震下主体结构层间变形的要求。</w:t>
      </w:r>
    </w:p>
    <w:p w14:paraId="6EE4F73C">
      <w:pPr>
        <w:numPr>
          <w:ilvl w:val="0"/>
          <w:numId w:val="12"/>
        </w:numPr>
        <w:spacing w:line="312" w:lineRule="auto"/>
        <w:rPr>
          <w:bCs/>
          <w:color w:val="auto"/>
        </w:rPr>
      </w:pPr>
      <w:r>
        <w:rPr>
          <w:rFonts w:hint="eastAsia"/>
          <w:bCs/>
          <w:color w:val="auto"/>
        </w:rPr>
        <w:t>模块化建筑的结构类型和最大适用高度应符合表6.1.4的要求，并应符合下列规定：</w:t>
      </w:r>
    </w:p>
    <w:p w14:paraId="14A6FD44">
      <w:pPr>
        <w:numPr>
          <w:ilvl w:val="255"/>
          <w:numId w:val="0"/>
        </w:numPr>
        <w:tabs>
          <w:tab w:val="left" w:pos="0"/>
        </w:tabs>
        <w:spacing w:line="312" w:lineRule="auto"/>
        <w:ind w:firstLine="422" w:firstLineChars="200"/>
        <w:rPr>
          <w:color w:val="auto"/>
        </w:rPr>
      </w:pPr>
      <w:r>
        <w:rPr>
          <w:rFonts w:eastAsia="黑体"/>
          <w:b/>
          <w:color w:val="auto"/>
        </w:rPr>
        <w:t xml:space="preserve">1  </w:t>
      </w:r>
      <w:r>
        <w:rPr>
          <w:rFonts w:hint="eastAsia"/>
          <w:bCs/>
          <w:color w:val="auto"/>
        </w:rPr>
        <w:t>平面和竖向均不规则的结构，适用的最大高度宜适当降低</w:t>
      </w:r>
      <w:r>
        <w:rPr>
          <w:color w:val="auto"/>
        </w:rPr>
        <w:t>。</w:t>
      </w:r>
    </w:p>
    <w:p w14:paraId="4879E65D">
      <w:pPr>
        <w:numPr>
          <w:ilvl w:val="255"/>
          <w:numId w:val="0"/>
        </w:numPr>
        <w:tabs>
          <w:tab w:val="left" w:pos="0"/>
        </w:tabs>
        <w:spacing w:line="312" w:lineRule="auto"/>
        <w:ind w:firstLine="422" w:firstLineChars="200"/>
        <w:rPr>
          <w:color w:val="auto"/>
        </w:rPr>
      </w:pPr>
      <w:r>
        <w:rPr>
          <w:rFonts w:hint="eastAsia" w:eastAsia="黑体"/>
          <w:b/>
          <w:color w:val="auto"/>
        </w:rPr>
        <w:t>2</w:t>
      </w:r>
      <w:r>
        <w:rPr>
          <w:rFonts w:eastAsia="黑体"/>
          <w:b/>
          <w:color w:val="auto"/>
        </w:rPr>
        <w:t xml:space="preserve">  </w:t>
      </w:r>
      <w:r>
        <w:rPr>
          <w:rFonts w:hint="eastAsia"/>
          <w:color w:val="auto"/>
        </w:rPr>
        <w:t>模块化预制剪力墙结构在规定的水平力作用下，当预制剪力墙构件底部承担的总剪力大于该层总剪力的50%时，其最大适用高度应适当降低；当预制剪力墙构件底部承担的总剪力大于该层总剪力的80%时，最大适用高度应取表6.1.4中括号内数值。</w:t>
      </w:r>
    </w:p>
    <w:p w14:paraId="1838C16F">
      <w:pPr>
        <w:pStyle w:val="26"/>
        <w:snapToGrid w:val="0"/>
        <w:spacing w:line="400" w:lineRule="exact"/>
        <w:rPr>
          <w:color w:val="auto"/>
        </w:rPr>
      </w:pPr>
      <w:r>
        <w:rPr>
          <w:color w:val="auto"/>
        </w:rPr>
        <w:t>表</w:t>
      </w:r>
      <w:r>
        <w:rPr>
          <w:b/>
          <w:color w:val="auto"/>
        </w:rPr>
        <w:t>6</w:t>
      </w:r>
      <w:r>
        <w:rPr>
          <w:rFonts w:ascii="宋体" w:hAnsi="宋体"/>
          <w:b/>
          <w:color w:val="auto"/>
        </w:rPr>
        <w:t>.</w:t>
      </w:r>
      <w:r>
        <w:rPr>
          <w:b/>
          <w:color w:val="auto"/>
        </w:rPr>
        <w:t>1</w:t>
      </w:r>
      <w:r>
        <w:rPr>
          <w:rFonts w:ascii="宋体" w:hAnsi="宋体"/>
          <w:b/>
          <w:color w:val="auto"/>
        </w:rPr>
        <w:t>.</w:t>
      </w:r>
      <w:r>
        <w:rPr>
          <w:rFonts w:hint="eastAsia"/>
          <w:b/>
          <w:color w:val="auto"/>
        </w:rPr>
        <w:t>4</w:t>
      </w:r>
      <w:r>
        <w:rPr>
          <w:color w:val="auto"/>
        </w:rPr>
        <w:t xml:space="preserve">  </w:t>
      </w:r>
      <w:r>
        <w:rPr>
          <w:rFonts w:hint="eastAsia"/>
          <w:color w:val="auto"/>
        </w:rPr>
        <w:t>模块化建筑</w:t>
      </w:r>
      <w:r>
        <w:rPr>
          <w:color w:val="auto"/>
        </w:rPr>
        <w:t>的</w:t>
      </w:r>
      <w:r>
        <w:rPr>
          <w:rFonts w:hint="eastAsia"/>
          <w:color w:val="auto"/>
        </w:rPr>
        <w:t>最大适用高度（m）</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1462"/>
        <w:gridCol w:w="1274"/>
        <w:gridCol w:w="1417"/>
        <w:gridCol w:w="1417"/>
        <w:gridCol w:w="1417"/>
      </w:tblGrid>
      <w:tr w14:paraId="1DBC7C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8" w:type="dxa"/>
            <w:gridSpan w:val="3"/>
            <w:vMerge w:val="restart"/>
            <w:vAlign w:val="center"/>
          </w:tcPr>
          <w:p w14:paraId="2BF85979">
            <w:pPr>
              <w:pStyle w:val="27"/>
              <w:snapToGrid w:val="0"/>
              <w:rPr>
                <w:color w:val="auto"/>
                <w:szCs w:val="15"/>
              </w:rPr>
            </w:pPr>
            <w:r>
              <w:rPr>
                <w:rFonts w:hint="eastAsia"/>
                <w:color w:val="auto"/>
                <w:szCs w:val="15"/>
              </w:rPr>
              <w:t>结构类型</w:t>
            </w:r>
          </w:p>
        </w:tc>
        <w:tc>
          <w:tcPr>
            <w:tcW w:w="4251" w:type="dxa"/>
            <w:gridSpan w:val="3"/>
            <w:vAlign w:val="center"/>
          </w:tcPr>
          <w:p w14:paraId="3444B972">
            <w:pPr>
              <w:pStyle w:val="27"/>
              <w:snapToGrid w:val="0"/>
              <w:rPr>
                <w:color w:val="auto"/>
                <w:szCs w:val="15"/>
              </w:rPr>
            </w:pPr>
            <w:r>
              <w:rPr>
                <w:rFonts w:hint="eastAsia"/>
                <w:color w:val="auto"/>
                <w:szCs w:val="15"/>
              </w:rPr>
              <w:t>抗震设防烈度</w:t>
            </w:r>
          </w:p>
        </w:tc>
      </w:tr>
      <w:tr w14:paraId="3E0433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8" w:type="dxa"/>
            <w:gridSpan w:val="3"/>
            <w:vMerge w:val="continue"/>
            <w:vAlign w:val="center"/>
          </w:tcPr>
          <w:p w14:paraId="7666DB60">
            <w:pPr>
              <w:pStyle w:val="27"/>
              <w:snapToGrid w:val="0"/>
              <w:rPr>
                <w:color w:val="auto"/>
                <w:szCs w:val="15"/>
              </w:rPr>
            </w:pPr>
          </w:p>
        </w:tc>
        <w:tc>
          <w:tcPr>
            <w:tcW w:w="1417" w:type="dxa"/>
            <w:vAlign w:val="center"/>
          </w:tcPr>
          <w:p w14:paraId="3680B709">
            <w:pPr>
              <w:pStyle w:val="27"/>
              <w:snapToGrid w:val="0"/>
              <w:rPr>
                <w:color w:val="auto"/>
                <w:szCs w:val="15"/>
              </w:rPr>
            </w:pPr>
            <w:r>
              <w:rPr>
                <w:rFonts w:hint="eastAsia"/>
                <w:color w:val="auto"/>
                <w:szCs w:val="15"/>
              </w:rPr>
              <w:t>6度</w:t>
            </w:r>
          </w:p>
        </w:tc>
        <w:tc>
          <w:tcPr>
            <w:tcW w:w="1417" w:type="dxa"/>
            <w:vAlign w:val="center"/>
          </w:tcPr>
          <w:p w14:paraId="61EC96B9">
            <w:pPr>
              <w:pStyle w:val="27"/>
              <w:snapToGrid w:val="0"/>
              <w:rPr>
                <w:color w:val="auto"/>
                <w:szCs w:val="15"/>
              </w:rPr>
            </w:pPr>
            <w:r>
              <w:rPr>
                <w:rFonts w:hint="eastAsia"/>
                <w:color w:val="auto"/>
                <w:szCs w:val="15"/>
              </w:rPr>
              <w:t>7度</w:t>
            </w:r>
          </w:p>
        </w:tc>
        <w:tc>
          <w:tcPr>
            <w:tcW w:w="1417" w:type="dxa"/>
            <w:vAlign w:val="center"/>
          </w:tcPr>
          <w:p w14:paraId="2CB874FA">
            <w:pPr>
              <w:pStyle w:val="27"/>
              <w:snapToGrid w:val="0"/>
              <w:rPr>
                <w:color w:val="auto"/>
                <w:szCs w:val="15"/>
              </w:rPr>
            </w:pPr>
            <w:r>
              <w:rPr>
                <w:rFonts w:hint="eastAsia"/>
                <w:color w:val="auto"/>
                <w:szCs w:val="15"/>
              </w:rPr>
              <w:t>8度（0.2g）</w:t>
            </w:r>
          </w:p>
        </w:tc>
      </w:tr>
      <w:tr w14:paraId="5054CE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8" w:type="dxa"/>
            <w:gridSpan w:val="3"/>
            <w:vAlign w:val="center"/>
          </w:tcPr>
          <w:p w14:paraId="47C8D10D">
            <w:pPr>
              <w:pStyle w:val="27"/>
              <w:snapToGrid w:val="0"/>
              <w:rPr>
                <w:color w:val="auto"/>
                <w:szCs w:val="15"/>
              </w:rPr>
            </w:pPr>
            <w:r>
              <w:rPr>
                <w:rFonts w:hint="eastAsia"/>
                <w:color w:val="auto"/>
                <w:szCs w:val="15"/>
              </w:rPr>
              <w:t>模块化框架结构</w:t>
            </w:r>
          </w:p>
        </w:tc>
        <w:tc>
          <w:tcPr>
            <w:tcW w:w="1417" w:type="dxa"/>
            <w:shd w:val="clear" w:color="auto" w:fill="auto"/>
            <w:vAlign w:val="center"/>
          </w:tcPr>
          <w:p w14:paraId="2A24661C">
            <w:pPr>
              <w:pStyle w:val="27"/>
              <w:rPr>
                <w:rFonts w:eastAsia="等线"/>
                <w:color w:val="auto"/>
                <w:szCs w:val="15"/>
              </w:rPr>
            </w:pPr>
            <w:r>
              <w:rPr>
                <w:rFonts w:hint="eastAsia" w:eastAsia="等线"/>
                <w:color w:val="auto"/>
                <w:szCs w:val="15"/>
              </w:rPr>
              <w:t>≤</w:t>
            </w:r>
            <w:r>
              <w:rPr>
                <w:rFonts w:eastAsia="等线"/>
                <w:color w:val="auto"/>
                <w:szCs w:val="15"/>
              </w:rPr>
              <w:t>24m</w:t>
            </w:r>
            <w:r>
              <w:rPr>
                <w:rFonts w:hint="eastAsia"/>
                <w:color w:val="auto"/>
                <w:szCs w:val="15"/>
              </w:rPr>
              <w:t>，且</w:t>
            </w:r>
            <w:r>
              <w:rPr>
                <w:rFonts w:hint="eastAsia" w:eastAsia="等线"/>
                <w:color w:val="auto"/>
                <w:szCs w:val="15"/>
              </w:rPr>
              <w:t>≤</w:t>
            </w:r>
            <w:r>
              <w:rPr>
                <w:rFonts w:eastAsia="等线"/>
                <w:color w:val="auto"/>
                <w:szCs w:val="15"/>
              </w:rPr>
              <w:t>6</w:t>
            </w:r>
            <w:r>
              <w:rPr>
                <w:rFonts w:hint="eastAsia"/>
                <w:color w:val="auto"/>
                <w:szCs w:val="15"/>
              </w:rPr>
              <w:t>层</w:t>
            </w:r>
          </w:p>
        </w:tc>
        <w:tc>
          <w:tcPr>
            <w:tcW w:w="1417" w:type="dxa"/>
            <w:shd w:val="clear" w:color="auto" w:fill="auto"/>
            <w:vAlign w:val="center"/>
          </w:tcPr>
          <w:p w14:paraId="039D0B9D">
            <w:pPr>
              <w:pStyle w:val="27"/>
              <w:rPr>
                <w:color w:val="auto"/>
                <w:szCs w:val="15"/>
              </w:rPr>
            </w:pPr>
            <w:r>
              <w:rPr>
                <w:rFonts w:hint="eastAsia"/>
                <w:color w:val="auto"/>
                <w:szCs w:val="15"/>
              </w:rPr>
              <w:t>≤</w:t>
            </w:r>
            <w:r>
              <w:rPr>
                <w:color w:val="auto"/>
                <w:szCs w:val="15"/>
              </w:rPr>
              <w:t>24m</w:t>
            </w:r>
            <w:r>
              <w:rPr>
                <w:rFonts w:hint="eastAsia"/>
                <w:color w:val="auto"/>
                <w:szCs w:val="15"/>
              </w:rPr>
              <w:t>，且≤</w:t>
            </w:r>
            <w:r>
              <w:rPr>
                <w:color w:val="auto"/>
                <w:szCs w:val="15"/>
              </w:rPr>
              <w:t>6</w:t>
            </w:r>
            <w:r>
              <w:rPr>
                <w:rFonts w:hint="eastAsia"/>
                <w:color w:val="auto"/>
                <w:szCs w:val="15"/>
              </w:rPr>
              <w:t>层</w:t>
            </w:r>
          </w:p>
        </w:tc>
        <w:tc>
          <w:tcPr>
            <w:tcW w:w="1417" w:type="dxa"/>
            <w:shd w:val="clear" w:color="auto" w:fill="auto"/>
            <w:vAlign w:val="center"/>
          </w:tcPr>
          <w:p w14:paraId="2B9B22C6">
            <w:pPr>
              <w:pStyle w:val="27"/>
              <w:rPr>
                <w:color w:val="auto"/>
                <w:szCs w:val="15"/>
              </w:rPr>
            </w:pPr>
            <w:r>
              <w:rPr>
                <w:rFonts w:hint="eastAsia" w:eastAsia="等线"/>
                <w:color w:val="auto"/>
                <w:szCs w:val="15"/>
              </w:rPr>
              <w:t>≤</w:t>
            </w:r>
            <w:r>
              <w:rPr>
                <w:rFonts w:eastAsia="等线"/>
                <w:color w:val="auto"/>
                <w:szCs w:val="15"/>
              </w:rPr>
              <w:t>20m</w:t>
            </w:r>
            <w:r>
              <w:rPr>
                <w:rFonts w:hint="eastAsia"/>
                <w:color w:val="auto"/>
                <w:szCs w:val="15"/>
              </w:rPr>
              <w:t>，且</w:t>
            </w:r>
            <w:r>
              <w:rPr>
                <w:rFonts w:hint="eastAsia" w:eastAsia="等线"/>
                <w:color w:val="auto"/>
                <w:szCs w:val="15"/>
              </w:rPr>
              <w:t>≤</w:t>
            </w:r>
            <w:r>
              <w:rPr>
                <w:rFonts w:eastAsia="等线"/>
                <w:color w:val="auto"/>
                <w:szCs w:val="15"/>
              </w:rPr>
              <w:t>5</w:t>
            </w:r>
            <w:r>
              <w:rPr>
                <w:rFonts w:hint="eastAsia"/>
                <w:color w:val="auto"/>
                <w:szCs w:val="15"/>
              </w:rPr>
              <w:t>层</w:t>
            </w:r>
          </w:p>
        </w:tc>
      </w:tr>
      <w:tr w14:paraId="00BDB1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2" w:type="dxa"/>
            <w:vMerge w:val="restart"/>
            <w:vAlign w:val="center"/>
          </w:tcPr>
          <w:p w14:paraId="2599BF47">
            <w:pPr>
              <w:pStyle w:val="27"/>
              <w:snapToGrid w:val="0"/>
              <w:rPr>
                <w:color w:val="auto"/>
                <w:szCs w:val="15"/>
              </w:rPr>
            </w:pPr>
            <w:r>
              <w:rPr>
                <w:rFonts w:hint="eastAsia"/>
                <w:color w:val="auto"/>
                <w:szCs w:val="15"/>
              </w:rPr>
              <w:t>模块化剪力墙结构</w:t>
            </w:r>
          </w:p>
        </w:tc>
        <w:tc>
          <w:tcPr>
            <w:tcW w:w="1462" w:type="dxa"/>
            <w:vMerge w:val="restart"/>
            <w:vAlign w:val="center"/>
          </w:tcPr>
          <w:p w14:paraId="72F225D6">
            <w:pPr>
              <w:pStyle w:val="27"/>
              <w:snapToGrid w:val="0"/>
              <w:rPr>
                <w:color w:val="auto"/>
                <w:szCs w:val="15"/>
              </w:rPr>
            </w:pPr>
            <w:r>
              <w:rPr>
                <w:rFonts w:hint="eastAsia"/>
                <w:color w:val="auto"/>
                <w:szCs w:val="15"/>
              </w:rPr>
              <w:t>模块化预制剪力墙结构</w:t>
            </w:r>
          </w:p>
        </w:tc>
        <w:tc>
          <w:tcPr>
            <w:tcW w:w="1274" w:type="dxa"/>
            <w:vAlign w:val="center"/>
          </w:tcPr>
          <w:p w14:paraId="1DA5788A">
            <w:pPr>
              <w:pStyle w:val="27"/>
              <w:snapToGrid w:val="0"/>
              <w:rPr>
                <w:color w:val="auto"/>
                <w:szCs w:val="15"/>
              </w:rPr>
            </w:pPr>
            <w:r>
              <w:rPr>
                <w:rFonts w:hint="eastAsia"/>
                <w:color w:val="auto"/>
                <w:szCs w:val="15"/>
              </w:rPr>
              <w:t>全部落地剪力墙</w:t>
            </w:r>
          </w:p>
        </w:tc>
        <w:tc>
          <w:tcPr>
            <w:tcW w:w="1417" w:type="dxa"/>
            <w:shd w:val="clear" w:color="auto" w:fill="auto"/>
            <w:vAlign w:val="center"/>
          </w:tcPr>
          <w:p w14:paraId="458F32B4">
            <w:pPr>
              <w:pStyle w:val="27"/>
              <w:adjustRightInd/>
              <w:rPr>
                <w:rFonts w:eastAsia="等线"/>
                <w:color w:val="auto"/>
                <w:szCs w:val="15"/>
              </w:rPr>
            </w:pPr>
            <w:r>
              <w:rPr>
                <w:rFonts w:hint="eastAsia" w:eastAsia="等线"/>
                <w:color w:val="auto"/>
                <w:szCs w:val="15"/>
              </w:rPr>
              <w:t>130（120）</w:t>
            </w:r>
          </w:p>
        </w:tc>
        <w:tc>
          <w:tcPr>
            <w:tcW w:w="1417" w:type="dxa"/>
            <w:shd w:val="clear" w:color="auto" w:fill="auto"/>
            <w:vAlign w:val="center"/>
          </w:tcPr>
          <w:p w14:paraId="423B6F29">
            <w:pPr>
              <w:pStyle w:val="27"/>
              <w:adjustRightInd/>
              <w:rPr>
                <w:color w:val="auto"/>
                <w:szCs w:val="15"/>
              </w:rPr>
            </w:pPr>
            <w:r>
              <w:rPr>
                <w:rFonts w:hint="eastAsia"/>
                <w:color w:val="auto"/>
                <w:szCs w:val="15"/>
              </w:rPr>
              <w:t>110（100）</w:t>
            </w:r>
          </w:p>
        </w:tc>
        <w:tc>
          <w:tcPr>
            <w:tcW w:w="1417" w:type="dxa"/>
            <w:shd w:val="clear" w:color="auto" w:fill="auto"/>
            <w:vAlign w:val="center"/>
          </w:tcPr>
          <w:p w14:paraId="1C0EFDAA">
            <w:pPr>
              <w:pStyle w:val="27"/>
              <w:adjustRightInd/>
              <w:rPr>
                <w:rFonts w:eastAsia="等线"/>
                <w:color w:val="auto"/>
                <w:szCs w:val="15"/>
              </w:rPr>
            </w:pPr>
            <w:r>
              <w:rPr>
                <w:rFonts w:hint="eastAsia" w:eastAsia="等线"/>
                <w:color w:val="auto"/>
                <w:szCs w:val="15"/>
              </w:rPr>
              <w:t>80（70）</w:t>
            </w:r>
          </w:p>
        </w:tc>
      </w:tr>
      <w:tr w14:paraId="515A41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2" w:type="dxa"/>
            <w:vMerge w:val="continue"/>
            <w:vAlign w:val="center"/>
          </w:tcPr>
          <w:p w14:paraId="0119461C">
            <w:pPr>
              <w:pStyle w:val="27"/>
              <w:snapToGrid w:val="0"/>
              <w:rPr>
                <w:color w:val="auto"/>
                <w:szCs w:val="15"/>
              </w:rPr>
            </w:pPr>
          </w:p>
        </w:tc>
        <w:tc>
          <w:tcPr>
            <w:tcW w:w="1462" w:type="dxa"/>
            <w:vMerge w:val="continue"/>
            <w:vAlign w:val="center"/>
          </w:tcPr>
          <w:p w14:paraId="0C4F92C5">
            <w:pPr>
              <w:pStyle w:val="27"/>
              <w:snapToGrid w:val="0"/>
              <w:rPr>
                <w:color w:val="auto"/>
                <w:szCs w:val="15"/>
              </w:rPr>
            </w:pPr>
          </w:p>
        </w:tc>
        <w:tc>
          <w:tcPr>
            <w:tcW w:w="1274" w:type="dxa"/>
            <w:vAlign w:val="center"/>
          </w:tcPr>
          <w:p w14:paraId="5199E57B">
            <w:pPr>
              <w:pStyle w:val="27"/>
              <w:snapToGrid w:val="0"/>
              <w:rPr>
                <w:color w:val="auto"/>
                <w:szCs w:val="15"/>
              </w:rPr>
            </w:pPr>
            <w:r>
              <w:rPr>
                <w:rFonts w:hint="eastAsia"/>
                <w:color w:val="auto"/>
                <w:szCs w:val="15"/>
              </w:rPr>
              <w:t>部分框支剪力墙</w:t>
            </w:r>
          </w:p>
        </w:tc>
        <w:tc>
          <w:tcPr>
            <w:tcW w:w="1417" w:type="dxa"/>
            <w:shd w:val="clear" w:color="auto" w:fill="auto"/>
            <w:vAlign w:val="center"/>
          </w:tcPr>
          <w:p w14:paraId="1E7FD3C5">
            <w:pPr>
              <w:pStyle w:val="27"/>
              <w:adjustRightInd/>
              <w:rPr>
                <w:rFonts w:eastAsia="等线"/>
                <w:color w:val="auto"/>
                <w:szCs w:val="15"/>
              </w:rPr>
            </w:pPr>
            <w:r>
              <w:rPr>
                <w:rFonts w:hint="eastAsia" w:eastAsia="等线"/>
                <w:color w:val="auto"/>
                <w:szCs w:val="15"/>
              </w:rPr>
              <w:t>110（100）</w:t>
            </w:r>
          </w:p>
        </w:tc>
        <w:tc>
          <w:tcPr>
            <w:tcW w:w="1417" w:type="dxa"/>
            <w:shd w:val="clear" w:color="auto" w:fill="auto"/>
            <w:vAlign w:val="center"/>
          </w:tcPr>
          <w:p w14:paraId="209FF3CE">
            <w:pPr>
              <w:pStyle w:val="27"/>
              <w:adjustRightInd/>
              <w:rPr>
                <w:color w:val="auto"/>
                <w:szCs w:val="15"/>
              </w:rPr>
            </w:pPr>
            <w:r>
              <w:rPr>
                <w:rFonts w:hint="eastAsia"/>
                <w:color w:val="auto"/>
                <w:szCs w:val="15"/>
              </w:rPr>
              <w:t>90（80）</w:t>
            </w:r>
          </w:p>
        </w:tc>
        <w:tc>
          <w:tcPr>
            <w:tcW w:w="1417" w:type="dxa"/>
            <w:shd w:val="clear" w:color="auto" w:fill="auto"/>
            <w:vAlign w:val="center"/>
          </w:tcPr>
          <w:p w14:paraId="5A170847">
            <w:pPr>
              <w:pStyle w:val="27"/>
              <w:adjustRightInd/>
              <w:rPr>
                <w:rFonts w:eastAsia="等线"/>
                <w:color w:val="auto"/>
                <w:szCs w:val="15"/>
              </w:rPr>
            </w:pPr>
            <w:r>
              <w:rPr>
                <w:rFonts w:hint="eastAsia" w:eastAsia="等线"/>
                <w:color w:val="auto"/>
                <w:szCs w:val="15"/>
              </w:rPr>
              <w:t>60（50）</w:t>
            </w:r>
          </w:p>
        </w:tc>
      </w:tr>
      <w:tr w14:paraId="15273B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2" w:type="dxa"/>
            <w:vMerge w:val="continue"/>
            <w:vAlign w:val="center"/>
          </w:tcPr>
          <w:p w14:paraId="57BFB846">
            <w:pPr>
              <w:pStyle w:val="27"/>
              <w:snapToGrid w:val="0"/>
              <w:rPr>
                <w:color w:val="auto"/>
                <w:szCs w:val="15"/>
              </w:rPr>
            </w:pPr>
          </w:p>
        </w:tc>
        <w:tc>
          <w:tcPr>
            <w:tcW w:w="1462" w:type="dxa"/>
            <w:vMerge w:val="restart"/>
            <w:vAlign w:val="center"/>
          </w:tcPr>
          <w:p w14:paraId="259B3029">
            <w:pPr>
              <w:pStyle w:val="27"/>
              <w:snapToGrid w:val="0"/>
              <w:rPr>
                <w:color w:val="auto"/>
                <w:szCs w:val="15"/>
              </w:rPr>
            </w:pPr>
            <w:r>
              <w:rPr>
                <w:rFonts w:hint="eastAsia"/>
                <w:color w:val="auto"/>
                <w:szCs w:val="15"/>
              </w:rPr>
              <w:t>模块化叠合剪力墙结构</w:t>
            </w:r>
          </w:p>
        </w:tc>
        <w:tc>
          <w:tcPr>
            <w:tcW w:w="1274" w:type="dxa"/>
            <w:vAlign w:val="center"/>
          </w:tcPr>
          <w:p w14:paraId="68EFCBE0">
            <w:pPr>
              <w:pStyle w:val="27"/>
              <w:snapToGrid w:val="0"/>
              <w:rPr>
                <w:color w:val="auto"/>
                <w:szCs w:val="15"/>
              </w:rPr>
            </w:pPr>
            <w:r>
              <w:rPr>
                <w:rFonts w:hint="eastAsia"/>
                <w:color w:val="auto"/>
                <w:szCs w:val="15"/>
              </w:rPr>
              <w:t>全部落地剪力墙</w:t>
            </w:r>
          </w:p>
        </w:tc>
        <w:tc>
          <w:tcPr>
            <w:tcW w:w="1417" w:type="dxa"/>
            <w:vAlign w:val="center"/>
          </w:tcPr>
          <w:p w14:paraId="7745558E">
            <w:pPr>
              <w:pStyle w:val="27"/>
              <w:adjustRightInd/>
              <w:rPr>
                <w:color w:val="auto"/>
                <w:szCs w:val="15"/>
              </w:rPr>
            </w:pPr>
            <w:r>
              <w:rPr>
                <w:rFonts w:hint="eastAsia" w:eastAsia="等线"/>
                <w:color w:val="auto"/>
                <w:szCs w:val="15"/>
              </w:rPr>
              <w:t>130（120）</w:t>
            </w:r>
          </w:p>
        </w:tc>
        <w:tc>
          <w:tcPr>
            <w:tcW w:w="1417" w:type="dxa"/>
            <w:vAlign w:val="center"/>
          </w:tcPr>
          <w:p w14:paraId="7B5BCE94">
            <w:pPr>
              <w:pStyle w:val="27"/>
              <w:adjustRightInd/>
              <w:rPr>
                <w:color w:val="auto"/>
                <w:szCs w:val="15"/>
              </w:rPr>
            </w:pPr>
            <w:r>
              <w:rPr>
                <w:rFonts w:hint="eastAsia"/>
                <w:color w:val="auto"/>
                <w:szCs w:val="15"/>
              </w:rPr>
              <w:t>110（100）</w:t>
            </w:r>
          </w:p>
        </w:tc>
        <w:tc>
          <w:tcPr>
            <w:tcW w:w="1417" w:type="dxa"/>
            <w:vAlign w:val="center"/>
          </w:tcPr>
          <w:p w14:paraId="6D89A077">
            <w:pPr>
              <w:pStyle w:val="27"/>
              <w:adjustRightInd/>
              <w:rPr>
                <w:color w:val="auto"/>
                <w:szCs w:val="15"/>
              </w:rPr>
            </w:pPr>
            <w:r>
              <w:rPr>
                <w:rFonts w:hint="eastAsia" w:eastAsia="等线"/>
                <w:color w:val="auto"/>
                <w:szCs w:val="15"/>
              </w:rPr>
              <w:t>80（70）</w:t>
            </w:r>
          </w:p>
        </w:tc>
      </w:tr>
      <w:tr w14:paraId="1081F6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2" w:type="dxa"/>
            <w:vMerge w:val="continue"/>
            <w:vAlign w:val="center"/>
          </w:tcPr>
          <w:p w14:paraId="2B8C583E">
            <w:pPr>
              <w:pStyle w:val="27"/>
              <w:snapToGrid w:val="0"/>
              <w:rPr>
                <w:color w:val="auto"/>
                <w:szCs w:val="15"/>
              </w:rPr>
            </w:pPr>
          </w:p>
        </w:tc>
        <w:tc>
          <w:tcPr>
            <w:tcW w:w="1462" w:type="dxa"/>
            <w:vMerge w:val="continue"/>
            <w:vAlign w:val="center"/>
          </w:tcPr>
          <w:p w14:paraId="2E70B06B">
            <w:pPr>
              <w:pStyle w:val="27"/>
              <w:snapToGrid w:val="0"/>
              <w:rPr>
                <w:color w:val="auto"/>
                <w:szCs w:val="15"/>
              </w:rPr>
            </w:pPr>
          </w:p>
        </w:tc>
        <w:tc>
          <w:tcPr>
            <w:tcW w:w="1274" w:type="dxa"/>
            <w:vAlign w:val="center"/>
          </w:tcPr>
          <w:p w14:paraId="168DF30E">
            <w:pPr>
              <w:pStyle w:val="27"/>
              <w:snapToGrid w:val="0"/>
              <w:rPr>
                <w:color w:val="auto"/>
                <w:szCs w:val="15"/>
              </w:rPr>
            </w:pPr>
            <w:r>
              <w:rPr>
                <w:rFonts w:hint="eastAsia"/>
                <w:color w:val="auto"/>
                <w:szCs w:val="15"/>
              </w:rPr>
              <w:t>部分框支剪力墙</w:t>
            </w:r>
          </w:p>
        </w:tc>
        <w:tc>
          <w:tcPr>
            <w:tcW w:w="1417" w:type="dxa"/>
            <w:vAlign w:val="center"/>
          </w:tcPr>
          <w:p w14:paraId="3E874A1E">
            <w:pPr>
              <w:pStyle w:val="27"/>
              <w:adjustRightInd/>
              <w:rPr>
                <w:color w:val="auto"/>
                <w:szCs w:val="15"/>
              </w:rPr>
            </w:pPr>
            <w:r>
              <w:rPr>
                <w:rFonts w:hint="eastAsia" w:eastAsia="等线"/>
                <w:color w:val="auto"/>
                <w:szCs w:val="15"/>
              </w:rPr>
              <w:t>110（100）</w:t>
            </w:r>
          </w:p>
        </w:tc>
        <w:tc>
          <w:tcPr>
            <w:tcW w:w="1417" w:type="dxa"/>
            <w:vAlign w:val="center"/>
          </w:tcPr>
          <w:p w14:paraId="3A1D0F1E">
            <w:pPr>
              <w:pStyle w:val="27"/>
              <w:adjustRightInd/>
              <w:rPr>
                <w:color w:val="auto"/>
                <w:szCs w:val="15"/>
              </w:rPr>
            </w:pPr>
            <w:r>
              <w:rPr>
                <w:rFonts w:hint="eastAsia"/>
                <w:color w:val="auto"/>
                <w:szCs w:val="15"/>
              </w:rPr>
              <w:t>90（80）</w:t>
            </w:r>
          </w:p>
        </w:tc>
        <w:tc>
          <w:tcPr>
            <w:tcW w:w="1417" w:type="dxa"/>
            <w:vAlign w:val="center"/>
          </w:tcPr>
          <w:p w14:paraId="4416A0C9">
            <w:pPr>
              <w:pStyle w:val="27"/>
              <w:adjustRightInd/>
              <w:rPr>
                <w:color w:val="auto"/>
                <w:szCs w:val="15"/>
              </w:rPr>
            </w:pPr>
            <w:r>
              <w:rPr>
                <w:rFonts w:hint="eastAsia" w:eastAsia="等线"/>
                <w:color w:val="auto"/>
                <w:szCs w:val="15"/>
              </w:rPr>
              <w:t>60（50）</w:t>
            </w:r>
          </w:p>
        </w:tc>
      </w:tr>
      <w:tr w14:paraId="6CC5DC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2" w:type="dxa"/>
            <w:vMerge w:val="restart"/>
            <w:vAlign w:val="center"/>
          </w:tcPr>
          <w:p w14:paraId="4692C659">
            <w:pPr>
              <w:pStyle w:val="27"/>
              <w:snapToGrid w:val="0"/>
              <w:rPr>
                <w:color w:val="auto"/>
                <w:szCs w:val="15"/>
              </w:rPr>
            </w:pPr>
            <w:r>
              <w:rPr>
                <w:rFonts w:hint="eastAsia"/>
                <w:color w:val="auto"/>
                <w:szCs w:val="15"/>
              </w:rPr>
              <w:t>模块化现浇结构</w:t>
            </w:r>
          </w:p>
        </w:tc>
        <w:tc>
          <w:tcPr>
            <w:tcW w:w="2736" w:type="dxa"/>
            <w:gridSpan w:val="2"/>
            <w:shd w:val="clear" w:color="auto" w:fill="auto"/>
            <w:vAlign w:val="center"/>
          </w:tcPr>
          <w:p w14:paraId="1B66D2D1">
            <w:pPr>
              <w:pStyle w:val="27"/>
              <w:snapToGrid w:val="0"/>
              <w:rPr>
                <w:color w:val="auto"/>
                <w:szCs w:val="15"/>
              </w:rPr>
            </w:pPr>
            <w:r>
              <w:rPr>
                <w:rFonts w:hint="eastAsia"/>
                <w:color w:val="auto"/>
                <w:szCs w:val="15"/>
              </w:rPr>
              <w:t>模块化现浇框架结构</w:t>
            </w:r>
          </w:p>
        </w:tc>
        <w:tc>
          <w:tcPr>
            <w:tcW w:w="1417" w:type="dxa"/>
            <w:shd w:val="clear" w:color="auto" w:fill="auto"/>
            <w:vAlign w:val="center"/>
          </w:tcPr>
          <w:p w14:paraId="3FEB0E01">
            <w:pPr>
              <w:pStyle w:val="27"/>
              <w:adjustRightInd/>
              <w:rPr>
                <w:rFonts w:eastAsia="等线"/>
                <w:color w:val="auto"/>
                <w:szCs w:val="15"/>
              </w:rPr>
            </w:pPr>
            <w:r>
              <w:rPr>
                <w:rFonts w:eastAsia="等线"/>
                <w:color w:val="auto"/>
                <w:szCs w:val="15"/>
              </w:rPr>
              <w:t>60</w:t>
            </w:r>
          </w:p>
        </w:tc>
        <w:tc>
          <w:tcPr>
            <w:tcW w:w="1417" w:type="dxa"/>
            <w:shd w:val="clear" w:color="auto" w:fill="auto"/>
            <w:vAlign w:val="center"/>
          </w:tcPr>
          <w:p w14:paraId="25B6E44B">
            <w:pPr>
              <w:pStyle w:val="27"/>
              <w:adjustRightInd/>
              <w:rPr>
                <w:color w:val="auto"/>
                <w:szCs w:val="15"/>
              </w:rPr>
            </w:pPr>
            <w:r>
              <w:rPr>
                <w:rFonts w:eastAsia="等线"/>
                <w:color w:val="auto"/>
                <w:szCs w:val="15"/>
              </w:rPr>
              <w:t>50</w:t>
            </w:r>
          </w:p>
        </w:tc>
        <w:tc>
          <w:tcPr>
            <w:tcW w:w="1417" w:type="dxa"/>
            <w:shd w:val="clear" w:color="auto" w:fill="auto"/>
            <w:vAlign w:val="center"/>
          </w:tcPr>
          <w:p w14:paraId="36C031C2">
            <w:pPr>
              <w:pStyle w:val="27"/>
              <w:adjustRightInd/>
              <w:rPr>
                <w:rFonts w:eastAsia="等线"/>
                <w:color w:val="auto"/>
                <w:szCs w:val="15"/>
              </w:rPr>
            </w:pPr>
            <w:r>
              <w:rPr>
                <w:rFonts w:eastAsia="等线"/>
                <w:color w:val="auto"/>
                <w:szCs w:val="15"/>
              </w:rPr>
              <w:t>40</w:t>
            </w:r>
          </w:p>
        </w:tc>
      </w:tr>
      <w:tr w14:paraId="012892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2" w:type="dxa"/>
            <w:vMerge w:val="continue"/>
            <w:vAlign w:val="center"/>
          </w:tcPr>
          <w:p w14:paraId="602860EC">
            <w:pPr>
              <w:pStyle w:val="27"/>
              <w:snapToGrid w:val="0"/>
              <w:rPr>
                <w:color w:val="auto"/>
                <w:szCs w:val="15"/>
              </w:rPr>
            </w:pPr>
          </w:p>
        </w:tc>
        <w:tc>
          <w:tcPr>
            <w:tcW w:w="2736" w:type="dxa"/>
            <w:gridSpan w:val="2"/>
            <w:shd w:val="clear" w:color="auto" w:fill="auto"/>
            <w:vAlign w:val="center"/>
          </w:tcPr>
          <w:p w14:paraId="17799C85">
            <w:pPr>
              <w:pStyle w:val="27"/>
              <w:snapToGrid w:val="0"/>
              <w:rPr>
                <w:color w:val="auto"/>
                <w:szCs w:val="15"/>
              </w:rPr>
            </w:pPr>
            <w:r>
              <w:rPr>
                <w:rFonts w:hint="eastAsia"/>
                <w:color w:val="auto"/>
                <w:szCs w:val="15"/>
              </w:rPr>
              <w:t>模块化现浇框架-剪力墙结构</w:t>
            </w:r>
          </w:p>
        </w:tc>
        <w:tc>
          <w:tcPr>
            <w:tcW w:w="1417" w:type="dxa"/>
            <w:shd w:val="clear" w:color="auto" w:fill="auto"/>
            <w:vAlign w:val="center"/>
          </w:tcPr>
          <w:p w14:paraId="1CA63FC1">
            <w:pPr>
              <w:pStyle w:val="27"/>
              <w:adjustRightInd/>
              <w:rPr>
                <w:rFonts w:eastAsia="等线"/>
                <w:color w:val="auto"/>
                <w:szCs w:val="15"/>
              </w:rPr>
            </w:pPr>
            <w:r>
              <w:rPr>
                <w:rFonts w:eastAsia="等线"/>
                <w:color w:val="auto"/>
                <w:szCs w:val="15"/>
              </w:rPr>
              <w:t>130</w:t>
            </w:r>
          </w:p>
        </w:tc>
        <w:tc>
          <w:tcPr>
            <w:tcW w:w="1417" w:type="dxa"/>
            <w:shd w:val="clear" w:color="auto" w:fill="auto"/>
            <w:vAlign w:val="center"/>
          </w:tcPr>
          <w:p w14:paraId="4CC173C9">
            <w:pPr>
              <w:pStyle w:val="27"/>
              <w:adjustRightInd/>
              <w:rPr>
                <w:rFonts w:eastAsia="等线"/>
                <w:color w:val="auto"/>
                <w:szCs w:val="15"/>
              </w:rPr>
            </w:pPr>
            <w:r>
              <w:rPr>
                <w:rFonts w:eastAsia="等线"/>
                <w:color w:val="auto"/>
                <w:szCs w:val="15"/>
              </w:rPr>
              <w:t>120</w:t>
            </w:r>
          </w:p>
        </w:tc>
        <w:tc>
          <w:tcPr>
            <w:tcW w:w="1417" w:type="dxa"/>
            <w:shd w:val="clear" w:color="auto" w:fill="auto"/>
            <w:vAlign w:val="center"/>
          </w:tcPr>
          <w:p w14:paraId="5C6E8864">
            <w:pPr>
              <w:pStyle w:val="27"/>
              <w:adjustRightInd/>
              <w:rPr>
                <w:rFonts w:eastAsia="等线"/>
                <w:color w:val="auto"/>
                <w:szCs w:val="15"/>
              </w:rPr>
            </w:pPr>
            <w:r>
              <w:rPr>
                <w:rFonts w:eastAsia="等线"/>
                <w:color w:val="auto"/>
                <w:szCs w:val="15"/>
              </w:rPr>
              <w:t>100</w:t>
            </w:r>
          </w:p>
        </w:tc>
      </w:tr>
      <w:tr w14:paraId="618017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2" w:type="dxa"/>
            <w:vMerge w:val="continue"/>
            <w:vAlign w:val="center"/>
          </w:tcPr>
          <w:p w14:paraId="314B8EE3">
            <w:pPr>
              <w:pStyle w:val="27"/>
              <w:snapToGrid w:val="0"/>
              <w:rPr>
                <w:color w:val="auto"/>
                <w:szCs w:val="15"/>
              </w:rPr>
            </w:pPr>
          </w:p>
        </w:tc>
        <w:tc>
          <w:tcPr>
            <w:tcW w:w="1462" w:type="dxa"/>
            <w:vMerge w:val="restart"/>
            <w:shd w:val="clear" w:color="auto" w:fill="auto"/>
            <w:vAlign w:val="center"/>
          </w:tcPr>
          <w:p w14:paraId="586E5560">
            <w:pPr>
              <w:pStyle w:val="27"/>
              <w:snapToGrid w:val="0"/>
              <w:rPr>
                <w:color w:val="auto"/>
                <w:szCs w:val="15"/>
              </w:rPr>
            </w:pPr>
            <w:r>
              <w:rPr>
                <w:rFonts w:hint="eastAsia"/>
                <w:color w:val="auto"/>
                <w:szCs w:val="15"/>
              </w:rPr>
              <w:t>模块化现浇剪力墙结构</w:t>
            </w:r>
          </w:p>
        </w:tc>
        <w:tc>
          <w:tcPr>
            <w:tcW w:w="1274" w:type="dxa"/>
            <w:vAlign w:val="center"/>
          </w:tcPr>
          <w:p w14:paraId="195ADDAE">
            <w:pPr>
              <w:pStyle w:val="27"/>
              <w:snapToGrid w:val="0"/>
              <w:rPr>
                <w:color w:val="auto"/>
                <w:szCs w:val="15"/>
              </w:rPr>
            </w:pPr>
            <w:r>
              <w:rPr>
                <w:rFonts w:hint="eastAsia"/>
                <w:color w:val="auto"/>
                <w:szCs w:val="15"/>
              </w:rPr>
              <w:t>全部落地</w:t>
            </w:r>
          </w:p>
          <w:p w14:paraId="445DAC6F">
            <w:pPr>
              <w:pStyle w:val="27"/>
              <w:snapToGrid w:val="0"/>
              <w:rPr>
                <w:color w:val="auto"/>
                <w:szCs w:val="15"/>
              </w:rPr>
            </w:pPr>
            <w:r>
              <w:rPr>
                <w:rFonts w:hint="eastAsia"/>
                <w:color w:val="auto"/>
                <w:szCs w:val="15"/>
              </w:rPr>
              <w:t>剪力墙</w:t>
            </w:r>
          </w:p>
        </w:tc>
        <w:tc>
          <w:tcPr>
            <w:tcW w:w="1417" w:type="dxa"/>
            <w:shd w:val="clear" w:color="auto" w:fill="auto"/>
            <w:vAlign w:val="center"/>
          </w:tcPr>
          <w:p w14:paraId="7617DFAA">
            <w:pPr>
              <w:pStyle w:val="27"/>
              <w:adjustRightInd/>
              <w:rPr>
                <w:rFonts w:eastAsia="等线"/>
                <w:color w:val="auto"/>
                <w:szCs w:val="15"/>
              </w:rPr>
            </w:pPr>
            <w:r>
              <w:rPr>
                <w:rFonts w:eastAsia="等线"/>
                <w:color w:val="auto"/>
                <w:szCs w:val="15"/>
              </w:rPr>
              <w:t>140</w:t>
            </w:r>
          </w:p>
        </w:tc>
        <w:tc>
          <w:tcPr>
            <w:tcW w:w="1417" w:type="dxa"/>
            <w:shd w:val="clear" w:color="auto" w:fill="auto"/>
            <w:vAlign w:val="center"/>
          </w:tcPr>
          <w:p w14:paraId="488DB3FF">
            <w:pPr>
              <w:pStyle w:val="27"/>
              <w:adjustRightInd/>
              <w:rPr>
                <w:rFonts w:eastAsia="等线"/>
                <w:color w:val="auto"/>
                <w:szCs w:val="15"/>
              </w:rPr>
            </w:pPr>
            <w:r>
              <w:rPr>
                <w:rFonts w:eastAsia="等线"/>
                <w:color w:val="auto"/>
                <w:szCs w:val="15"/>
              </w:rPr>
              <w:t>120</w:t>
            </w:r>
          </w:p>
        </w:tc>
        <w:tc>
          <w:tcPr>
            <w:tcW w:w="1417" w:type="dxa"/>
            <w:shd w:val="clear" w:color="auto" w:fill="auto"/>
            <w:vAlign w:val="center"/>
          </w:tcPr>
          <w:p w14:paraId="32302446">
            <w:pPr>
              <w:pStyle w:val="27"/>
              <w:adjustRightInd/>
              <w:rPr>
                <w:rFonts w:eastAsia="等线"/>
                <w:color w:val="auto"/>
                <w:szCs w:val="15"/>
              </w:rPr>
            </w:pPr>
            <w:r>
              <w:rPr>
                <w:rFonts w:eastAsia="等线"/>
                <w:color w:val="auto"/>
                <w:szCs w:val="15"/>
              </w:rPr>
              <w:t>100</w:t>
            </w:r>
          </w:p>
        </w:tc>
      </w:tr>
      <w:tr w14:paraId="741697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2" w:type="dxa"/>
            <w:vMerge w:val="continue"/>
            <w:vAlign w:val="center"/>
          </w:tcPr>
          <w:p w14:paraId="63A14BE9">
            <w:pPr>
              <w:pStyle w:val="27"/>
              <w:snapToGrid w:val="0"/>
              <w:rPr>
                <w:color w:val="auto"/>
                <w:szCs w:val="15"/>
              </w:rPr>
            </w:pPr>
          </w:p>
        </w:tc>
        <w:tc>
          <w:tcPr>
            <w:tcW w:w="1462" w:type="dxa"/>
            <w:vMerge w:val="continue"/>
            <w:shd w:val="clear" w:color="auto" w:fill="auto"/>
            <w:vAlign w:val="center"/>
          </w:tcPr>
          <w:p w14:paraId="55B43F18">
            <w:pPr>
              <w:pStyle w:val="27"/>
              <w:snapToGrid w:val="0"/>
              <w:rPr>
                <w:color w:val="auto"/>
                <w:szCs w:val="15"/>
              </w:rPr>
            </w:pPr>
          </w:p>
        </w:tc>
        <w:tc>
          <w:tcPr>
            <w:tcW w:w="1274" w:type="dxa"/>
            <w:vAlign w:val="center"/>
          </w:tcPr>
          <w:p w14:paraId="46B3EDB4">
            <w:pPr>
              <w:pStyle w:val="27"/>
              <w:snapToGrid w:val="0"/>
              <w:rPr>
                <w:color w:val="auto"/>
                <w:szCs w:val="15"/>
              </w:rPr>
            </w:pPr>
            <w:r>
              <w:rPr>
                <w:rFonts w:hint="eastAsia"/>
                <w:color w:val="auto"/>
                <w:szCs w:val="15"/>
              </w:rPr>
              <w:t>部分框支</w:t>
            </w:r>
          </w:p>
          <w:p w14:paraId="3C42DBB8">
            <w:pPr>
              <w:pStyle w:val="27"/>
              <w:snapToGrid w:val="0"/>
              <w:rPr>
                <w:color w:val="auto"/>
                <w:szCs w:val="15"/>
              </w:rPr>
            </w:pPr>
            <w:r>
              <w:rPr>
                <w:rFonts w:hint="eastAsia"/>
                <w:color w:val="auto"/>
                <w:szCs w:val="15"/>
              </w:rPr>
              <w:t>剪力墙</w:t>
            </w:r>
          </w:p>
        </w:tc>
        <w:tc>
          <w:tcPr>
            <w:tcW w:w="1417" w:type="dxa"/>
            <w:vAlign w:val="center"/>
          </w:tcPr>
          <w:p w14:paraId="6DB79C2C">
            <w:pPr>
              <w:pStyle w:val="27"/>
              <w:snapToGrid w:val="0"/>
              <w:rPr>
                <w:color w:val="auto"/>
                <w:szCs w:val="15"/>
              </w:rPr>
            </w:pPr>
            <w:r>
              <w:rPr>
                <w:rFonts w:hint="eastAsia"/>
                <w:color w:val="auto"/>
                <w:szCs w:val="15"/>
              </w:rPr>
              <w:t>120</w:t>
            </w:r>
          </w:p>
        </w:tc>
        <w:tc>
          <w:tcPr>
            <w:tcW w:w="1417" w:type="dxa"/>
            <w:vAlign w:val="center"/>
          </w:tcPr>
          <w:p w14:paraId="2068BB1E">
            <w:pPr>
              <w:pStyle w:val="27"/>
              <w:snapToGrid w:val="0"/>
              <w:rPr>
                <w:color w:val="auto"/>
                <w:szCs w:val="15"/>
              </w:rPr>
            </w:pPr>
            <w:r>
              <w:rPr>
                <w:rFonts w:hint="eastAsia"/>
                <w:color w:val="auto"/>
                <w:szCs w:val="15"/>
              </w:rPr>
              <w:t>100</w:t>
            </w:r>
          </w:p>
        </w:tc>
        <w:tc>
          <w:tcPr>
            <w:tcW w:w="1417" w:type="dxa"/>
            <w:vAlign w:val="center"/>
          </w:tcPr>
          <w:p w14:paraId="1EDB012E">
            <w:pPr>
              <w:pStyle w:val="27"/>
              <w:snapToGrid w:val="0"/>
              <w:rPr>
                <w:color w:val="auto"/>
                <w:szCs w:val="15"/>
              </w:rPr>
            </w:pPr>
            <w:r>
              <w:rPr>
                <w:rFonts w:hint="eastAsia"/>
                <w:color w:val="auto"/>
                <w:szCs w:val="15"/>
              </w:rPr>
              <w:t>80</w:t>
            </w:r>
          </w:p>
        </w:tc>
      </w:tr>
    </w:tbl>
    <w:p w14:paraId="18EBD2B2">
      <w:pPr>
        <w:pStyle w:val="28"/>
        <w:ind w:firstLine="300" w:firstLineChars="200"/>
        <w:rPr>
          <w:color w:val="auto"/>
        </w:rPr>
      </w:pPr>
      <w:r>
        <w:rPr>
          <w:rFonts w:hint="eastAsia"/>
          <w:color w:val="auto"/>
        </w:rPr>
        <w:t>注：</w:t>
      </w:r>
      <w:r>
        <w:rPr>
          <w:rFonts w:hint="eastAsia"/>
          <w:b/>
          <w:bCs/>
          <w:color w:val="auto"/>
        </w:rPr>
        <w:t>1</w:t>
      </w:r>
      <w:r>
        <w:rPr>
          <w:rFonts w:hint="eastAsia"/>
          <w:color w:val="auto"/>
        </w:rPr>
        <w:t xml:space="preserve">  </w:t>
      </w:r>
      <w:r>
        <w:rPr>
          <w:color w:val="auto"/>
        </w:rPr>
        <w:t>房屋高度指室外地面的主要屋面板板顶高度（不包括局部突出屋顶各部分）</w:t>
      </w:r>
      <w:r>
        <w:rPr>
          <w:rFonts w:hint="eastAsia"/>
          <w:color w:val="auto"/>
        </w:rPr>
        <w:t>；</w:t>
      </w:r>
    </w:p>
    <w:p w14:paraId="41772C69">
      <w:pPr>
        <w:pStyle w:val="28"/>
        <w:ind w:firstLine="602" w:firstLineChars="400"/>
        <w:rPr>
          <w:color w:val="auto"/>
        </w:rPr>
      </w:pPr>
      <w:r>
        <w:rPr>
          <w:rFonts w:hint="eastAsia"/>
          <w:b/>
          <w:bCs/>
          <w:color w:val="auto"/>
        </w:rPr>
        <w:t>2</w:t>
      </w:r>
      <w:r>
        <w:rPr>
          <w:rFonts w:hint="eastAsia"/>
          <w:color w:val="auto"/>
        </w:rPr>
        <w:t xml:space="preserve">  超过表内高度的房屋，应进行专门研究和论证，采取有效的加强措施。</w:t>
      </w:r>
    </w:p>
    <w:p w14:paraId="4CC9D175">
      <w:pPr>
        <w:pStyle w:val="33"/>
        <w:ind w:firstLineChars="0"/>
        <w:rPr>
          <w:rFonts w:ascii="楷体" w:hAnsi="楷体" w:cs="楷体"/>
          <w:color w:val="auto"/>
          <w:szCs w:val="21"/>
        </w:rPr>
      </w:pPr>
      <w:r>
        <w:rPr>
          <w:rFonts w:hint="eastAsia" w:ascii="楷体" w:hAnsi="楷体" w:cs="楷体"/>
          <w:color w:val="auto"/>
          <w:szCs w:val="21"/>
        </w:rPr>
        <w:t>【条文说明】表6.1.4中，模块化叠合剪力墙结构适用高度参考了《装配整体式叠合剪力墙结构技术规程》DBJ_T15-210，当模块化叠合剪力墙结构设计不符合《装配整体式叠合剪力墙结构技术规程》DBJ_T15-210相关要求时，模块化建筑的最大适用高度宜适当降低，并进行论证；当同一模块化建筑项目结构体系中存在预制剪力墙、叠合剪力墙、现浇剪力墙混用的情况时，建筑最大适用高度按最不利情况选用。</w:t>
      </w:r>
    </w:p>
    <w:p w14:paraId="01D19325">
      <w:pPr>
        <w:pStyle w:val="33"/>
        <w:ind w:firstLineChars="0"/>
        <w:rPr>
          <w:rFonts w:ascii="楷体" w:hAnsi="楷体" w:cs="楷体"/>
          <w:color w:val="auto"/>
          <w:szCs w:val="21"/>
        </w:rPr>
      </w:pPr>
      <w:r>
        <w:rPr>
          <w:rFonts w:hint="eastAsia" w:ascii="楷体" w:hAnsi="楷体" w:cs="楷体"/>
          <w:color w:val="auto"/>
          <w:szCs w:val="21"/>
        </w:rPr>
        <w:t>目前模块化堆叠框架结构多为双柱双梁形式，节点与</w:t>
      </w:r>
      <w:r>
        <w:rPr>
          <w:rFonts w:hint="eastAsia"/>
          <w:bCs/>
          <w:color w:val="auto"/>
          <w:szCs w:val="21"/>
        </w:rPr>
        <w:t>《装配式混凝土结构技术规程》JGJ 1</w:t>
      </w:r>
      <w:r>
        <w:rPr>
          <w:rFonts w:hint="eastAsia" w:ascii="楷体" w:hAnsi="楷体" w:cs="楷体"/>
          <w:color w:val="auto"/>
          <w:szCs w:val="21"/>
        </w:rPr>
        <w:t>中做法不同，很难实现完全刚接，因此建议在低多层建筑中使用。对于确实能够实现节点完全刚接的，可通过论证的方式提高建筑高度。</w:t>
      </w:r>
    </w:p>
    <w:p w14:paraId="073153A4">
      <w:pPr>
        <w:numPr>
          <w:ilvl w:val="0"/>
          <w:numId w:val="12"/>
        </w:numPr>
        <w:spacing w:line="312" w:lineRule="auto"/>
        <w:rPr>
          <w:bCs/>
          <w:color w:val="auto"/>
        </w:rPr>
      </w:pPr>
      <w:r>
        <w:rPr>
          <w:rFonts w:hint="eastAsia"/>
          <w:bCs/>
          <w:color w:val="auto"/>
        </w:rPr>
        <w:t>模块化建筑的抗震设计，应根据设防类别、烈度、结构类型和房屋高度采用不同的抗震等级，并应符合相应的计算和构造措施要求。丙类模块化建筑的抗震等级应按表6.1.5确定。</w:t>
      </w:r>
    </w:p>
    <w:p w14:paraId="7FA65B52">
      <w:pPr>
        <w:pStyle w:val="26"/>
        <w:snapToGrid w:val="0"/>
        <w:spacing w:line="400" w:lineRule="exact"/>
        <w:rPr>
          <w:color w:val="auto"/>
        </w:rPr>
      </w:pPr>
      <w:r>
        <w:rPr>
          <w:color w:val="auto"/>
        </w:rPr>
        <w:t>表</w:t>
      </w:r>
      <w:r>
        <w:rPr>
          <w:b/>
          <w:color w:val="auto"/>
        </w:rPr>
        <w:t>6</w:t>
      </w:r>
      <w:r>
        <w:rPr>
          <w:rFonts w:ascii="宋体" w:hAnsi="宋体"/>
          <w:b/>
          <w:color w:val="auto"/>
        </w:rPr>
        <w:t>.</w:t>
      </w:r>
      <w:r>
        <w:rPr>
          <w:b/>
          <w:color w:val="auto"/>
        </w:rPr>
        <w:t>1</w:t>
      </w:r>
      <w:r>
        <w:rPr>
          <w:rFonts w:ascii="宋体" w:hAnsi="宋体"/>
          <w:b/>
          <w:color w:val="auto"/>
        </w:rPr>
        <w:t>.</w:t>
      </w:r>
      <w:r>
        <w:rPr>
          <w:rFonts w:hint="eastAsia"/>
          <w:b/>
          <w:color w:val="auto"/>
        </w:rPr>
        <w:t>5</w:t>
      </w:r>
      <w:r>
        <w:rPr>
          <w:b/>
          <w:color w:val="auto"/>
        </w:rPr>
        <w:t xml:space="preserve">  </w:t>
      </w:r>
      <w:r>
        <w:rPr>
          <w:color w:val="auto"/>
        </w:rPr>
        <w:t>丙类</w:t>
      </w:r>
      <w:r>
        <w:rPr>
          <w:rFonts w:hint="eastAsia"/>
          <w:color w:val="auto"/>
        </w:rPr>
        <w:t>模块化建筑</w:t>
      </w:r>
      <w:r>
        <w:rPr>
          <w:color w:val="auto"/>
        </w:rPr>
        <w:t>的抗震等级</w:t>
      </w:r>
    </w:p>
    <w:tbl>
      <w:tblPr>
        <w:tblStyle w:val="17"/>
        <w:tblW w:w="562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962"/>
        <w:gridCol w:w="913"/>
        <w:gridCol w:w="829"/>
        <w:gridCol w:w="50"/>
        <w:gridCol w:w="351"/>
        <w:gridCol w:w="531"/>
        <w:gridCol w:w="597"/>
        <w:gridCol w:w="19"/>
        <w:gridCol w:w="591"/>
        <w:gridCol w:w="574"/>
        <w:gridCol w:w="15"/>
        <w:gridCol w:w="353"/>
        <w:gridCol w:w="286"/>
        <w:gridCol w:w="575"/>
        <w:gridCol w:w="645"/>
        <w:gridCol w:w="8"/>
        <w:gridCol w:w="42"/>
        <w:gridCol w:w="324"/>
        <w:gridCol w:w="269"/>
        <w:gridCol w:w="12"/>
        <w:gridCol w:w="21"/>
        <w:gridCol w:w="777"/>
      </w:tblGrid>
      <w:tr w14:paraId="18E24A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337" w:type="pct"/>
            <w:gridSpan w:val="7"/>
            <w:vMerge w:val="restart"/>
            <w:vAlign w:val="center"/>
          </w:tcPr>
          <w:p w14:paraId="16206C83">
            <w:pPr>
              <w:pStyle w:val="27"/>
              <w:rPr>
                <w:color w:val="auto"/>
              </w:rPr>
            </w:pPr>
            <w:r>
              <w:rPr>
                <w:color w:val="auto"/>
              </w:rPr>
              <w:t>结构类型</w:t>
            </w:r>
          </w:p>
        </w:tc>
        <w:tc>
          <w:tcPr>
            <w:tcW w:w="2662" w:type="pct"/>
            <w:gridSpan w:val="16"/>
            <w:vAlign w:val="center"/>
          </w:tcPr>
          <w:p w14:paraId="02CC960C">
            <w:pPr>
              <w:pStyle w:val="27"/>
              <w:adjustRightInd/>
              <w:rPr>
                <w:color w:val="auto"/>
              </w:rPr>
            </w:pPr>
            <w:r>
              <w:rPr>
                <w:color w:val="auto"/>
              </w:rPr>
              <w:t>抗震设防烈度</w:t>
            </w:r>
          </w:p>
        </w:tc>
      </w:tr>
      <w:tr w14:paraId="555BD8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337" w:type="pct"/>
            <w:gridSpan w:val="7"/>
            <w:vMerge w:val="continue"/>
            <w:vAlign w:val="center"/>
          </w:tcPr>
          <w:p w14:paraId="26BB1F15">
            <w:pPr>
              <w:pStyle w:val="27"/>
              <w:rPr>
                <w:color w:val="auto"/>
              </w:rPr>
            </w:pPr>
          </w:p>
        </w:tc>
        <w:tc>
          <w:tcPr>
            <w:tcW w:w="629" w:type="pct"/>
            <w:gridSpan w:val="3"/>
            <w:vAlign w:val="center"/>
          </w:tcPr>
          <w:p w14:paraId="254A4D34">
            <w:pPr>
              <w:pStyle w:val="27"/>
              <w:adjustRightInd/>
              <w:rPr>
                <w:color w:val="auto"/>
              </w:rPr>
            </w:pPr>
            <w:r>
              <w:rPr>
                <w:color w:val="auto"/>
              </w:rPr>
              <w:t>6度</w:t>
            </w:r>
          </w:p>
        </w:tc>
        <w:tc>
          <w:tcPr>
            <w:tcW w:w="940" w:type="pct"/>
            <w:gridSpan w:val="5"/>
            <w:vAlign w:val="center"/>
          </w:tcPr>
          <w:p w14:paraId="0C35C0D6">
            <w:pPr>
              <w:pStyle w:val="27"/>
              <w:adjustRightInd/>
              <w:rPr>
                <w:color w:val="auto"/>
              </w:rPr>
            </w:pPr>
            <w:r>
              <w:rPr>
                <w:color w:val="auto"/>
              </w:rPr>
              <w:t>7度</w:t>
            </w:r>
          </w:p>
        </w:tc>
        <w:tc>
          <w:tcPr>
            <w:tcW w:w="1092" w:type="pct"/>
            <w:gridSpan w:val="8"/>
            <w:vAlign w:val="center"/>
          </w:tcPr>
          <w:p w14:paraId="4606B1E1">
            <w:pPr>
              <w:pStyle w:val="27"/>
              <w:adjustRightInd/>
              <w:rPr>
                <w:color w:val="auto"/>
              </w:rPr>
            </w:pPr>
            <w:r>
              <w:rPr>
                <w:color w:val="auto"/>
              </w:rPr>
              <w:t>8</w:t>
            </w:r>
            <w:r>
              <w:rPr>
                <w:rFonts w:hint="eastAsia"/>
                <w:color w:val="auto"/>
              </w:rPr>
              <w:t>度</w:t>
            </w:r>
          </w:p>
        </w:tc>
      </w:tr>
      <w:tr w14:paraId="1217C9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9" w:type="pct"/>
            <w:gridSpan w:val="3"/>
            <w:vMerge w:val="restart"/>
            <w:vAlign w:val="center"/>
          </w:tcPr>
          <w:p w14:paraId="3565A3D5">
            <w:pPr>
              <w:pStyle w:val="27"/>
              <w:snapToGrid w:val="0"/>
              <w:rPr>
                <w:color w:val="auto"/>
              </w:rPr>
            </w:pPr>
            <w:r>
              <w:rPr>
                <w:rFonts w:hint="eastAsia"/>
                <w:color w:val="auto"/>
              </w:rPr>
              <w:t>模块化框架结构</w:t>
            </w:r>
          </w:p>
        </w:tc>
        <w:tc>
          <w:tcPr>
            <w:tcW w:w="918" w:type="pct"/>
            <w:gridSpan w:val="4"/>
            <w:vAlign w:val="center"/>
          </w:tcPr>
          <w:p w14:paraId="0C2CB908">
            <w:pPr>
              <w:pStyle w:val="27"/>
              <w:rPr>
                <w:color w:val="auto"/>
              </w:rPr>
            </w:pPr>
            <w:r>
              <w:rPr>
                <w:color w:val="auto"/>
              </w:rPr>
              <w:t>高度</w:t>
            </w:r>
          </w:p>
        </w:tc>
        <w:tc>
          <w:tcPr>
            <w:tcW w:w="629" w:type="pct"/>
            <w:gridSpan w:val="3"/>
            <w:vAlign w:val="center"/>
          </w:tcPr>
          <w:p w14:paraId="714ACA06">
            <w:pPr>
              <w:pStyle w:val="27"/>
              <w:rPr>
                <w:color w:val="auto"/>
              </w:rPr>
            </w:pPr>
            <w:r>
              <w:rPr>
                <w:color w:val="auto"/>
              </w:rPr>
              <w:t>≤24m，且≤6层</w:t>
            </w:r>
          </w:p>
        </w:tc>
        <w:tc>
          <w:tcPr>
            <w:tcW w:w="940" w:type="pct"/>
            <w:gridSpan w:val="5"/>
            <w:vAlign w:val="center"/>
          </w:tcPr>
          <w:p w14:paraId="6FAA3E5F">
            <w:pPr>
              <w:pStyle w:val="27"/>
              <w:rPr>
                <w:color w:val="auto"/>
              </w:rPr>
            </w:pPr>
            <w:r>
              <w:rPr>
                <w:color w:val="auto"/>
              </w:rPr>
              <w:t>≤24</w:t>
            </w:r>
            <w:r>
              <w:rPr>
                <w:rFonts w:hint="eastAsia"/>
                <w:color w:val="auto"/>
              </w:rPr>
              <w:t>m，且≤</w:t>
            </w:r>
            <w:r>
              <w:rPr>
                <w:color w:val="auto"/>
              </w:rPr>
              <w:t>6</w:t>
            </w:r>
            <w:r>
              <w:rPr>
                <w:rFonts w:hint="eastAsia"/>
                <w:color w:val="auto"/>
              </w:rPr>
              <w:t>层</w:t>
            </w:r>
          </w:p>
        </w:tc>
        <w:tc>
          <w:tcPr>
            <w:tcW w:w="1092" w:type="pct"/>
            <w:gridSpan w:val="8"/>
            <w:vAlign w:val="center"/>
          </w:tcPr>
          <w:p w14:paraId="1AAFCA09">
            <w:pPr>
              <w:pStyle w:val="27"/>
              <w:rPr>
                <w:color w:val="auto"/>
              </w:rPr>
            </w:pPr>
            <w:r>
              <w:rPr>
                <w:rFonts w:eastAsia="等线"/>
                <w:color w:val="auto"/>
              </w:rPr>
              <w:t>≤20m</w:t>
            </w:r>
            <w:r>
              <w:rPr>
                <w:rFonts w:hint="eastAsia" w:ascii="宋体" w:hAnsi="宋体"/>
                <w:color w:val="auto"/>
              </w:rPr>
              <w:t>，且</w:t>
            </w:r>
            <w:r>
              <w:rPr>
                <w:rFonts w:eastAsia="等线"/>
                <w:color w:val="auto"/>
              </w:rPr>
              <w:t>≤5</w:t>
            </w:r>
            <w:r>
              <w:rPr>
                <w:rFonts w:hint="eastAsia" w:ascii="宋体" w:hAnsi="宋体"/>
                <w:color w:val="auto"/>
              </w:rPr>
              <w:t>层</w:t>
            </w:r>
          </w:p>
        </w:tc>
      </w:tr>
      <w:tr w14:paraId="694E0C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9" w:type="pct"/>
            <w:gridSpan w:val="3"/>
            <w:vMerge w:val="continue"/>
            <w:vAlign w:val="center"/>
          </w:tcPr>
          <w:p w14:paraId="0B5719BC">
            <w:pPr>
              <w:pStyle w:val="27"/>
              <w:snapToGrid w:val="0"/>
              <w:rPr>
                <w:color w:val="auto"/>
              </w:rPr>
            </w:pPr>
          </w:p>
        </w:tc>
        <w:tc>
          <w:tcPr>
            <w:tcW w:w="918" w:type="pct"/>
            <w:gridSpan w:val="4"/>
            <w:vAlign w:val="center"/>
          </w:tcPr>
          <w:p w14:paraId="65DBBAE9">
            <w:pPr>
              <w:pStyle w:val="27"/>
              <w:rPr>
                <w:color w:val="auto"/>
              </w:rPr>
            </w:pPr>
            <w:r>
              <w:rPr>
                <w:rFonts w:hint="eastAsia"/>
                <w:color w:val="auto"/>
              </w:rPr>
              <w:t>框架</w:t>
            </w:r>
          </w:p>
        </w:tc>
        <w:tc>
          <w:tcPr>
            <w:tcW w:w="629" w:type="pct"/>
            <w:gridSpan w:val="3"/>
            <w:vAlign w:val="center"/>
          </w:tcPr>
          <w:p w14:paraId="1C25A2B7">
            <w:pPr>
              <w:pStyle w:val="27"/>
              <w:adjustRightInd/>
              <w:rPr>
                <w:color w:val="auto"/>
              </w:rPr>
            </w:pPr>
            <w:r>
              <w:rPr>
                <w:color w:val="auto"/>
              </w:rPr>
              <w:t>四</w:t>
            </w:r>
          </w:p>
        </w:tc>
        <w:tc>
          <w:tcPr>
            <w:tcW w:w="940" w:type="pct"/>
            <w:gridSpan w:val="5"/>
            <w:vAlign w:val="center"/>
          </w:tcPr>
          <w:p w14:paraId="7EFB71FD">
            <w:pPr>
              <w:pStyle w:val="27"/>
              <w:adjustRightInd/>
              <w:rPr>
                <w:color w:val="auto"/>
              </w:rPr>
            </w:pPr>
            <w:r>
              <w:rPr>
                <w:color w:val="auto"/>
              </w:rPr>
              <w:t>三</w:t>
            </w:r>
          </w:p>
        </w:tc>
        <w:tc>
          <w:tcPr>
            <w:tcW w:w="1092" w:type="pct"/>
            <w:gridSpan w:val="8"/>
            <w:vAlign w:val="center"/>
          </w:tcPr>
          <w:p w14:paraId="7417DF7C">
            <w:pPr>
              <w:pStyle w:val="27"/>
              <w:adjustRightInd/>
              <w:rPr>
                <w:color w:val="auto"/>
              </w:rPr>
            </w:pPr>
            <w:r>
              <w:rPr>
                <w:rFonts w:hint="eastAsia"/>
                <w:color w:val="auto"/>
              </w:rPr>
              <w:t>二</w:t>
            </w:r>
          </w:p>
        </w:tc>
      </w:tr>
      <w:tr w14:paraId="22C05C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restart"/>
            <w:vAlign w:val="center"/>
          </w:tcPr>
          <w:p w14:paraId="65CD406F">
            <w:pPr>
              <w:pStyle w:val="27"/>
              <w:snapToGrid w:val="0"/>
              <w:rPr>
                <w:color w:val="auto"/>
              </w:rPr>
            </w:pPr>
            <w:r>
              <w:rPr>
                <w:rFonts w:hint="eastAsia"/>
                <w:color w:val="auto"/>
                <w:szCs w:val="15"/>
              </w:rPr>
              <w:t>模块化剪力墙结构</w:t>
            </w:r>
          </w:p>
        </w:tc>
        <w:tc>
          <w:tcPr>
            <w:tcW w:w="502" w:type="pct"/>
            <w:vMerge w:val="restart"/>
            <w:vAlign w:val="center"/>
          </w:tcPr>
          <w:p w14:paraId="5E506A02">
            <w:pPr>
              <w:pStyle w:val="27"/>
              <w:snapToGrid w:val="0"/>
              <w:rPr>
                <w:color w:val="auto"/>
              </w:rPr>
            </w:pPr>
            <w:r>
              <w:rPr>
                <w:rFonts w:hint="eastAsia"/>
                <w:color w:val="auto"/>
              </w:rPr>
              <w:t>模块化预制剪力墙结构</w:t>
            </w:r>
          </w:p>
        </w:tc>
        <w:tc>
          <w:tcPr>
            <w:tcW w:w="475" w:type="pct"/>
            <w:vMerge w:val="restart"/>
            <w:vAlign w:val="center"/>
          </w:tcPr>
          <w:p w14:paraId="09243728">
            <w:pPr>
              <w:pStyle w:val="27"/>
              <w:snapToGrid w:val="0"/>
              <w:rPr>
                <w:color w:val="auto"/>
              </w:rPr>
            </w:pPr>
            <w:r>
              <w:rPr>
                <w:rFonts w:hint="eastAsia"/>
                <w:color w:val="auto"/>
              </w:rPr>
              <w:t>全部落地</w:t>
            </w:r>
          </w:p>
          <w:p w14:paraId="7728D50A">
            <w:pPr>
              <w:pStyle w:val="27"/>
              <w:snapToGrid w:val="0"/>
              <w:rPr>
                <w:color w:val="auto"/>
              </w:rPr>
            </w:pPr>
            <w:r>
              <w:rPr>
                <w:rFonts w:hint="eastAsia"/>
                <w:color w:val="auto"/>
              </w:rPr>
              <w:t>剪力墙</w:t>
            </w:r>
          </w:p>
        </w:tc>
        <w:tc>
          <w:tcPr>
            <w:tcW w:w="918" w:type="pct"/>
            <w:gridSpan w:val="4"/>
            <w:shd w:val="clear" w:color="auto" w:fill="auto"/>
            <w:vAlign w:val="center"/>
          </w:tcPr>
          <w:p w14:paraId="55429C85">
            <w:pPr>
              <w:pStyle w:val="27"/>
              <w:rPr>
                <w:color w:val="auto"/>
              </w:rPr>
            </w:pPr>
            <w:r>
              <w:rPr>
                <w:color w:val="auto"/>
              </w:rPr>
              <w:t>高度</w:t>
            </w:r>
          </w:p>
        </w:tc>
        <w:tc>
          <w:tcPr>
            <w:tcW w:w="321" w:type="pct"/>
            <w:gridSpan w:val="2"/>
            <w:shd w:val="clear" w:color="auto" w:fill="auto"/>
            <w:vAlign w:val="center"/>
          </w:tcPr>
          <w:p w14:paraId="16C3BDF3">
            <w:pPr>
              <w:pStyle w:val="27"/>
              <w:snapToGrid w:val="0"/>
              <w:rPr>
                <w:color w:val="auto"/>
              </w:rPr>
            </w:pPr>
            <w:r>
              <w:rPr>
                <w:color w:val="auto"/>
              </w:rPr>
              <w:t>≤</w:t>
            </w:r>
            <w:r>
              <w:rPr>
                <w:rFonts w:hint="eastAsia"/>
                <w:color w:val="auto"/>
              </w:rPr>
              <w:t>70</w:t>
            </w:r>
          </w:p>
        </w:tc>
        <w:tc>
          <w:tcPr>
            <w:tcW w:w="308" w:type="pct"/>
            <w:shd w:val="clear" w:color="auto" w:fill="auto"/>
            <w:vAlign w:val="center"/>
          </w:tcPr>
          <w:p w14:paraId="48DE1302">
            <w:pPr>
              <w:pStyle w:val="27"/>
              <w:adjustRightInd/>
              <w:rPr>
                <w:color w:val="auto"/>
              </w:rPr>
            </w:pPr>
            <w:r>
              <w:rPr>
                <w:color w:val="auto"/>
              </w:rPr>
              <w:t>＞</w:t>
            </w:r>
            <w:r>
              <w:rPr>
                <w:rFonts w:hint="eastAsia"/>
                <w:color w:val="auto"/>
              </w:rPr>
              <w:t>70</w:t>
            </w:r>
          </w:p>
        </w:tc>
        <w:tc>
          <w:tcPr>
            <w:tcW w:w="299" w:type="pct"/>
            <w:shd w:val="clear" w:color="auto" w:fill="auto"/>
            <w:vAlign w:val="center"/>
          </w:tcPr>
          <w:p w14:paraId="41A5F643">
            <w:pPr>
              <w:pStyle w:val="27"/>
              <w:adjustRightInd/>
              <w:rPr>
                <w:color w:val="auto"/>
              </w:rPr>
            </w:pPr>
            <w:r>
              <w:rPr>
                <w:color w:val="auto"/>
              </w:rPr>
              <w:t>≤</w:t>
            </w:r>
            <w:r>
              <w:rPr>
                <w:rFonts w:hint="eastAsia"/>
                <w:color w:val="auto"/>
              </w:rPr>
              <w:t>24</w:t>
            </w:r>
          </w:p>
        </w:tc>
        <w:tc>
          <w:tcPr>
            <w:tcW w:w="341" w:type="pct"/>
            <w:gridSpan w:val="3"/>
            <w:shd w:val="clear" w:color="auto" w:fill="auto"/>
            <w:vAlign w:val="center"/>
          </w:tcPr>
          <w:p w14:paraId="733B8EA4">
            <w:pPr>
              <w:pStyle w:val="27"/>
              <w:adjustRightInd/>
              <w:rPr>
                <w:color w:val="auto"/>
              </w:rPr>
            </w:pPr>
            <w:r>
              <w:rPr>
                <w:rFonts w:hint="eastAsia"/>
                <w:color w:val="auto"/>
              </w:rPr>
              <w:t>&gt;24且≤70</w:t>
            </w:r>
          </w:p>
        </w:tc>
        <w:tc>
          <w:tcPr>
            <w:tcW w:w="299" w:type="pct"/>
            <w:shd w:val="clear" w:color="auto" w:fill="auto"/>
            <w:vAlign w:val="center"/>
          </w:tcPr>
          <w:p w14:paraId="6FC3FF53">
            <w:pPr>
              <w:pStyle w:val="27"/>
              <w:adjustRightInd/>
              <w:rPr>
                <w:color w:val="auto"/>
              </w:rPr>
            </w:pPr>
            <w:r>
              <w:rPr>
                <w:color w:val="auto"/>
              </w:rPr>
              <w:t>＞</w:t>
            </w:r>
            <w:r>
              <w:rPr>
                <w:rFonts w:hint="eastAsia"/>
                <w:color w:val="auto"/>
              </w:rPr>
              <w:t>70</w:t>
            </w:r>
          </w:p>
        </w:tc>
        <w:tc>
          <w:tcPr>
            <w:tcW w:w="362" w:type="pct"/>
            <w:gridSpan w:val="3"/>
            <w:shd w:val="clear" w:color="auto" w:fill="auto"/>
            <w:vAlign w:val="center"/>
          </w:tcPr>
          <w:p w14:paraId="75AA8FA0">
            <w:pPr>
              <w:pStyle w:val="27"/>
              <w:adjustRightInd/>
              <w:rPr>
                <w:color w:val="auto"/>
              </w:rPr>
            </w:pPr>
            <w:r>
              <w:rPr>
                <w:color w:val="auto"/>
              </w:rPr>
              <w:t>≤</w:t>
            </w:r>
            <w:r>
              <w:rPr>
                <w:rFonts w:hint="eastAsia"/>
                <w:color w:val="auto"/>
              </w:rPr>
              <w:t>24</w:t>
            </w:r>
          </w:p>
        </w:tc>
        <w:tc>
          <w:tcPr>
            <w:tcW w:w="315" w:type="pct"/>
            <w:gridSpan w:val="3"/>
            <w:shd w:val="clear" w:color="auto" w:fill="auto"/>
            <w:vAlign w:val="center"/>
          </w:tcPr>
          <w:p w14:paraId="6949FE2B">
            <w:pPr>
              <w:pStyle w:val="27"/>
              <w:adjustRightInd/>
              <w:rPr>
                <w:color w:val="auto"/>
              </w:rPr>
            </w:pPr>
            <w:r>
              <w:rPr>
                <w:rFonts w:hint="eastAsia"/>
                <w:color w:val="auto"/>
              </w:rPr>
              <w:t>&gt;24且≤70</w:t>
            </w:r>
          </w:p>
        </w:tc>
        <w:tc>
          <w:tcPr>
            <w:tcW w:w="415" w:type="pct"/>
            <w:gridSpan w:val="2"/>
            <w:shd w:val="clear" w:color="auto" w:fill="auto"/>
            <w:vAlign w:val="center"/>
          </w:tcPr>
          <w:p w14:paraId="7E6A3E75">
            <w:pPr>
              <w:pStyle w:val="27"/>
              <w:adjustRightInd/>
              <w:rPr>
                <w:color w:val="auto"/>
              </w:rPr>
            </w:pPr>
            <w:r>
              <w:rPr>
                <w:color w:val="auto"/>
              </w:rPr>
              <w:t>＞</w:t>
            </w:r>
            <w:r>
              <w:rPr>
                <w:rFonts w:hint="eastAsia"/>
                <w:color w:val="auto"/>
              </w:rPr>
              <w:t>70</w:t>
            </w:r>
          </w:p>
        </w:tc>
      </w:tr>
      <w:tr w14:paraId="4D0F18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1965BC5B">
            <w:pPr>
              <w:pStyle w:val="27"/>
              <w:snapToGrid w:val="0"/>
              <w:rPr>
                <w:color w:val="auto"/>
              </w:rPr>
            </w:pPr>
          </w:p>
        </w:tc>
        <w:tc>
          <w:tcPr>
            <w:tcW w:w="502" w:type="pct"/>
            <w:vMerge w:val="continue"/>
            <w:vAlign w:val="center"/>
          </w:tcPr>
          <w:p w14:paraId="5AA1234B">
            <w:pPr>
              <w:pStyle w:val="27"/>
              <w:snapToGrid w:val="0"/>
              <w:rPr>
                <w:color w:val="auto"/>
              </w:rPr>
            </w:pPr>
          </w:p>
        </w:tc>
        <w:tc>
          <w:tcPr>
            <w:tcW w:w="475" w:type="pct"/>
            <w:vMerge w:val="continue"/>
            <w:vAlign w:val="center"/>
          </w:tcPr>
          <w:p w14:paraId="520B36F6">
            <w:pPr>
              <w:pStyle w:val="27"/>
              <w:snapToGrid w:val="0"/>
              <w:rPr>
                <w:color w:val="auto"/>
              </w:rPr>
            </w:pPr>
          </w:p>
        </w:tc>
        <w:tc>
          <w:tcPr>
            <w:tcW w:w="918" w:type="pct"/>
            <w:gridSpan w:val="4"/>
            <w:shd w:val="clear" w:color="auto" w:fill="auto"/>
            <w:vAlign w:val="center"/>
          </w:tcPr>
          <w:p w14:paraId="2B0E919C">
            <w:pPr>
              <w:pStyle w:val="27"/>
              <w:rPr>
                <w:color w:val="auto"/>
              </w:rPr>
            </w:pPr>
            <w:r>
              <w:rPr>
                <w:rFonts w:hint="eastAsia"/>
                <w:color w:val="auto"/>
              </w:rPr>
              <w:t>剪力墙</w:t>
            </w:r>
          </w:p>
        </w:tc>
        <w:tc>
          <w:tcPr>
            <w:tcW w:w="321" w:type="pct"/>
            <w:gridSpan w:val="2"/>
            <w:shd w:val="clear" w:color="auto" w:fill="auto"/>
            <w:vAlign w:val="center"/>
          </w:tcPr>
          <w:p w14:paraId="402BC59C">
            <w:pPr>
              <w:pStyle w:val="27"/>
              <w:adjustRightInd/>
              <w:rPr>
                <w:color w:val="auto"/>
              </w:rPr>
            </w:pPr>
            <w:r>
              <w:rPr>
                <w:rFonts w:hint="eastAsia"/>
                <w:color w:val="auto"/>
              </w:rPr>
              <w:t>四</w:t>
            </w:r>
          </w:p>
        </w:tc>
        <w:tc>
          <w:tcPr>
            <w:tcW w:w="308" w:type="pct"/>
            <w:shd w:val="clear" w:color="auto" w:fill="auto"/>
            <w:vAlign w:val="center"/>
          </w:tcPr>
          <w:p w14:paraId="581B68FB">
            <w:pPr>
              <w:pStyle w:val="27"/>
              <w:adjustRightInd/>
              <w:rPr>
                <w:color w:val="auto"/>
              </w:rPr>
            </w:pPr>
            <w:r>
              <w:rPr>
                <w:rFonts w:hint="eastAsia"/>
                <w:color w:val="auto"/>
              </w:rPr>
              <w:t>三</w:t>
            </w:r>
          </w:p>
        </w:tc>
        <w:tc>
          <w:tcPr>
            <w:tcW w:w="299" w:type="pct"/>
            <w:shd w:val="clear" w:color="auto" w:fill="auto"/>
            <w:vAlign w:val="center"/>
          </w:tcPr>
          <w:p w14:paraId="05DFFB9C">
            <w:pPr>
              <w:pStyle w:val="27"/>
              <w:adjustRightInd/>
              <w:rPr>
                <w:color w:val="auto"/>
              </w:rPr>
            </w:pPr>
            <w:r>
              <w:rPr>
                <w:rFonts w:hint="eastAsia"/>
                <w:color w:val="auto"/>
              </w:rPr>
              <w:t>四</w:t>
            </w:r>
          </w:p>
        </w:tc>
        <w:tc>
          <w:tcPr>
            <w:tcW w:w="341" w:type="pct"/>
            <w:gridSpan w:val="3"/>
            <w:shd w:val="clear" w:color="auto" w:fill="auto"/>
            <w:vAlign w:val="center"/>
          </w:tcPr>
          <w:p w14:paraId="13B14C9C">
            <w:pPr>
              <w:pStyle w:val="27"/>
              <w:adjustRightInd/>
              <w:rPr>
                <w:color w:val="auto"/>
              </w:rPr>
            </w:pPr>
            <w:r>
              <w:rPr>
                <w:rFonts w:hint="eastAsia"/>
                <w:color w:val="auto"/>
              </w:rPr>
              <w:t>三</w:t>
            </w:r>
          </w:p>
        </w:tc>
        <w:tc>
          <w:tcPr>
            <w:tcW w:w="299" w:type="pct"/>
            <w:shd w:val="clear" w:color="auto" w:fill="auto"/>
            <w:vAlign w:val="center"/>
          </w:tcPr>
          <w:p w14:paraId="797EBB0E">
            <w:pPr>
              <w:pStyle w:val="27"/>
              <w:adjustRightInd/>
              <w:rPr>
                <w:color w:val="auto"/>
              </w:rPr>
            </w:pPr>
            <w:r>
              <w:rPr>
                <w:rFonts w:hint="eastAsia"/>
                <w:color w:val="auto"/>
              </w:rPr>
              <w:t>二</w:t>
            </w:r>
          </w:p>
        </w:tc>
        <w:tc>
          <w:tcPr>
            <w:tcW w:w="362" w:type="pct"/>
            <w:gridSpan w:val="3"/>
            <w:shd w:val="clear" w:color="auto" w:fill="auto"/>
            <w:vAlign w:val="center"/>
          </w:tcPr>
          <w:p w14:paraId="4ADB5DE7">
            <w:pPr>
              <w:pStyle w:val="27"/>
              <w:adjustRightInd/>
              <w:rPr>
                <w:color w:val="auto"/>
              </w:rPr>
            </w:pPr>
            <w:r>
              <w:rPr>
                <w:rFonts w:hint="eastAsia"/>
                <w:color w:val="auto"/>
              </w:rPr>
              <w:t>三</w:t>
            </w:r>
          </w:p>
        </w:tc>
        <w:tc>
          <w:tcPr>
            <w:tcW w:w="315" w:type="pct"/>
            <w:gridSpan w:val="3"/>
            <w:shd w:val="clear" w:color="auto" w:fill="auto"/>
            <w:vAlign w:val="center"/>
          </w:tcPr>
          <w:p w14:paraId="5175204B">
            <w:pPr>
              <w:pStyle w:val="27"/>
              <w:adjustRightInd/>
              <w:rPr>
                <w:color w:val="auto"/>
              </w:rPr>
            </w:pPr>
            <w:r>
              <w:rPr>
                <w:rFonts w:hint="eastAsia"/>
                <w:color w:val="auto"/>
              </w:rPr>
              <w:t>二</w:t>
            </w:r>
          </w:p>
        </w:tc>
        <w:tc>
          <w:tcPr>
            <w:tcW w:w="415" w:type="pct"/>
            <w:gridSpan w:val="2"/>
            <w:shd w:val="clear" w:color="auto" w:fill="auto"/>
            <w:vAlign w:val="center"/>
          </w:tcPr>
          <w:p w14:paraId="17E2828D">
            <w:pPr>
              <w:pStyle w:val="27"/>
              <w:adjustRightInd/>
              <w:rPr>
                <w:color w:val="auto"/>
              </w:rPr>
            </w:pPr>
            <w:r>
              <w:rPr>
                <w:rFonts w:hint="eastAsia"/>
                <w:color w:val="auto"/>
              </w:rPr>
              <w:t>一</w:t>
            </w:r>
          </w:p>
        </w:tc>
      </w:tr>
      <w:tr w14:paraId="46C212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17E77F92">
            <w:pPr>
              <w:pStyle w:val="27"/>
              <w:snapToGrid w:val="0"/>
              <w:rPr>
                <w:color w:val="auto"/>
              </w:rPr>
            </w:pPr>
          </w:p>
        </w:tc>
        <w:tc>
          <w:tcPr>
            <w:tcW w:w="502" w:type="pct"/>
            <w:vMerge w:val="continue"/>
            <w:vAlign w:val="center"/>
          </w:tcPr>
          <w:p w14:paraId="7AC81BA9">
            <w:pPr>
              <w:pStyle w:val="27"/>
              <w:snapToGrid w:val="0"/>
              <w:rPr>
                <w:color w:val="auto"/>
              </w:rPr>
            </w:pPr>
          </w:p>
        </w:tc>
        <w:tc>
          <w:tcPr>
            <w:tcW w:w="475" w:type="pct"/>
            <w:vMerge w:val="restart"/>
            <w:vAlign w:val="center"/>
          </w:tcPr>
          <w:p w14:paraId="51123294">
            <w:pPr>
              <w:pStyle w:val="27"/>
              <w:snapToGrid w:val="0"/>
              <w:rPr>
                <w:color w:val="auto"/>
              </w:rPr>
            </w:pPr>
            <w:r>
              <w:rPr>
                <w:rFonts w:hint="eastAsia"/>
                <w:color w:val="auto"/>
              </w:rPr>
              <w:t>部分框支</w:t>
            </w:r>
          </w:p>
          <w:p w14:paraId="75A95A4F">
            <w:pPr>
              <w:pStyle w:val="27"/>
              <w:snapToGrid w:val="0"/>
              <w:rPr>
                <w:color w:val="auto"/>
              </w:rPr>
            </w:pPr>
            <w:r>
              <w:rPr>
                <w:rFonts w:hint="eastAsia"/>
                <w:color w:val="auto"/>
              </w:rPr>
              <w:t>剪力墙</w:t>
            </w:r>
          </w:p>
        </w:tc>
        <w:tc>
          <w:tcPr>
            <w:tcW w:w="918" w:type="pct"/>
            <w:gridSpan w:val="4"/>
            <w:shd w:val="clear" w:color="auto" w:fill="auto"/>
            <w:vAlign w:val="center"/>
          </w:tcPr>
          <w:p w14:paraId="7D0B6091">
            <w:pPr>
              <w:pStyle w:val="27"/>
              <w:snapToGrid w:val="0"/>
              <w:rPr>
                <w:color w:val="auto"/>
              </w:rPr>
            </w:pPr>
            <w:r>
              <w:rPr>
                <w:rFonts w:hint="eastAsia"/>
                <w:color w:val="auto"/>
              </w:rPr>
              <w:t>高度</w:t>
            </w:r>
          </w:p>
        </w:tc>
        <w:tc>
          <w:tcPr>
            <w:tcW w:w="321" w:type="pct"/>
            <w:gridSpan w:val="2"/>
            <w:shd w:val="clear" w:color="auto" w:fill="auto"/>
            <w:vAlign w:val="center"/>
          </w:tcPr>
          <w:p w14:paraId="035765D4">
            <w:pPr>
              <w:pStyle w:val="27"/>
              <w:snapToGrid w:val="0"/>
              <w:rPr>
                <w:color w:val="auto"/>
              </w:rPr>
            </w:pPr>
            <w:r>
              <w:rPr>
                <w:color w:val="auto"/>
              </w:rPr>
              <w:t>≤</w:t>
            </w:r>
            <w:r>
              <w:rPr>
                <w:rFonts w:hint="eastAsia"/>
                <w:color w:val="auto"/>
              </w:rPr>
              <w:t>70</w:t>
            </w:r>
          </w:p>
        </w:tc>
        <w:tc>
          <w:tcPr>
            <w:tcW w:w="308" w:type="pct"/>
            <w:shd w:val="clear" w:color="auto" w:fill="auto"/>
            <w:vAlign w:val="center"/>
          </w:tcPr>
          <w:p w14:paraId="00E8DE23">
            <w:pPr>
              <w:pStyle w:val="27"/>
              <w:adjustRightInd/>
              <w:rPr>
                <w:color w:val="auto"/>
              </w:rPr>
            </w:pPr>
            <w:r>
              <w:rPr>
                <w:color w:val="auto"/>
              </w:rPr>
              <w:t>＞</w:t>
            </w:r>
            <w:r>
              <w:rPr>
                <w:rFonts w:hint="eastAsia"/>
                <w:color w:val="auto"/>
              </w:rPr>
              <w:t>70</w:t>
            </w:r>
          </w:p>
        </w:tc>
        <w:tc>
          <w:tcPr>
            <w:tcW w:w="299" w:type="pct"/>
            <w:shd w:val="clear" w:color="auto" w:fill="auto"/>
            <w:vAlign w:val="center"/>
          </w:tcPr>
          <w:p w14:paraId="689EE899">
            <w:pPr>
              <w:pStyle w:val="27"/>
              <w:adjustRightInd/>
              <w:rPr>
                <w:color w:val="auto"/>
              </w:rPr>
            </w:pPr>
            <w:r>
              <w:rPr>
                <w:color w:val="auto"/>
              </w:rPr>
              <w:t>≤</w:t>
            </w:r>
            <w:r>
              <w:rPr>
                <w:rFonts w:hint="eastAsia"/>
                <w:color w:val="auto"/>
              </w:rPr>
              <w:t>24</w:t>
            </w:r>
          </w:p>
        </w:tc>
        <w:tc>
          <w:tcPr>
            <w:tcW w:w="341" w:type="pct"/>
            <w:gridSpan w:val="3"/>
            <w:shd w:val="clear" w:color="auto" w:fill="auto"/>
            <w:vAlign w:val="center"/>
          </w:tcPr>
          <w:p w14:paraId="572137D8">
            <w:pPr>
              <w:pStyle w:val="27"/>
              <w:adjustRightInd/>
              <w:rPr>
                <w:color w:val="auto"/>
              </w:rPr>
            </w:pPr>
            <w:r>
              <w:rPr>
                <w:rFonts w:hint="eastAsia"/>
                <w:color w:val="auto"/>
              </w:rPr>
              <w:t>&gt;24且≤70</w:t>
            </w:r>
          </w:p>
        </w:tc>
        <w:tc>
          <w:tcPr>
            <w:tcW w:w="299" w:type="pct"/>
            <w:shd w:val="clear" w:color="auto" w:fill="auto"/>
            <w:vAlign w:val="center"/>
          </w:tcPr>
          <w:p w14:paraId="2B671A4F">
            <w:pPr>
              <w:pStyle w:val="27"/>
              <w:adjustRightInd/>
              <w:rPr>
                <w:color w:val="auto"/>
              </w:rPr>
            </w:pPr>
            <w:r>
              <w:rPr>
                <w:color w:val="auto"/>
              </w:rPr>
              <w:t>＞</w:t>
            </w:r>
            <w:r>
              <w:rPr>
                <w:rFonts w:hint="eastAsia"/>
                <w:color w:val="auto"/>
              </w:rPr>
              <w:t>70</w:t>
            </w:r>
          </w:p>
        </w:tc>
        <w:tc>
          <w:tcPr>
            <w:tcW w:w="362" w:type="pct"/>
            <w:gridSpan w:val="3"/>
            <w:shd w:val="clear" w:color="auto" w:fill="auto"/>
            <w:vAlign w:val="center"/>
          </w:tcPr>
          <w:p w14:paraId="275CE6D6">
            <w:pPr>
              <w:pStyle w:val="27"/>
              <w:adjustRightInd/>
              <w:rPr>
                <w:color w:val="auto"/>
              </w:rPr>
            </w:pPr>
            <w:r>
              <w:rPr>
                <w:color w:val="auto"/>
              </w:rPr>
              <w:t>≤</w:t>
            </w:r>
            <w:r>
              <w:rPr>
                <w:rFonts w:hint="eastAsia"/>
                <w:color w:val="auto"/>
              </w:rPr>
              <w:t>24</w:t>
            </w:r>
          </w:p>
        </w:tc>
        <w:tc>
          <w:tcPr>
            <w:tcW w:w="315" w:type="pct"/>
            <w:gridSpan w:val="3"/>
            <w:shd w:val="clear" w:color="auto" w:fill="auto"/>
            <w:vAlign w:val="center"/>
          </w:tcPr>
          <w:p w14:paraId="3FE3A10D">
            <w:pPr>
              <w:pStyle w:val="27"/>
              <w:adjustRightInd/>
              <w:rPr>
                <w:color w:val="auto"/>
              </w:rPr>
            </w:pPr>
            <w:r>
              <w:rPr>
                <w:rFonts w:hint="eastAsia"/>
                <w:color w:val="auto"/>
              </w:rPr>
              <w:t>&gt;24且≤70</w:t>
            </w:r>
          </w:p>
        </w:tc>
        <w:tc>
          <w:tcPr>
            <w:tcW w:w="415" w:type="pct"/>
            <w:gridSpan w:val="2"/>
            <w:vMerge w:val="restart"/>
            <w:shd w:val="clear" w:color="auto" w:fill="auto"/>
            <w:vAlign w:val="center"/>
          </w:tcPr>
          <w:p w14:paraId="23207A1B">
            <w:pPr>
              <w:pStyle w:val="27"/>
              <w:adjustRightInd/>
              <w:rPr>
                <w:color w:val="auto"/>
              </w:rPr>
            </w:pPr>
            <w:r>
              <w:rPr>
                <w:rFonts w:hint="eastAsia"/>
                <w:color w:val="auto"/>
              </w:rPr>
              <w:t>/</w:t>
            </w:r>
          </w:p>
        </w:tc>
      </w:tr>
      <w:tr w14:paraId="1BBECC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6279759A">
            <w:pPr>
              <w:pStyle w:val="27"/>
              <w:snapToGrid w:val="0"/>
              <w:rPr>
                <w:color w:val="auto"/>
              </w:rPr>
            </w:pPr>
          </w:p>
        </w:tc>
        <w:tc>
          <w:tcPr>
            <w:tcW w:w="502" w:type="pct"/>
            <w:vMerge w:val="continue"/>
            <w:vAlign w:val="center"/>
          </w:tcPr>
          <w:p w14:paraId="150CB2E8">
            <w:pPr>
              <w:pStyle w:val="27"/>
              <w:snapToGrid w:val="0"/>
              <w:rPr>
                <w:color w:val="auto"/>
              </w:rPr>
            </w:pPr>
          </w:p>
        </w:tc>
        <w:tc>
          <w:tcPr>
            <w:tcW w:w="475" w:type="pct"/>
            <w:vMerge w:val="continue"/>
            <w:vAlign w:val="center"/>
          </w:tcPr>
          <w:p w14:paraId="742D31FB">
            <w:pPr>
              <w:pStyle w:val="27"/>
              <w:snapToGrid w:val="0"/>
              <w:rPr>
                <w:color w:val="auto"/>
              </w:rPr>
            </w:pPr>
          </w:p>
        </w:tc>
        <w:tc>
          <w:tcPr>
            <w:tcW w:w="918" w:type="pct"/>
            <w:gridSpan w:val="4"/>
            <w:shd w:val="clear" w:color="auto" w:fill="auto"/>
            <w:vAlign w:val="center"/>
          </w:tcPr>
          <w:p w14:paraId="51946FB8">
            <w:pPr>
              <w:pStyle w:val="27"/>
              <w:snapToGrid w:val="0"/>
              <w:rPr>
                <w:color w:val="auto"/>
              </w:rPr>
            </w:pPr>
            <w:r>
              <w:rPr>
                <w:rFonts w:hint="eastAsia"/>
                <w:color w:val="auto"/>
              </w:rPr>
              <w:t>框支框架</w:t>
            </w:r>
          </w:p>
        </w:tc>
        <w:tc>
          <w:tcPr>
            <w:tcW w:w="321" w:type="pct"/>
            <w:gridSpan w:val="2"/>
            <w:shd w:val="clear" w:color="auto" w:fill="auto"/>
            <w:vAlign w:val="center"/>
          </w:tcPr>
          <w:p w14:paraId="173F0A6F">
            <w:pPr>
              <w:pStyle w:val="27"/>
              <w:adjustRightInd/>
              <w:rPr>
                <w:color w:val="auto"/>
              </w:rPr>
            </w:pPr>
            <w:r>
              <w:rPr>
                <w:rFonts w:hint="eastAsia"/>
                <w:color w:val="auto"/>
              </w:rPr>
              <w:t>二</w:t>
            </w:r>
          </w:p>
        </w:tc>
        <w:tc>
          <w:tcPr>
            <w:tcW w:w="308" w:type="pct"/>
            <w:shd w:val="clear" w:color="auto" w:fill="auto"/>
            <w:vAlign w:val="center"/>
          </w:tcPr>
          <w:p w14:paraId="058050AA">
            <w:pPr>
              <w:pStyle w:val="27"/>
              <w:adjustRightInd/>
              <w:rPr>
                <w:color w:val="auto"/>
              </w:rPr>
            </w:pPr>
            <w:r>
              <w:rPr>
                <w:rFonts w:hint="eastAsia"/>
                <w:color w:val="auto"/>
              </w:rPr>
              <w:t>二</w:t>
            </w:r>
          </w:p>
        </w:tc>
        <w:tc>
          <w:tcPr>
            <w:tcW w:w="299" w:type="pct"/>
            <w:shd w:val="clear" w:color="auto" w:fill="auto"/>
            <w:vAlign w:val="center"/>
          </w:tcPr>
          <w:p w14:paraId="5E838F05">
            <w:pPr>
              <w:pStyle w:val="27"/>
              <w:adjustRightInd/>
              <w:rPr>
                <w:color w:val="auto"/>
              </w:rPr>
            </w:pPr>
            <w:r>
              <w:rPr>
                <w:rFonts w:hint="eastAsia"/>
                <w:color w:val="auto"/>
              </w:rPr>
              <w:t>二</w:t>
            </w:r>
          </w:p>
        </w:tc>
        <w:tc>
          <w:tcPr>
            <w:tcW w:w="341" w:type="pct"/>
            <w:gridSpan w:val="3"/>
            <w:shd w:val="clear" w:color="auto" w:fill="auto"/>
            <w:vAlign w:val="center"/>
          </w:tcPr>
          <w:p w14:paraId="2482C0E9">
            <w:pPr>
              <w:pStyle w:val="27"/>
              <w:adjustRightInd/>
              <w:rPr>
                <w:color w:val="auto"/>
              </w:rPr>
            </w:pPr>
            <w:r>
              <w:rPr>
                <w:rFonts w:hint="eastAsia"/>
                <w:color w:val="auto"/>
              </w:rPr>
              <w:t>二</w:t>
            </w:r>
          </w:p>
        </w:tc>
        <w:tc>
          <w:tcPr>
            <w:tcW w:w="299" w:type="pct"/>
            <w:shd w:val="clear" w:color="auto" w:fill="auto"/>
            <w:vAlign w:val="center"/>
          </w:tcPr>
          <w:p w14:paraId="781B22D7">
            <w:pPr>
              <w:pStyle w:val="27"/>
              <w:adjustRightInd/>
              <w:rPr>
                <w:color w:val="auto"/>
              </w:rPr>
            </w:pPr>
            <w:r>
              <w:rPr>
                <w:rFonts w:hint="eastAsia"/>
                <w:color w:val="auto"/>
              </w:rPr>
              <w:t>一</w:t>
            </w:r>
          </w:p>
        </w:tc>
        <w:tc>
          <w:tcPr>
            <w:tcW w:w="362" w:type="pct"/>
            <w:gridSpan w:val="3"/>
            <w:shd w:val="clear" w:color="auto" w:fill="auto"/>
            <w:vAlign w:val="center"/>
          </w:tcPr>
          <w:p w14:paraId="1ADA5114">
            <w:pPr>
              <w:pStyle w:val="27"/>
              <w:adjustRightInd/>
              <w:rPr>
                <w:color w:val="auto"/>
              </w:rPr>
            </w:pPr>
            <w:r>
              <w:rPr>
                <w:rFonts w:hint="eastAsia"/>
                <w:color w:val="auto"/>
              </w:rPr>
              <w:t>一</w:t>
            </w:r>
          </w:p>
        </w:tc>
        <w:tc>
          <w:tcPr>
            <w:tcW w:w="315" w:type="pct"/>
            <w:gridSpan w:val="3"/>
            <w:shd w:val="clear" w:color="auto" w:fill="auto"/>
            <w:vAlign w:val="center"/>
          </w:tcPr>
          <w:p w14:paraId="13DBAE25">
            <w:pPr>
              <w:pStyle w:val="27"/>
              <w:adjustRightInd/>
              <w:rPr>
                <w:color w:val="auto"/>
              </w:rPr>
            </w:pPr>
            <w:r>
              <w:rPr>
                <w:rFonts w:hint="eastAsia"/>
                <w:color w:val="auto"/>
              </w:rPr>
              <w:t>一</w:t>
            </w:r>
          </w:p>
        </w:tc>
        <w:tc>
          <w:tcPr>
            <w:tcW w:w="415" w:type="pct"/>
            <w:gridSpan w:val="2"/>
            <w:vMerge w:val="continue"/>
            <w:vAlign w:val="center"/>
          </w:tcPr>
          <w:p w14:paraId="0214F4A7">
            <w:pPr>
              <w:pStyle w:val="27"/>
              <w:adjustRightInd/>
              <w:rPr>
                <w:color w:val="auto"/>
              </w:rPr>
            </w:pPr>
          </w:p>
        </w:tc>
      </w:tr>
      <w:tr w14:paraId="1FF21B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7E9DDE4B">
            <w:pPr>
              <w:pStyle w:val="27"/>
              <w:snapToGrid w:val="0"/>
              <w:rPr>
                <w:color w:val="auto"/>
              </w:rPr>
            </w:pPr>
          </w:p>
        </w:tc>
        <w:tc>
          <w:tcPr>
            <w:tcW w:w="502" w:type="pct"/>
            <w:vMerge w:val="continue"/>
            <w:vAlign w:val="center"/>
          </w:tcPr>
          <w:p w14:paraId="3691E1D8">
            <w:pPr>
              <w:pStyle w:val="27"/>
              <w:snapToGrid w:val="0"/>
              <w:rPr>
                <w:color w:val="auto"/>
              </w:rPr>
            </w:pPr>
          </w:p>
        </w:tc>
        <w:tc>
          <w:tcPr>
            <w:tcW w:w="475" w:type="pct"/>
            <w:vMerge w:val="continue"/>
            <w:vAlign w:val="center"/>
          </w:tcPr>
          <w:p w14:paraId="3529167E">
            <w:pPr>
              <w:pStyle w:val="27"/>
              <w:snapToGrid w:val="0"/>
              <w:rPr>
                <w:color w:val="auto"/>
              </w:rPr>
            </w:pPr>
          </w:p>
        </w:tc>
        <w:tc>
          <w:tcPr>
            <w:tcW w:w="432" w:type="pct"/>
            <w:vMerge w:val="restart"/>
            <w:shd w:val="clear" w:color="auto" w:fill="auto"/>
            <w:vAlign w:val="center"/>
          </w:tcPr>
          <w:p w14:paraId="79BD422F">
            <w:pPr>
              <w:pStyle w:val="27"/>
              <w:snapToGrid w:val="0"/>
              <w:rPr>
                <w:color w:val="auto"/>
              </w:rPr>
            </w:pPr>
            <w:r>
              <w:rPr>
                <w:rFonts w:hint="eastAsia"/>
                <w:color w:val="auto"/>
              </w:rPr>
              <w:t>剪力墙</w:t>
            </w:r>
          </w:p>
        </w:tc>
        <w:tc>
          <w:tcPr>
            <w:tcW w:w="485" w:type="pct"/>
            <w:gridSpan w:val="3"/>
            <w:shd w:val="clear" w:color="auto" w:fill="auto"/>
            <w:vAlign w:val="center"/>
          </w:tcPr>
          <w:p w14:paraId="743770BD">
            <w:pPr>
              <w:pStyle w:val="27"/>
              <w:snapToGrid w:val="0"/>
              <w:rPr>
                <w:color w:val="auto"/>
              </w:rPr>
            </w:pPr>
            <w:r>
              <w:rPr>
                <w:rFonts w:hint="eastAsia"/>
                <w:color w:val="auto"/>
              </w:rPr>
              <w:t>加强部位</w:t>
            </w:r>
          </w:p>
        </w:tc>
        <w:tc>
          <w:tcPr>
            <w:tcW w:w="321" w:type="pct"/>
            <w:gridSpan w:val="2"/>
            <w:shd w:val="clear" w:color="auto" w:fill="auto"/>
            <w:vAlign w:val="center"/>
          </w:tcPr>
          <w:p w14:paraId="702F2C17">
            <w:pPr>
              <w:pStyle w:val="27"/>
              <w:adjustRightInd/>
              <w:rPr>
                <w:color w:val="auto"/>
              </w:rPr>
            </w:pPr>
            <w:r>
              <w:rPr>
                <w:rFonts w:hint="eastAsia"/>
                <w:color w:val="auto"/>
              </w:rPr>
              <w:t>三</w:t>
            </w:r>
          </w:p>
        </w:tc>
        <w:tc>
          <w:tcPr>
            <w:tcW w:w="308" w:type="pct"/>
            <w:shd w:val="clear" w:color="auto" w:fill="auto"/>
            <w:vAlign w:val="center"/>
          </w:tcPr>
          <w:p w14:paraId="52353949">
            <w:pPr>
              <w:pStyle w:val="27"/>
              <w:adjustRightInd/>
              <w:rPr>
                <w:color w:val="auto"/>
              </w:rPr>
            </w:pPr>
            <w:r>
              <w:rPr>
                <w:rFonts w:hint="eastAsia"/>
                <w:color w:val="auto"/>
              </w:rPr>
              <w:t>二</w:t>
            </w:r>
          </w:p>
        </w:tc>
        <w:tc>
          <w:tcPr>
            <w:tcW w:w="299" w:type="pct"/>
            <w:shd w:val="clear" w:color="auto" w:fill="auto"/>
            <w:vAlign w:val="center"/>
          </w:tcPr>
          <w:p w14:paraId="5AA08875">
            <w:pPr>
              <w:pStyle w:val="27"/>
              <w:adjustRightInd/>
              <w:rPr>
                <w:color w:val="auto"/>
              </w:rPr>
            </w:pPr>
            <w:r>
              <w:rPr>
                <w:rFonts w:hint="eastAsia"/>
                <w:color w:val="auto"/>
              </w:rPr>
              <w:t>三</w:t>
            </w:r>
          </w:p>
        </w:tc>
        <w:tc>
          <w:tcPr>
            <w:tcW w:w="341" w:type="pct"/>
            <w:gridSpan w:val="3"/>
            <w:shd w:val="clear" w:color="auto" w:fill="auto"/>
            <w:vAlign w:val="center"/>
          </w:tcPr>
          <w:p w14:paraId="0052E3CF">
            <w:pPr>
              <w:pStyle w:val="27"/>
              <w:adjustRightInd/>
              <w:rPr>
                <w:color w:val="auto"/>
              </w:rPr>
            </w:pPr>
            <w:r>
              <w:rPr>
                <w:rFonts w:hint="eastAsia"/>
                <w:color w:val="auto"/>
              </w:rPr>
              <w:t>二</w:t>
            </w:r>
          </w:p>
        </w:tc>
        <w:tc>
          <w:tcPr>
            <w:tcW w:w="299" w:type="pct"/>
            <w:shd w:val="clear" w:color="auto" w:fill="auto"/>
            <w:vAlign w:val="center"/>
          </w:tcPr>
          <w:p w14:paraId="07452C59">
            <w:pPr>
              <w:pStyle w:val="27"/>
              <w:adjustRightInd/>
              <w:rPr>
                <w:color w:val="auto"/>
              </w:rPr>
            </w:pPr>
            <w:r>
              <w:rPr>
                <w:rFonts w:hint="eastAsia"/>
                <w:color w:val="auto"/>
              </w:rPr>
              <w:t>一</w:t>
            </w:r>
          </w:p>
        </w:tc>
        <w:tc>
          <w:tcPr>
            <w:tcW w:w="362" w:type="pct"/>
            <w:gridSpan w:val="3"/>
            <w:shd w:val="clear" w:color="auto" w:fill="auto"/>
            <w:vAlign w:val="center"/>
          </w:tcPr>
          <w:p w14:paraId="72AC73AF">
            <w:pPr>
              <w:pStyle w:val="27"/>
              <w:adjustRightInd/>
              <w:rPr>
                <w:color w:val="auto"/>
              </w:rPr>
            </w:pPr>
            <w:r>
              <w:rPr>
                <w:rFonts w:hint="eastAsia"/>
                <w:color w:val="auto"/>
              </w:rPr>
              <w:t>二</w:t>
            </w:r>
          </w:p>
        </w:tc>
        <w:tc>
          <w:tcPr>
            <w:tcW w:w="315" w:type="pct"/>
            <w:gridSpan w:val="3"/>
            <w:shd w:val="clear" w:color="auto" w:fill="auto"/>
            <w:vAlign w:val="center"/>
          </w:tcPr>
          <w:p w14:paraId="508607C6">
            <w:pPr>
              <w:pStyle w:val="27"/>
              <w:adjustRightInd/>
              <w:rPr>
                <w:color w:val="auto"/>
              </w:rPr>
            </w:pPr>
            <w:r>
              <w:rPr>
                <w:rFonts w:hint="eastAsia"/>
                <w:color w:val="auto"/>
              </w:rPr>
              <w:t>一</w:t>
            </w:r>
          </w:p>
        </w:tc>
        <w:tc>
          <w:tcPr>
            <w:tcW w:w="415" w:type="pct"/>
            <w:gridSpan w:val="2"/>
            <w:vMerge w:val="continue"/>
            <w:vAlign w:val="center"/>
          </w:tcPr>
          <w:p w14:paraId="0FEBA3DA">
            <w:pPr>
              <w:pStyle w:val="27"/>
              <w:adjustRightInd/>
              <w:rPr>
                <w:color w:val="auto"/>
              </w:rPr>
            </w:pPr>
          </w:p>
        </w:tc>
      </w:tr>
      <w:tr w14:paraId="2D615C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7FECA0AE">
            <w:pPr>
              <w:pStyle w:val="27"/>
              <w:snapToGrid w:val="0"/>
              <w:rPr>
                <w:color w:val="auto"/>
              </w:rPr>
            </w:pPr>
          </w:p>
        </w:tc>
        <w:tc>
          <w:tcPr>
            <w:tcW w:w="502" w:type="pct"/>
            <w:vMerge w:val="continue"/>
            <w:vAlign w:val="center"/>
          </w:tcPr>
          <w:p w14:paraId="4FB24D1A">
            <w:pPr>
              <w:pStyle w:val="27"/>
              <w:snapToGrid w:val="0"/>
              <w:rPr>
                <w:color w:val="auto"/>
              </w:rPr>
            </w:pPr>
          </w:p>
        </w:tc>
        <w:tc>
          <w:tcPr>
            <w:tcW w:w="475" w:type="pct"/>
            <w:vMerge w:val="continue"/>
            <w:vAlign w:val="center"/>
          </w:tcPr>
          <w:p w14:paraId="150D673C">
            <w:pPr>
              <w:pStyle w:val="27"/>
              <w:snapToGrid w:val="0"/>
              <w:rPr>
                <w:color w:val="auto"/>
              </w:rPr>
            </w:pPr>
          </w:p>
        </w:tc>
        <w:tc>
          <w:tcPr>
            <w:tcW w:w="432" w:type="pct"/>
            <w:vMerge w:val="continue"/>
            <w:shd w:val="clear" w:color="auto" w:fill="auto"/>
            <w:vAlign w:val="center"/>
          </w:tcPr>
          <w:p w14:paraId="377AA4FF">
            <w:pPr>
              <w:pStyle w:val="27"/>
              <w:snapToGrid w:val="0"/>
              <w:rPr>
                <w:color w:val="auto"/>
              </w:rPr>
            </w:pPr>
          </w:p>
        </w:tc>
        <w:tc>
          <w:tcPr>
            <w:tcW w:w="485" w:type="pct"/>
            <w:gridSpan w:val="3"/>
            <w:shd w:val="clear" w:color="auto" w:fill="auto"/>
            <w:vAlign w:val="center"/>
          </w:tcPr>
          <w:p w14:paraId="146CC51F">
            <w:pPr>
              <w:pStyle w:val="27"/>
              <w:snapToGrid w:val="0"/>
              <w:rPr>
                <w:color w:val="auto"/>
              </w:rPr>
            </w:pPr>
            <w:r>
              <w:rPr>
                <w:rFonts w:hint="eastAsia"/>
                <w:color w:val="auto"/>
              </w:rPr>
              <w:t>一般部位</w:t>
            </w:r>
          </w:p>
        </w:tc>
        <w:tc>
          <w:tcPr>
            <w:tcW w:w="321" w:type="pct"/>
            <w:gridSpan w:val="2"/>
            <w:shd w:val="clear" w:color="auto" w:fill="auto"/>
            <w:vAlign w:val="center"/>
          </w:tcPr>
          <w:p w14:paraId="0FF80DB4">
            <w:pPr>
              <w:pStyle w:val="27"/>
              <w:adjustRightInd/>
              <w:rPr>
                <w:color w:val="auto"/>
              </w:rPr>
            </w:pPr>
            <w:r>
              <w:rPr>
                <w:rFonts w:hint="eastAsia"/>
                <w:color w:val="auto"/>
              </w:rPr>
              <w:t>四</w:t>
            </w:r>
          </w:p>
        </w:tc>
        <w:tc>
          <w:tcPr>
            <w:tcW w:w="308" w:type="pct"/>
            <w:shd w:val="clear" w:color="auto" w:fill="auto"/>
            <w:vAlign w:val="center"/>
          </w:tcPr>
          <w:p w14:paraId="522570DD">
            <w:pPr>
              <w:pStyle w:val="27"/>
              <w:adjustRightInd/>
              <w:rPr>
                <w:color w:val="auto"/>
              </w:rPr>
            </w:pPr>
            <w:r>
              <w:rPr>
                <w:rFonts w:hint="eastAsia"/>
                <w:color w:val="auto"/>
              </w:rPr>
              <w:t>三</w:t>
            </w:r>
          </w:p>
        </w:tc>
        <w:tc>
          <w:tcPr>
            <w:tcW w:w="299" w:type="pct"/>
            <w:shd w:val="clear" w:color="auto" w:fill="auto"/>
            <w:vAlign w:val="center"/>
          </w:tcPr>
          <w:p w14:paraId="65A97B63">
            <w:pPr>
              <w:pStyle w:val="27"/>
              <w:adjustRightInd/>
              <w:rPr>
                <w:color w:val="auto"/>
              </w:rPr>
            </w:pPr>
            <w:r>
              <w:rPr>
                <w:rFonts w:hint="eastAsia"/>
                <w:color w:val="auto"/>
              </w:rPr>
              <w:t>四</w:t>
            </w:r>
          </w:p>
        </w:tc>
        <w:tc>
          <w:tcPr>
            <w:tcW w:w="341" w:type="pct"/>
            <w:gridSpan w:val="3"/>
            <w:shd w:val="clear" w:color="auto" w:fill="auto"/>
            <w:vAlign w:val="center"/>
          </w:tcPr>
          <w:p w14:paraId="7918973B">
            <w:pPr>
              <w:pStyle w:val="27"/>
              <w:adjustRightInd/>
              <w:rPr>
                <w:color w:val="auto"/>
              </w:rPr>
            </w:pPr>
            <w:r>
              <w:rPr>
                <w:rFonts w:hint="eastAsia"/>
                <w:color w:val="auto"/>
              </w:rPr>
              <w:t>三</w:t>
            </w:r>
          </w:p>
        </w:tc>
        <w:tc>
          <w:tcPr>
            <w:tcW w:w="299" w:type="pct"/>
            <w:shd w:val="clear" w:color="auto" w:fill="auto"/>
            <w:vAlign w:val="center"/>
          </w:tcPr>
          <w:p w14:paraId="01132E36">
            <w:pPr>
              <w:pStyle w:val="27"/>
              <w:adjustRightInd/>
              <w:rPr>
                <w:color w:val="auto"/>
              </w:rPr>
            </w:pPr>
            <w:r>
              <w:rPr>
                <w:rFonts w:hint="eastAsia"/>
                <w:color w:val="auto"/>
              </w:rPr>
              <w:t>二</w:t>
            </w:r>
          </w:p>
        </w:tc>
        <w:tc>
          <w:tcPr>
            <w:tcW w:w="362" w:type="pct"/>
            <w:gridSpan w:val="3"/>
            <w:shd w:val="clear" w:color="auto" w:fill="auto"/>
            <w:vAlign w:val="center"/>
          </w:tcPr>
          <w:p w14:paraId="60C97BE0">
            <w:pPr>
              <w:pStyle w:val="27"/>
              <w:adjustRightInd/>
              <w:rPr>
                <w:color w:val="auto"/>
              </w:rPr>
            </w:pPr>
            <w:r>
              <w:rPr>
                <w:rFonts w:hint="eastAsia"/>
                <w:color w:val="auto"/>
              </w:rPr>
              <w:t>三</w:t>
            </w:r>
          </w:p>
        </w:tc>
        <w:tc>
          <w:tcPr>
            <w:tcW w:w="315" w:type="pct"/>
            <w:gridSpan w:val="3"/>
            <w:shd w:val="clear" w:color="auto" w:fill="auto"/>
            <w:vAlign w:val="center"/>
          </w:tcPr>
          <w:p w14:paraId="351ABE2F">
            <w:pPr>
              <w:pStyle w:val="27"/>
              <w:adjustRightInd/>
              <w:rPr>
                <w:color w:val="auto"/>
              </w:rPr>
            </w:pPr>
            <w:r>
              <w:rPr>
                <w:rFonts w:hint="eastAsia"/>
                <w:color w:val="auto"/>
              </w:rPr>
              <w:t>二</w:t>
            </w:r>
          </w:p>
        </w:tc>
        <w:tc>
          <w:tcPr>
            <w:tcW w:w="415" w:type="pct"/>
            <w:gridSpan w:val="2"/>
            <w:vMerge w:val="continue"/>
            <w:vAlign w:val="center"/>
          </w:tcPr>
          <w:p w14:paraId="1F299A16">
            <w:pPr>
              <w:pStyle w:val="27"/>
              <w:adjustRightInd/>
              <w:rPr>
                <w:color w:val="auto"/>
              </w:rPr>
            </w:pPr>
          </w:p>
        </w:tc>
      </w:tr>
      <w:tr w14:paraId="5D1C7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6F3533D5">
            <w:pPr>
              <w:pStyle w:val="27"/>
              <w:snapToGrid w:val="0"/>
              <w:rPr>
                <w:color w:val="auto"/>
              </w:rPr>
            </w:pPr>
          </w:p>
        </w:tc>
        <w:tc>
          <w:tcPr>
            <w:tcW w:w="502" w:type="pct"/>
            <w:vMerge w:val="restart"/>
            <w:vAlign w:val="center"/>
          </w:tcPr>
          <w:p w14:paraId="401192F5">
            <w:pPr>
              <w:pStyle w:val="27"/>
              <w:snapToGrid w:val="0"/>
              <w:rPr>
                <w:color w:val="auto"/>
              </w:rPr>
            </w:pPr>
            <w:r>
              <w:rPr>
                <w:rFonts w:hint="eastAsia"/>
                <w:color w:val="auto"/>
              </w:rPr>
              <w:t>模块化叠合剪力墙结构</w:t>
            </w:r>
          </w:p>
        </w:tc>
        <w:tc>
          <w:tcPr>
            <w:tcW w:w="475" w:type="pct"/>
            <w:vMerge w:val="restart"/>
            <w:vAlign w:val="center"/>
          </w:tcPr>
          <w:p w14:paraId="537FE514">
            <w:pPr>
              <w:pStyle w:val="27"/>
              <w:snapToGrid w:val="0"/>
              <w:rPr>
                <w:color w:val="auto"/>
              </w:rPr>
            </w:pPr>
            <w:r>
              <w:rPr>
                <w:rFonts w:hint="eastAsia"/>
                <w:color w:val="auto"/>
              </w:rPr>
              <w:t>全部落地</w:t>
            </w:r>
          </w:p>
          <w:p w14:paraId="026F4F0D">
            <w:pPr>
              <w:pStyle w:val="27"/>
              <w:snapToGrid w:val="0"/>
              <w:rPr>
                <w:color w:val="auto"/>
              </w:rPr>
            </w:pPr>
            <w:r>
              <w:rPr>
                <w:rFonts w:hint="eastAsia"/>
                <w:color w:val="auto"/>
              </w:rPr>
              <w:t>剪力墙</w:t>
            </w:r>
          </w:p>
        </w:tc>
        <w:tc>
          <w:tcPr>
            <w:tcW w:w="918" w:type="pct"/>
            <w:gridSpan w:val="4"/>
            <w:shd w:val="clear" w:color="auto" w:fill="auto"/>
            <w:vAlign w:val="center"/>
          </w:tcPr>
          <w:p w14:paraId="34CA724A">
            <w:pPr>
              <w:pStyle w:val="27"/>
              <w:rPr>
                <w:color w:val="auto"/>
              </w:rPr>
            </w:pPr>
            <w:r>
              <w:rPr>
                <w:color w:val="auto"/>
              </w:rPr>
              <w:t>高度</w:t>
            </w:r>
          </w:p>
        </w:tc>
        <w:tc>
          <w:tcPr>
            <w:tcW w:w="321" w:type="pct"/>
            <w:gridSpan w:val="2"/>
            <w:shd w:val="clear" w:color="auto" w:fill="auto"/>
            <w:vAlign w:val="center"/>
          </w:tcPr>
          <w:p w14:paraId="3FFE3D9D">
            <w:pPr>
              <w:pStyle w:val="27"/>
              <w:snapToGrid w:val="0"/>
              <w:rPr>
                <w:color w:val="auto"/>
              </w:rPr>
            </w:pPr>
            <w:r>
              <w:rPr>
                <w:color w:val="auto"/>
              </w:rPr>
              <w:t>≤</w:t>
            </w:r>
            <w:r>
              <w:rPr>
                <w:rFonts w:hint="eastAsia"/>
                <w:color w:val="auto"/>
              </w:rPr>
              <w:t>70</w:t>
            </w:r>
          </w:p>
        </w:tc>
        <w:tc>
          <w:tcPr>
            <w:tcW w:w="308" w:type="pct"/>
            <w:shd w:val="clear" w:color="auto" w:fill="auto"/>
            <w:vAlign w:val="center"/>
          </w:tcPr>
          <w:p w14:paraId="53706762">
            <w:pPr>
              <w:pStyle w:val="27"/>
              <w:adjustRightInd/>
              <w:rPr>
                <w:color w:val="auto"/>
              </w:rPr>
            </w:pPr>
            <w:r>
              <w:rPr>
                <w:color w:val="auto"/>
              </w:rPr>
              <w:t>＞</w:t>
            </w:r>
            <w:r>
              <w:rPr>
                <w:rFonts w:hint="eastAsia"/>
                <w:color w:val="auto"/>
              </w:rPr>
              <w:t>70</w:t>
            </w:r>
          </w:p>
        </w:tc>
        <w:tc>
          <w:tcPr>
            <w:tcW w:w="299" w:type="pct"/>
            <w:shd w:val="clear" w:color="auto" w:fill="auto"/>
            <w:vAlign w:val="center"/>
          </w:tcPr>
          <w:p w14:paraId="61FE7797">
            <w:pPr>
              <w:pStyle w:val="27"/>
              <w:adjustRightInd/>
              <w:rPr>
                <w:color w:val="auto"/>
              </w:rPr>
            </w:pPr>
            <w:r>
              <w:rPr>
                <w:color w:val="auto"/>
              </w:rPr>
              <w:t>≤</w:t>
            </w:r>
            <w:r>
              <w:rPr>
                <w:rFonts w:hint="eastAsia"/>
                <w:color w:val="auto"/>
              </w:rPr>
              <w:t>24</w:t>
            </w:r>
          </w:p>
        </w:tc>
        <w:tc>
          <w:tcPr>
            <w:tcW w:w="341" w:type="pct"/>
            <w:gridSpan w:val="3"/>
            <w:shd w:val="clear" w:color="auto" w:fill="auto"/>
            <w:vAlign w:val="center"/>
          </w:tcPr>
          <w:p w14:paraId="43F3E995">
            <w:pPr>
              <w:pStyle w:val="27"/>
              <w:adjustRightInd/>
              <w:rPr>
                <w:color w:val="auto"/>
              </w:rPr>
            </w:pPr>
            <w:r>
              <w:rPr>
                <w:rFonts w:hint="eastAsia"/>
                <w:color w:val="auto"/>
              </w:rPr>
              <w:t>&gt;24且≤70</w:t>
            </w:r>
          </w:p>
        </w:tc>
        <w:tc>
          <w:tcPr>
            <w:tcW w:w="299" w:type="pct"/>
            <w:shd w:val="clear" w:color="auto" w:fill="auto"/>
            <w:vAlign w:val="center"/>
          </w:tcPr>
          <w:p w14:paraId="6E85376D">
            <w:pPr>
              <w:pStyle w:val="27"/>
              <w:adjustRightInd/>
              <w:rPr>
                <w:color w:val="auto"/>
              </w:rPr>
            </w:pPr>
            <w:r>
              <w:rPr>
                <w:color w:val="auto"/>
              </w:rPr>
              <w:t>＞</w:t>
            </w:r>
            <w:r>
              <w:rPr>
                <w:rFonts w:hint="eastAsia"/>
                <w:color w:val="auto"/>
              </w:rPr>
              <w:t>70</w:t>
            </w:r>
          </w:p>
        </w:tc>
        <w:tc>
          <w:tcPr>
            <w:tcW w:w="362" w:type="pct"/>
            <w:gridSpan w:val="3"/>
            <w:shd w:val="clear" w:color="auto" w:fill="auto"/>
            <w:vAlign w:val="center"/>
          </w:tcPr>
          <w:p w14:paraId="739D01AE">
            <w:pPr>
              <w:pStyle w:val="27"/>
              <w:adjustRightInd/>
              <w:rPr>
                <w:color w:val="auto"/>
              </w:rPr>
            </w:pPr>
            <w:r>
              <w:rPr>
                <w:color w:val="auto"/>
              </w:rPr>
              <w:t>≤</w:t>
            </w:r>
            <w:r>
              <w:rPr>
                <w:rFonts w:hint="eastAsia"/>
                <w:color w:val="auto"/>
              </w:rPr>
              <w:t>24</w:t>
            </w:r>
          </w:p>
        </w:tc>
        <w:tc>
          <w:tcPr>
            <w:tcW w:w="315" w:type="pct"/>
            <w:gridSpan w:val="3"/>
            <w:shd w:val="clear" w:color="auto" w:fill="auto"/>
            <w:vAlign w:val="center"/>
          </w:tcPr>
          <w:p w14:paraId="4124C6C0">
            <w:pPr>
              <w:pStyle w:val="27"/>
              <w:adjustRightInd/>
              <w:rPr>
                <w:color w:val="auto"/>
              </w:rPr>
            </w:pPr>
            <w:r>
              <w:rPr>
                <w:rFonts w:hint="eastAsia"/>
                <w:color w:val="auto"/>
              </w:rPr>
              <w:t>&gt;24且≤70</w:t>
            </w:r>
          </w:p>
        </w:tc>
        <w:tc>
          <w:tcPr>
            <w:tcW w:w="415" w:type="pct"/>
            <w:gridSpan w:val="2"/>
            <w:shd w:val="clear" w:color="auto" w:fill="auto"/>
            <w:vAlign w:val="center"/>
          </w:tcPr>
          <w:p w14:paraId="3F047FC2">
            <w:pPr>
              <w:pStyle w:val="27"/>
              <w:adjustRightInd/>
              <w:rPr>
                <w:color w:val="auto"/>
              </w:rPr>
            </w:pPr>
            <w:r>
              <w:rPr>
                <w:color w:val="auto"/>
              </w:rPr>
              <w:t>＞</w:t>
            </w:r>
            <w:r>
              <w:rPr>
                <w:rFonts w:hint="eastAsia"/>
                <w:color w:val="auto"/>
              </w:rPr>
              <w:t>70</w:t>
            </w:r>
          </w:p>
        </w:tc>
      </w:tr>
      <w:tr w14:paraId="47E1C5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6598A7D5">
            <w:pPr>
              <w:pStyle w:val="27"/>
              <w:snapToGrid w:val="0"/>
              <w:rPr>
                <w:color w:val="auto"/>
              </w:rPr>
            </w:pPr>
          </w:p>
        </w:tc>
        <w:tc>
          <w:tcPr>
            <w:tcW w:w="502" w:type="pct"/>
            <w:vMerge w:val="continue"/>
            <w:vAlign w:val="center"/>
          </w:tcPr>
          <w:p w14:paraId="73F481CC">
            <w:pPr>
              <w:pStyle w:val="27"/>
              <w:snapToGrid w:val="0"/>
              <w:rPr>
                <w:color w:val="auto"/>
              </w:rPr>
            </w:pPr>
          </w:p>
        </w:tc>
        <w:tc>
          <w:tcPr>
            <w:tcW w:w="475" w:type="pct"/>
            <w:vMerge w:val="continue"/>
            <w:vAlign w:val="center"/>
          </w:tcPr>
          <w:p w14:paraId="416FC21D">
            <w:pPr>
              <w:pStyle w:val="27"/>
              <w:snapToGrid w:val="0"/>
              <w:rPr>
                <w:color w:val="auto"/>
              </w:rPr>
            </w:pPr>
          </w:p>
        </w:tc>
        <w:tc>
          <w:tcPr>
            <w:tcW w:w="918" w:type="pct"/>
            <w:gridSpan w:val="4"/>
            <w:shd w:val="clear" w:color="auto" w:fill="auto"/>
            <w:vAlign w:val="center"/>
          </w:tcPr>
          <w:p w14:paraId="31BA25D5">
            <w:pPr>
              <w:pStyle w:val="27"/>
              <w:rPr>
                <w:color w:val="auto"/>
              </w:rPr>
            </w:pPr>
            <w:r>
              <w:rPr>
                <w:rFonts w:hint="eastAsia"/>
                <w:color w:val="auto"/>
              </w:rPr>
              <w:t>剪力墙</w:t>
            </w:r>
          </w:p>
        </w:tc>
        <w:tc>
          <w:tcPr>
            <w:tcW w:w="321" w:type="pct"/>
            <w:gridSpan w:val="2"/>
            <w:shd w:val="clear" w:color="auto" w:fill="auto"/>
            <w:vAlign w:val="center"/>
          </w:tcPr>
          <w:p w14:paraId="432A9BF7">
            <w:pPr>
              <w:pStyle w:val="27"/>
              <w:adjustRightInd/>
              <w:rPr>
                <w:color w:val="auto"/>
              </w:rPr>
            </w:pPr>
            <w:r>
              <w:rPr>
                <w:rFonts w:hint="eastAsia"/>
                <w:color w:val="auto"/>
              </w:rPr>
              <w:t>四</w:t>
            </w:r>
          </w:p>
        </w:tc>
        <w:tc>
          <w:tcPr>
            <w:tcW w:w="308" w:type="pct"/>
            <w:shd w:val="clear" w:color="auto" w:fill="auto"/>
            <w:vAlign w:val="center"/>
          </w:tcPr>
          <w:p w14:paraId="46DA0E2E">
            <w:pPr>
              <w:pStyle w:val="27"/>
              <w:adjustRightInd/>
              <w:rPr>
                <w:color w:val="auto"/>
              </w:rPr>
            </w:pPr>
            <w:r>
              <w:rPr>
                <w:rFonts w:hint="eastAsia"/>
                <w:color w:val="auto"/>
              </w:rPr>
              <w:t>三</w:t>
            </w:r>
          </w:p>
        </w:tc>
        <w:tc>
          <w:tcPr>
            <w:tcW w:w="299" w:type="pct"/>
            <w:shd w:val="clear" w:color="auto" w:fill="auto"/>
            <w:vAlign w:val="center"/>
          </w:tcPr>
          <w:p w14:paraId="148F583E">
            <w:pPr>
              <w:pStyle w:val="27"/>
              <w:adjustRightInd/>
              <w:rPr>
                <w:color w:val="auto"/>
              </w:rPr>
            </w:pPr>
            <w:r>
              <w:rPr>
                <w:rFonts w:hint="eastAsia"/>
                <w:color w:val="auto"/>
              </w:rPr>
              <w:t>四</w:t>
            </w:r>
          </w:p>
        </w:tc>
        <w:tc>
          <w:tcPr>
            <w:tcW w:w="341" w:type="pct"/>
            <w:gridSpan w:val="3"/>
            <w:shd w:val="clear" w:color="auto" w:fill="auto"/>
            <w:vAlign w:val="center"/>
          </w:tcPr>
          <w:p w14:paraId="55F0746C">
            <w:pPr>
              <w:pStyle w:val="27"/>
              <w:adjustRightInd/>
              <w:rPr>
                <w:color w:val="auto"/>
              </w:rPr>
            </w:pPr>
            <w:r>
              <w:rPr>
                <w:rFonts w:hint="eastAsia"/>
                <w:color w:val="auto"/>
              </w:rPr>
              <w:t>三</w:t>
            </w:r>
          </w:p>
        </w:tc>
        <w:tc>
          <w:tcPr>
            <w:tcW w:w="299" w:type="pct"/>
            <w:shd w:val="clear" w:color="auto" w:fill="auto"/>
            <w:vAlign w:val="center"/>
          </w:tcPr>
          <w:p w14:paraId="3A18BB76">
            <w:pPr>
              <w:pStyle w:val="27"/>
              <w:adjustRightInd/>
              <w:rPr>
                <w:color w:val="auto"/>
              </w:rPr>
            </w:pPr>
            <w:r>
              <w:rPr>
                <w:rFonts w:hint="eastAsia"/>
                <w:color w:val="auto"/>
              </w:rPr>
              <w:t>二</w:t>
            </w:r>
          </w:p>
        </w:tc>
        <w:tc>
          <w:tcPr>
            <w:tcW w:w="362" w:type="pct"/>
            <w:gridSpan w:val="3"/>
            <w:shd w:val="clear" w:color="auto" w:fill="auto"/>
            <w:vAlign w:val="center"/>
          </w:tcPr>
          <w:p w14:paraId="45E36AFE">
            <w:pPr>
              <w:pStyle w:val="27"/>
              <w:adjustRightInd/>
              <w:rPr>
                <w:color w:val="auto"/>
              </w:rPr>
            </w:pPr>
            <w:r>
              <w:rPr>
                <w:rFonts w:hint="eastAsia"/>
                <w:color w:val="auto"/>
              </w:rPr>
              <w:t>三</w:t>
            </w:r>
          </w:p>
        </w:tc>
        <w:tc>
          <w:tcPr>
            <w:tcW w:w="315" w:type="pct"/>
            <w:gridSpan w:val="3"/>
            <w:shd w:val="clear" w:color="auto" w:fill="auto"/>
            <w:vAlign w:val="center"/>
          </w:tcPr>
          <w:p w14:paraId="17D44957">
            <w:pPr>
              <w:pStyle w:val="27"/>
              <w:adjustRightInd/>
              <w:rPr>
                <w:color w:val="auto"/>
              </w:rPr>
            </w:pPr>
            <w:r>
              <w:rPr>
                <w:rFonts w:hint="eastAsia"/>
                <w:color w:val="auto"/>
              </w:rPr>
              <w:t>二</w:t>
            </w:r>
          </w:p>
        </w:tc>
        <w:tc>
          <w:tcPr>
            <w:tcW w:w="415" w:type="pct"/>
            <w:gridSpan w:val="2"/>
            <w:shd w:val="clear" w:color="auto" w:fill="auto"/>
            <w:vAlign w:val="center"/>
          </w:tcPr>
          <w:p w14:paraId="66E241B4">
            <w:pPr>
              <w:pStyle w:val="27"/>
              <w:adjustRightInd/>
              <w:rPr>
                <w:color w:val="auto"/>
              </w:rPr>
            </w:pPr>
            <w:r>
              <w:rPr>
                <w:rFonts w:hint="eastAsia"/>
                <w:color w:val="auto"/>
              </w:rPr>
              <w:t>一</w:t>
            </w:r>
          </w:p>
        </w:tc>
      </w:tr>
      <w:tr w14:paraId="1FF195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5CD78D2B">
            <w:pPr>
              <w:pStyle w:val="27"/>
              <w:snapToGrid w:val="0"/>
              <w:rPr>
                <w:color w:val="auto"/>
              </w:rPr>
            </w:pPr>
          </w:p>
        </w:tc>
        <w:tc>
          <w:tcPr>
            <w:tcW w:w="502" w:type="pct"/>
            <w:vMerge w:val="continue"/>
            <w:vAlign w:val="center"/>
          </w:tcPr>
          <w:p w14:paraId="040F80DD">
            <w:pPr>
              <w:pStyle w:val="27"/>
              <w:snapToGrid w:val="0"/>
              <w:rPr>
                <w:color w:val="auto"/>
              </w:rPr>
            </w:pPr>
          </w:p>
        </w:tc>
        <w:tc>
          <w:tcPr>
            <w:tcW w:w="475" w:type="pct"/>
            <w:vMerge w:val="restart"/>
            <w:vAlign w:val="center"/>
          </w:tcPr>
          <w:p w14:paraId="71F6BB0D">
            <w:pPr>
              <w:pStyle w:val="27"/>
              <w:snapToGrid w:val="0"/>
              <w:rPr>
                <w:color w:val="auto"/>
              </w:rPr>
            </w:pPr>
            <w:r>
              <w:rPr>
                <w:rFonts w:hint="eastAsia"/>
                <w:color w:val="auto"/>
              </w:rPr>
              <w:t>部分框支</w:t>
            </w:r>
          </w:p>
          <w:p w14:paraId="453A9658">
            <w:pPr>
              <w:pStyle w:val="27"/>
              <w:snapToGrid w:val="0"/>
              <w:rPr>
                <w:color w:val="auto"/>
              </w:rPr>
            </w:pPr>
            <w:r>
              <w:rPr>
                <w:rFonts w:hint="eastAsia"/>
                <w:color w:val="auto"/>
              </w:rPr>
              <w:t>剪力墙</w:t>
            </w:r>
          </w:p>
        </w:tc>
        <w:tc>
          <w:tcPr>
            <w:tcW w:w="918" w:type="pct"/>
            <w:gridSpan w:val="4"/>
            <w:shd w:val="clear" w:color="auto" w:fill="auto"/>
            <w:vAlign w:val="center"/>
          </w:tcPr>
          <w:p w14:paraId="6FD2DBD7">
            <w:pPr>
              <w:pStyle w:val="27"/>
              <w:rPr>
                <w:color w:val="auto"/>
              </w:rPr>
            </w:pPr>
            <w:r>
              <w:rPr>
                <w:color w:val="auto"/>
              </w:rPr>
              <w:t>高度</w:t>
            </w:r>
          </w:p>
        </w:tc>
        <w:tc>
          <w:tcPr>
            <w:tcW w:w="321" w:type="pct"/>
            <w:gridSpan w:val="2"/>
            <w:shd w:val="clear" w:color="auto" w:fill="auto"/>
            <w:vAlign w:val="center"/>
          </w:tcPr>
          <w:p w14:paraId="5481058E">
            <w:pPr>
              <w:pStyle w:val="27"/>
              <w:snapToGrid w:val="0"/>
              <w:rPr>
                <w:color w:val="auto"/>
              </w:rPr>
            </w:pPr>
            <w:r>
              <w:rPr>
                <w:color w:val="auto"/>
              </w:rPr>
              <w:t>≤</w:t>
            </w:r>
            <w:r>
              <w:rPr>
                <w:rFonts w:hint="eastAsia"/>
                <w:color w:val="auto"/>
              </w:rPr>
              <w:t>70</w:t>
            </w:r>
          </w:p>
        </w:tc>
        <w:tc>
          <w:tcPr>
            <w:tcW w:w="308" w:type="pct"/>
            <w:shd w:val="clear" w:color="auto" w:fill="auto"/>
            <w:vAlign w:val="center"/>
          </w:tcPr>
          <w:p w14:paraId="7A5B6249">
            <w:pPr>
              <w:pStyle w:val="27"/>
              <w:adjustRightInd/>
              <w:rPr>
                <w:color w:val="auto"/>
              </w:rPr>
            </w:pPr>
            <w:r>
              <w:rPr>
                <w:color w:val="auto"/>
              </w:rPr>
              <w:t>＞</w:t>
            </w:r>
            <w:r>
              <w:rPr>
                <w:rFonts w:hint="eastAsia"/>
                <w:color w:val="auto"/>
              </w:rPr>
              <w:t>70</w:t>
            </w:r>
          </w:p>
        </w:tc>
        <w:tc>
          <w:tcPr>
            <w:tcW w:w="299" w:type="pct"/>
            <w:shd w:val="clear" w:color="auto" w:fill="auto"/>
            <w:vAlign w:val="center"/>
          </w:tcPr>
          <w:p w14:paraId="44E85228">
            <w:pPr>
              <w:pStyle w:val="27"/>
              <w:adjustRightInd/>
              <w:rPr>
                <w:color w:val="auto"/>
              </w:rPr>
            </w:pPr>
            <w:r>
              <w:rPr>
                <w:color w:val="auto"/>
              </w:rPr>
              <w:t>≤</w:t>
            </w:r>
            <w:r>
              <w:rPr>
                <w:rFonts w:hint="eastAsia"/>
                <w:color w:val="auto"/>
              </w:rPr>
              <w:t>24</w:t>
            </w:r>
          </w:p>
        </w:tc>
        <w:tc>
          <w:tcPr>
            <w:tcW w:w="341" w:type="pct"/>
            <w:gridSpan w:val="3"/>
            <w:shd w:val="clear" w:color="auto" w:fill="auto"/>
            <w:vAlign w:val="center"/>
          </w:tcPr>
          <w:p w14:paraId="3987D7B0">
            <w:pPr>
              <w:pStyle w:val="27"/>
              <w:adjustRightInd/>
              <w:rPr>
                <w:color w:val="auto"/>
              </w:rPr>
            </w:pPr>
            <w:r>
              <w:rPr>
                <w:rFonts w:hint="eastAsia"/>
                <w:color w:val="auto"/>
              </w:rPr>
              <w:t>&gt;24且≤70</w:t>
            </w:r>
          </w:p>
        </w:tc>
        <w:tc>
          <w:tcPr>
            <w:tcW w:w="299" w:type="pct"/>
            <w:shd w:val="clear" w:color="auto" w:fill="auto"/>
            <w:vAlign w:val="center"/>
          </w:tcPr>
          <w:p w14:paraId="39B9457F">
            <w:pPr>
              <w:pStyle w:val="27"/>
              <w:adjustRightInd/>
              <w:rPr>
                <w:color w:val="auto"/>
              </w:rPr>
            </w:pPr>
            <w:r>
              <w:rPr>
                <w:color w:val="auto"/>
              </w:rPr>
              <w:t>＞</w:t>
            </w:r>
            <w:r>
              <w:rPr>
                <w:rFonts w:hint="eastAsia"/>
                <w:color w:val="auto"/>
              </w:rPr>
              <w:t>70</w:t>
            </w:r>
          </w:p>
        </w:tc>
        <w:tc>
          <w:tcPr>
            <w:tcW w:w="362" w:type="pct"/>
            <w:gridSpan w:val="3"/>
            <w:shd w:val="clear" w:color="auto" w:fill="auto"/>
            <w:vAlign w:val="center"/>
          </w:tcPr>
          <w:p w14:paraId="1418B385">
            <w:pPr>
              <w:pStyle w:val="27"/>
              <w:adjustRightInd/>
              <w:rPr>
                <w:color w:val="auto"/>
              </w:rPr>
            </w:pPr>
            <w:r>
              <w:rPr>
                <w:color w:val="auto"/>
              </w:rPr>
              <w:t>≤</w:t>
            </w:r>
            <w:r>
              <w:rPr>
                <w:rFonts w:hint="eastAsia"/>
                <w:color w:val="auto"/>
              </w:rPr>
              <w:t>24</w:t>
            </w:r>
          </w:p>
        </w:tc>
        <w:tc>
          <w:tcPr>
            <w:tcW w:w="315" w:type="pct"/>
            <w:gridSpan w:val="3"/>
            <w:shd w:val="clear" w:color="auto" w:fill="auto"/>
            <w:vAlign w:val="center"/>
          </w:tcPr>
          <w:p w14:paraId="2717BB9C">
            <w:pPr>
              <w:pStyle w:val="27"/>
              <w:adjustRightInd/>
              <w:rPr>
                <w:color w:val="auto"/>
              </w:rPr>
            </w:pPr>
            <w:r>
              <w:rPr>
                <w:rFonts w:hint="eastAsia"/>
                <w:color w:val="auto"/>
              </w:rPr>
              <w:t>&gt;24且≤70</w:t>
            </w:r>
          </w:p>
        </w:tc>
        <w:tc>
          <w:tcPr>
            <w:tcW w:w="415" w:type="pct"/>
            <w:gridSpan w:val="2"/>
            <w:vMerge w:val="restart"/>
            <w:shd w:val="clear" w:color="auto" w:fill="auto"/>
            <w:vAlign w:val="center"/>
          </w:tcPr>
          <w:p w14:paraId="07A0B79B">
            <w:pPr>
              <w:pStyle w:val="27"/>
              <w:adjustRightInd/>
              <w:rPr>
                <w:color w:val="auto"/>
              </w:rPr>
            </w:pPr>
            <w:r>
              <w:rPr>
                <w:rFonts w:hint="eastAsia"/>
                <w:color w:val="auto"/>
              </w:rPr>
              <w:t>/</w:t>
            </w:r>
          </w:p>
        </w:tc>
      </w:tr>
      <w:tr w14:paraId="4C0389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1B9D3F13">
            <w:pPr>
              <w:pStyle w:val="27"/>
              <w:snapToGrid w:val="0"/>
              <w:rPr>
                <w:color w:val="auto"/>
              </w:rPr>
            </w:pPr>
          </w:p>
        </w:tc>
        <w:tc>
          <w:tcPr>
            <w:tcW w:w="502" w:type="pct"/>
            <w:vMerge w:val="continue"/>
            <w:vAlign w:val="center"/>
          </w:tcPr>
          <w:p w14:paraId="452B40B5">
            <w:pPr>
              <w:pStyle w:val="27"/>
              <w:snapToGrid w:val="0"/>
              <w:rPr>
                <w:color w:val="auto"/>
              </w:rPr>
            </w:pPr>
          </w:p>
        </w:tc>
        <w:tc>
          <w:tcPr>
            <w:tcW w:w="475" w:type="pct"/>
            <w:vMerge w:val="continue"/>
            <w:vAlign w:val="center"/>
          </w:tcPr>
          <w:p w14:paraId="63988E89">
            <w:pPr>
              <w:pStyle w:val="27"/>
              <w:snapToGrid w:val="0"/>
              <w:rPr>
                <w:color w:val="auto"/>
              </w:rPr>
            </w:pPr>
          </w:p>
        </w:tc>
        <w:tc>
          <w:tcPr>
            <w:tcW w:w="918" w:type="pct"/>
            <w:gridSpan w:val="4"/>
            <w:shd w:val="clear" w:color="auto" w:fill="auto"/>
            <w:vAlign w:val="center"/>
          </w:tcPr>
          <w:p w14:paraId="4E14CEBD">
            <w:pPr>
              <w:pStyle w:val="27"/>
              <w:rPr>
                <w:color w:val="auto"/>
              </w:rPr>
            </w:pPr>
            <w:r>
              <w:rPr>
                <w:rFonts w:hint="eastAsia"/>
                <w:color w:val="auto"/>
              </w:rPr>
              <w:t>框支框架</w:t>
            </w:r>
          </w:p>
        </w:tc>
        <w:tc>
          <w:tcPr>
            <w:tcW w:w="321" w:type="pct"/>
            <w:gridSpan w:val="2"/>
            <w:shd w:val="clear" w:color="auto" w:fill="auto"/>
            <w:vAlign w:val="center"/>
          </w:tcPr>
          <w:p w14:paraId="1583CB41">
            <w:pPr>
              <w:pStyle w:val="27"/>
              <w:adjustRightInd/>
              <w:rPr>
                <w:color w:val="auto"/>
              </w:rPr>
            </w:pPr>
            <w:r>
              <w:rPr>
                <w:rFonts w:hint="eastAsia"/>
                <w:color w:val="auto"/>
              </w:rPr>
              <w:t>二</w:t>
            </w:r>
          </w:p>
        </w:tc>
        <w:tc>
          <w:tcPr>
            <w:tcW w:w="308" w:type="pct"/>
            <w:shd w:val="clear" w:color="auto" w:fill="auto"/>
            <w:vAlign w:val="center"/>
          </w:tcPr>
          <w:p w14:paraId="0664C2F5">
            <w:pPr>
              <w:pStyle w:val="27"/>
              <w:adjustRightInd/>
              <w:rPr>
                <w:color w:val="auto"/>
              </w:rPr>
            </w:pPr>
            <w:r>
              <w:rPr>
                <w:rFonts w:hint="eastAsia"/>
                <w:color w:val="auto"/>
              </w:rPr>
              <w:t>二</w:t>
            </w:r>
          </w:p>
        </w:tc>
        <w:tc>
          <w:tcPr>
            <w:tcW w:w="299" w:type="pct"/>
            <w:shd w:val="clear" w:color="auto" w:fill="auto"/>
            <w:vAlign w:val="center"/>
          </w:tcPr>
          <w:p w14:paraId="54FDE90E">
            <w:pPr>
              <w:pStyle w:val="27"/>
              <w:adjustRightInd/>
              <w:rPr>
                <w:color w:val="auto"/>
              </w:rPr>
            </w:pPr>
            <w:r>
              <w:rPr>
                <w:rFonts w:hint="eastAsia"/>
                <w:color w:val="auto"/>
              </w:rPr>
              <w:t>二</w:t>
            </w:r>
          </w:p>
        </w:tc>
        <w:tc>
          <w:tcPr>
            <w:tcW w:w="341" w:type="pct"/>
            <w:gridSpan w:val="3"/>
            <w:shd w:val="clear" w:color="auto" w:fill="auto"/>
            <w:vAlign w:val="center"/>
          </w:tcPr>
          <w:p w14:paraId="550F58C0">
            <w:pPr>
              <w:pStyle w:val="27"/>
              <w:adjustRightInd/>
              <w:rPr>
                <w:color w:val="auto"/>
              </w:rPr>
            </w:pPr>
            <w:r>
              <w:rPr>
                <w:rFonts w:hint="eastAsia"/>
                <w:color w:val="auto"/>
              </w:rPr>
              <w:t>二</w:t>
            </w:r>
          </w:p>
        </w:tc>
        <w:tc>
          <w:tcPr>
            <w:tcW w:w="299" w:type="pct"/>
            <w:shd w:val="clear" w:color="auto" w:fill="auto"/>
            <w:vAlign w:val="center"/>
          </w:tcPr>
          <w:p w14:paraId="7AAEFE87">
            <w:pPr>
              <w:pStyle w:val="27"/>
              <w:adjustRightInd/>
              <w:rPr>
                <w:color w:val="auto"/>
              </w:rPr>
            </w:pPr>
            <w:r>
              <w:rPr>
                <w:rFonts w:hint="eastAsia"/>
                <w:color w:val="auto"/>
              </w:rPr>
              <w:t>一</w:t>
            </w:r>
          </w:p>
        </w:tc>
        <w:tc>
          <w:tcPr>
            <w:tcW w:w="362" w:type="pct"/>
            <w:gridSpan w:val="3"/>
            <w:shd w:val="clear" w:color="auto" w:fill="auto"/>
            <w:vAlign w:val="center"/>
          </w:tcPr>
          <w:p w14:paraId="7E6348CB">
            <w:pPr>
              <w:pStyle w:val="27"/>
              <w:adjustRightInd/>
              <w:rPr>
                <w:color w:val="auto"/>
              </w:rPr>
            </w:pPr>
            <w:r>
              <w:rPr>
                <w:rFonts w:hint="eastAsia"/>
                <w:color w:val="auto"/>
              </w:rPr>
              <w:t>一</w:t>
            </w:r>
          </w:p>
        </w:tc>
        <w:tc>
          <w:tcPr>
            <w:tcW w:w="315" w:type="pct"/>
            <w:gridSpan w:val="3"/>
            <w:shd w:val="clear" w:color="auto" w:fill="auto"/>
            <w:vAlign w:val="center"/>
          </w:tcPr>
          <w:p w14:paraId="54FC5984">
            <w:pPr>
              <w:pStyle w:val="27"/>
              <w:adjustRightInd/>
              <w:rPr>
                <w:color w:val="auto"/>
              </w:rPr>
            </w:pPr>
            <w:r>
              <w:rPr>
                <w:rFonts w:hint="eastAsia"/>
                <w:color w:val="auto"/>
              </w:rPr>
              <w:t>一</w:t>
            </w:r>
          </w:p>
        </w:tc>
        <w:tc>
          <w:tcPr>
            <w:tcW w:w="415" w:type="pct"/>
            <w:gridSpan w:val="2"/>
            <w:vMerge w:val="continue"/>
            <w:shd w:val="clear" w:color="auto" w:fill="auto"/>
            <w:vAlign w:val="center"/>
          </w:tcPr>
          <w:p w14:paraId="1C6E21C7">
            <w:pPr>
              <w:pStyle w:val="27"/>
              <w:adjustRightInd/>
              <w:rPr>
                <w:color w:val="auto"/>
              </w:rPr>
            </w:pPr>
          </w:p>
        </w:tc>
      </w:tr>
      <w:tr w14:paraId="7397F6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2D45F62B">
            <w:pPr>
              <w:pStyle w:val="27"/>
              <w:snapToGrid w:val="0"/>
              <w:rPr>
                <w:color w:val="auto"/>
              </w:rPr>
            </w:pPr>
          </w:p>
        </w:tc>
        <w:tc>
          <w:tcPr>
            <w:tcW w:w="502" w:type="pct"/>
            <w:vMerge w:val="continue"/>
            <w:vAlign w:val="center"/>
          </w:tcPr>
          <w:p w14:paraId="450524AE">
            <w:pPr>
              <w:pStyle w:val="27"/>
              <w:snapToGrid w:val="0"/>
              <w:rPr>
                <w:color w:val="auto"/>
              </w:rPr>
            </w:pPr>
          </w:p>
        </w:tc>
        <w:tc>
          <w:tcPr>
            <w:tcW w:w="475" w:type="pct"/>
            <w:vMerge w:val="continue"/>
            <w:vAlign w:val="center"/>
          </w:tcPr>
          <w:p w14:paraId="67FC1512">
            <w:pPr>
              <w:pStyle w:val="27"/>
              <w:snapToGrid w:val="0"/>
              <w:rPr>
                <w:color w:val="auto"/>
              </w:rPr>
            </w:pPr>
          </w:p>
        </w:tc>
        <w:tc>
          <w:tcPr>
            <w:tcW w:w="458" w:type="pct"/>
            <w:gridSpan w:val="2"/>
            <w:vMerge w:val="restart"/>
            <w:shd w:val="clear" w:color="auto" w:fill="auto"/>
            <w:vAlign w:val="center"/>
          </w:tcPr>
          <w:p w14:paraId="24403F32">
            <w:pPr>
              <w:pStyle w:val="27"/>
              <w:rPr>
                <w:color w:val="auto"/>
              </w:rPr>
            </w:pPr>
            <w:r>
              <w:rPr>
                <w:rFonts w:hint="eastAsia"/>
                <w:color w:val="auto"/>
              </w:rPr>
              <w:t>剪力墙</w:t>
            </w:r>
          </w:p>
        </w:tc>
        <w:tc>
          <w:tcPr>
            <w:tcW w:w="459" w:type="pct"/>
            <w:gridSpan w:val="2"/>
            <w:shd w:val="clear" w:color="auto" w:fill="auto"/>
            <w:vAlign w:val="center"/>
          </w:tcPr>
          <w:p w14:paraId="6A825FDB">
            <w:pPr>
              <w:pStyle w:val="27"/>
              <w:snapToGrid w:val="0"/>
              <w:rPr>
                <w:color w:val="auto"/>
              </w:rPr>
            </w:pPr>
            <w:r>
              <w:rPr>
                <w:rFonts w:hint="eastAsia"/>
                <w:color w:val="auto"/>
              </w:rPr>
              <w:t>加强部位</w:t>
            </w:r>
          </w:p>
        </w:tc>
        <w:tc>
          <w:tcPr>
            <w:tcW w:w="321" w:type="pct"/>
            <w:gridSpan w:val="2"/>
            <w:shd w:val="clear" w:color="auto" w:fill="auto"/>
            <w:vAlign w:val="center"/>
          </w:tcPr>
          <w:p w14:paraId="1546E9E0">
            <w:pPr>
              <w:pStyle w:val="27"/>
              <w:adjustRightInd/>
              <w:rPr>
                <w:color w:val="auto"/>
              </w:rPr>
            </w:pPr>
            <w:r>
              <w:rPr>
                <w:rFonts w:hint="eastAsia"/>
                <w:color w:val="auto"/>
              </w:rPr>
              <w:t>三</w:t>
            </w:r>
          </w:p>
        </w:tc>
        <w:tc>
          <w:tcPr>
            <w:tcW w:w="308" w:type="pct"/>
            <w:shd w:val="clear" w:color="auto" w:fill="auto"/>
            <w:vAlign w:val="center"/>
          </w:tcPr>
          <w:p w14:paraId="27E551C8">
            <w:pPr>
              <w:pStyle w:val="27"/>
              <w:adjustRightInd/>
              <w:rPr>
                <w:color w:val="auto"/>
              </w:rPr>
            </w:pPr>
            <w:r>
              <w:rPr>
                <w:rFonts w:hint="eastAsia"/>
                <w:color w:val="auto"/>
              </w:rPr>
              <w:t>二</w:t>
            </w:r>
          </w:p>
        </w:tc>
        <w:tc>
          <w:tcPr>
            <w:tcW w:w="299" w:type="pct"/>
            <w:shd w:val="clear" w:color="auto" w:fill="auto"/>
            <w:vAlign w:val="center"/>
          </w:tcPr>
          <w:p w14:paraId="20BBCEC9">
            <w:pPr>
              <w:pStyle w:val="27"/>
              <w:adjustRightInd/>
              <w:rPr>
                <w:color w:val="auto"/>
              </w:rPr>
            </w:pPr>
            <w:r>
              <w:rPr>
                <w:rFonts w:hint="eastAsia"/>
                <w:color w:val="auto"/>
              </w:rPr>
              <w:t>三</w:t>
            </w:r>
          </w:p>
        </w:tc>
        <w:tc>
          <w:tcPr>
            <w:tcW w:w="341" w:type="pct"/>
            <w:gridSpan w:val="3"/>
            <w:shd w:val="clear" w:color="auto" w:fill="auto"/>
            <w:vAlign w:val="center"/>
          </w:tcPr>
          <w:p w14:paraId="6B552345">
            <w:pPr>
              <w:pStyle w:val="27"/>
              <w:adjustRightInd/>
              <w:rPr>
                <w:color w:val="auto"/>
              </w:rPr>
            </w:pPr>
            <w:r>
              <w:rPr>
                <w:rFonts w:hint="eastAsia"/>
                <w:color w:val="auto"/>
              </w:rPr>
              <w:t>二</w:t>
            </w:r>
          </w:p>
        </w:tc>
        <w:tc>
          <w:tcPr>
            <w:tcW w:w="299" w:type="pct"/>
            <w:shd w:val="clear" w:color="auto" w:fill="auto"/>
            <w:vAlign w:val="center"/>
          </w:tcPr>
          <w:p w14:paraId="62FBB672">
            <w:pPr>
              <w:pStyle w:val="27"/>
              <w:adjustRightInd/>
              <w:rPr>
                <w:color w:val="auto"/>
              </w:rPr>
            </w:pPr>
            <w:r>
              <w:rPr>
                <w:rFonts w:hint="eastAsia"/>
                <w:color w:val="auto"/>
              </w:rPr>
              <w:t>一</w:t>
            </w:r>
          </w:p>
        </w:tc>
        <w:tc>
          <w:tcPr>
            <w:tcW w:w="362" w:type="pct"/>
            <w:gridSpan w:val="3"/>
            <w:shd w:val="clear" w:color="auto" w:fill="auto"/>
            <w:vAlign w:val="center"/>
          </w:tcPr>
          <w:p w14:paraId="6490700C">
            <w:pPr>
              <w:pStyle w:val="27"/>
              <w:adjustRightInd/>
              <w:rPr>
                <w:color w:val="auto"/>
              </w:rPr>
            </w:pPr>
            <w:r>
              <w:rPr>
                <w:rFonts w:hint="eastAsia"/>
                <w:color w:val="auto"/>
              </w:rPr>
              <w:t>二</w:t>
            </w:r>
          </w:p>
        </w:tc>
        <w:tc>
          <w:tcPr>
            <w:tcW w:w="315" w:type="pct"/>
            <w:gridSpan w:val="3"/>
            <w:shd w:val="clear" w:color="auto" w:fill="auto"/>
            <w:vAlign w:val="center"/>
          </w:tcPr>
          <w:p w14:paraId="4CE891F9">
            <w:pPr>
              <w:pStyle w:val="27"/>
              <w:adjustRightInd/>
              <w:rPr>
                <w:color w:val="auto"/>
              </w:rPr>
            </w:pPr>
            <w:r>
              <w:rPr>
                <w:rFonts w:hint="eastAsia"/>
                <w:color w:val="auto"/>
              </w:rPr>
              <w:t>一</w:t>
            </w:r>
          </w:p>
        </w:tc>
        <w:tc>
          <w:tcPr>
            <w:tcW w:w="415" w:type="pct"/>
            <w:gridSpan w:val="2"/>
            <w:vMerge w:val="continue"/>
            <w:shd w:val="clear" w:color="auto" w:fill="auto"/>
            <w:vAlign w:val="center"/>
          </w:tcPr>
          <w:p w14:paraId="7BA4BAA1">
            <w:pPr>
              <w:pStyle w:val="27"/>
              <w:adjustRightInd/>
              <w:rPr>
                <w:color w:val="auto"/>
              </w:rPr>
            </w:pPr>
          </w:p>
        </w:tc>
      </w:tr>
      <w:tr w14:paraId="2F2C1A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71653983">
            <w:pPr>
              <w:pStyle w:val="27"/>
              <w:snapToGrid w:val="0"/>
              <w:rPr>
                <w:color w:val="auto"/>
              </w:rPr>
            </w:pPr>
          </w:p>
        </w:tc>
        <w:tc>
          <w:tcPr>
            <w:tcW w:w="502" w:type="pct"/>
            <w:vMerge w:val="continue"/>
            <w:vAlign w:val="center"/>
          </w:tcPr>
          <w:p w14:paraId="00B8B511">
            <w:pPr>
              <w:pStyle w:val="27"/>
              <w:snapToGrid w:val="0"/>
              <w:rPr>
                <w:color w:val="auto"/>
              </w:rPr>
            </w:pPr>
          </w:p>
        </w:tc>
        <w:tc>
          <w:tcPr>
            <w:tcW w:w="475" w:type="pct"/>
            <w:vMerge w:val="continue"/>
            <w:vAlign w:val="center"/>
          </w:tcPr>
          <w:p w14:paraId="70D3C7F8">
            <w:pPr>
              <w:pStyle w:val="27"/>
              <w:snapToGrid w:val="0"/>
              <w:rPr>
                <w:color w:val="auto"/>
              </w:rPr>
            </w:pPr>
          </w:p>
        </w:tc>
        <w:tc>
          <w:tcPr>
            <w:tcW w:w="458" w:type="pct"/>
            <w:gridSpan w:val="2"/>
            <w:vMerge w:val="continue"/>
            <w:shd w:val="clear" w:color="auto" w:fill="auto"/>
            <w:vAlign w:val="center"/>
          </w:tcPr>
          <w:p w14:paraId="6CD2A238">
            <w:pPr>
              <w:pStyle w:val="27"/>
              <w:rPr>
                <w:color w:val="auto"/>
              </w:rPr>
            </w:pPr>
          </w:p>
        </w:tc>
        <w:tc>
          <w:tcPr>
            <w:tcW w:w="459" w:type="pct"/>
            <w:gridSpan w:val="2"/>
            <w:shd w:val="clear" w:color="auto" w:fill="auto"/>
            <w:vAlign w:val="center"/>
          </w:tcPr>
          <w:p w14:paraId="0CDC7217">
            <w:pPr>
              <w:pStyle w:val="27"/>
              <w:snapToGrid w:val="0"/>
              <w:rPr>
                <w:color w:val="auto"/>
              </w:rPr>
            </w:pPr>
            <w:r>
              <w:rPr>
                <w:rFonts w:hint="eastAsia"/>
                <w:color w:val="auto"/>
              </w:rPr>
              <w:t>一般部位</w:t>
            </w:r>
          </w:p>
        </w:tc>
        <w:tc>
          <w:tcPr>
            <w:tcW w:w="321" w:type="pct"/>
            <w:gridSpan w:val="2"/>
            <w:shd w:val="clear" w:color="auto" w:fill="auto"/>
            <w:vAlign w:val="center"/>
          </w:tcPr>
          <w:p w14:paraId="6AB0BA15">
            <w:pPr>
              <w:pStyle w:val="27"/>
              <w:adjustRightInd/>
              <w:rPr>
                <w:color w:val="auto"/>
              </w:rPr>
            </w:pPr>
            <w:r>
              <w:rPr>
                <w:rFonts w:hint="eastAsia"/>
                <w:color w:val="auto"/>
              </w:rPr>
              <w:t>四</w:t>
            </w:r>
          </w:p>
        </w:tc>
        <w:tc>
          <w:tcPr>
            <w:tcW w:w="308" w:type="pct"/>
            <w:shd w:val="clear" w:color="auto" w:fill="auto"/>
            <w:vAlign w:val="center"/>
          </w:tcPr>
          <w:p w14:paraId="2E5F5734">
            <w:pPr>
              <w:pStyle w:val="27"/>
              <w:adjustRightInd/>
              <w:rPr>
                <w:color w:val="auto"/>
              </w:rPr>
            </w:pPr>
            <w:r>
              <w:rPr>
                <w:rFonts w:hint="eastAsia"/>
                <w:color w:val="auto"/>
              </w:rPr>
              <w:t>三</w:t>
            </w:r>
          </w:p>
        </w:tc>
        <w:tc>
          <w:tcPr>
            <w:tcW w:w="299" w:type="pct"/>
            <w:shd w:val="clear" w:color="auto" w:fill="auto"/>
            <w:vAlign w:val="center"/>
          </w:tcPr>
          <w:p w14:paraId="458F9910">
            <w:pPr>
              <w:pStyle w:val="27"/>
              <w:adjustRightInd/>
              <w:rPr>
                <w:color w:val="auto"/>
              </w:rPr>
            </w:pPr>
            <w:r>
              <w:rPr>
                <w:rFonts w:hint="eastAsia"/>
                <w:color w:val="auto"/>
              </w:rPr>
              <w:t>四</w:t>
            </w:r>
          </w:p>
        </w:tc>
        <w:tc>
          <w:tcPr>
            <w:tcW w:w="341" w:type="pct"/>
            <w:gridSpan w:val="3"/>
            <w:shd w:val="clear" w:color="auto" w:fill="auto"/>
            <w:vAlign w:val="center"/>
          </w:tcPr>
          <w:p w14:paraId="70EE5CFD">
            <w:pPr>
              <w:pStyle w:val="27"/>
              <w:adjustRightInd/>
              <w:rPr>
                <w:color w:val="auto"/>
              </w:rPr>
            </w:pPr>
            <w:r>
              <w:rPr>
                <w:rFonts w:hint="eastAsia"/>
                <w:color w:val="auto"/>
              </w:rPr>
              <w:t>三</w:t>
            </w:r>
          </w:p>
        </w:tc>
        <w:tc>
          <w:tcPr>
            <w:tcW w:w="299" w:type="pct"/>
            <w:shd w:val="clear" w:color="auto" w:fill="auto"/>
            <w:vAlign w:val="center"/>
          </w:tcPr>
          <w:p w14:paraId="7FC15ECC">
            <w:pPr>
              <w:pStyle w:val="27"/>
              <w:adjustRightInd/>
              <w:rPr>
                <w:color w:val="auto"/>
              </w:rPr>
            </w:pPr>
            <w:r>
              <w:rPr>
                <w:rFonts w:hint="eastAsia"/>
                <w:color w:val="auto"/>
              </w:rPr>
              <w:t>二</w:t>
            </w:r>
          </w:p>
        </w:tc>
        <w:tc>
          <w:tcPr>
            <w:tcW w:w="362" w:type="pct"/>
            <w:gridSpan w:val="3"/>
            <w:shd w:val="clear" w:color="auto" w:fill="auto"/>
            <w:vAlign w:val="center"/>
          </w:tcPr>
          <w:p w14:paraId="62AE3912">
            <w:pPr>
              <w:pStyle w:val="27"/>
              <w:adjustRightInd/>
              <w:rPr>
                <w:color w:val="auto"/>
              </w:rPr>
            </w:pPr>
            <w:r>
              <w:rPr>
                <w:rFonts w:hint="eastAsia"/>
                <w:color w:val="auto"/>
              </w:rPr>
              <w:t>三</w:t>
            </w:r>
          </w:p>
        </w:tc>
        <w:tc>
          <w:tcPr>
            <w:tcW w:w="315" w:type="pct"/>
            <w:gridSpan w:val="3"/>
            <w:shd w:val="clear" w:color="auto" w:fill="auto"/>
            <w:vAlign w:val="center"/>
          </w:tcPr>
          <w:p w14:paraId="099103AD">
            <w:pPr>
              <w:pStyle w:val="27"/>
              <w:adjustRightInd/>
              <w:rPr>
                <w:color w:val="auto"/>
              </w:rPr>
            </w:pPr>
            <w:r>
              <w:rPr>
                <w:rFonts w:hint="eastAsia"/>
                <w:color w:val="auto"/>
              </w:rPr>
              <w:t>二</w:t>
            </w:r>
          </w:p>
        </w:tc>
        <w:tc>
          <w:tcPr>
            <w:tcW w:w="415" w:type="pct"/>
            <w:gridSpan w:val="2"/>
            <w:vMerge w:val="continue"/>
            <w:shd w:val="clear" w:color="auto" w:fill="auto"/>
            <w:vAlign w:val="center"/>
          </w:tcPr>
          <w:p w14:paraId="585922BE">
            <w:pPr>
              <w:pStyle w:val="27"/>
              <w:adjustRightInd/>
              <w:rPr>
                <w:color w:val="auto"/>
              </w:rPr>
            </w:pPr>
          </w:p>
        </w:tc>
      </w:tr>
      <w:tr w14:paraId="49D93B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restart"/>
            <w:vAlign w:val="center"/>
          </w:tcPr>
          <w:p w14:paraId="7403D21F">
            <w:pPr>
              <w:pStyle w:val="27"/>
              <w:snapToGrid w:val="0"/>
              <w:rPr>
                <w:color w:val="auto"/>
              </w:rPr>
            </w:pPr>
            <w:r>
              <w:rPr>
                <w:rFonts w:hint="eastAsia"/>
                <w:color w:val="auto"/>
              </w:rPr>
              <w:t>模块化</w:t>
            </w:r>
          </w:p>
          <w:p w14:paraId="44149AE4">
            <w:pPr>
              <w:pStyle w:val="27"/>
              <w:snapToGrid w:val="0"/>
              <w:rPr>
                <w:color w:val="auto"/>
              </w:rPr>
            </w:pPr>
            <w:r>
              <w:rPr>
                <w:rFonts w:hint="eastAsia"/>
                <w:color w:val="auto"/>
              </w:rPr>
              <w:t>现浇结构</w:t>
            </w:r>
          </w:p>
        </w:tc>
        <w:tc>
          <w:tcPr>
            <w:tcW w:w="977" w:type="pct"/>
            <w:gridSpan w:val="2"/>
            <w:vMerge w:val="restart"/>
            <w:vAlign w:val="center"/>
          </w:tcPr>
          <w:p w14:paraId="31AFEC63">
            <w:pPr>
              <w:pStyle w:val="27"/>
              <w:snapToGrid w:val="0"/>
              <w:rPr>
                <w:color w:val="auto"/>
              </w:rPr>
            </w:pPr>
            <w:r>
              <w:rPr>
                <w:rFonts w:hint="eastAsia"/>
                <w:color w:val="auto"/>
              </w:rPr>
              <w:t>模块化现浇</w:t>
            </w:r>
          </w:p>
          <w:p w14:paraId="579372FB">
            <w:pPr>
              <w:pStyle w:val="27"/>
              <w:snapToGrid w:val="0"/>
              <w:rPr>
                <w:color w:val="auto"/>
              </w:rPr>
            </w:pPr>
            <w:r>
              <w:rPr>
                <w:rFonts w:hint="eastAsia"/>
                <w:color w:val="auto"/>
              </w:rPr>
              <w:t>框架结构</w:t>
            </w:r>
          </w:p>
        </w:tc>
        <w:tc>
          <w:tcPr>
            <w:tcW w:w="918" w:type="pct"/>
            <w:gridSpan w:val="4"/>
            <w:vAlign w:val="center"/>
          </w:tcPr>
          <w:p w14:paraId="7BBB7210">
            <w:pPr>
              <w:pStyle w:val="27"/>
              <w:rPr>
                <w:color w:val="auto"/>
              </w:rPr>
            </w:pPr>
            <w:r>
              <w:rPr>
                <w:color w:val="auto"/>
              </w:rPr>
              <w:t>高度</w:t>
            </w:r>
          </w:p>
        </w:tc>
        <w:tc>
          <w:tcPr>
            <w:tcW w:w="321" w:type="pct"/>
            <w:gridSpan w:val="2"/>
            <w:vAlign w:val="center"/>
          </w:tcPr>
          <w:p w14:paraId="0891709B">
            <w:pPr>
              <w:pStyle w:val="27"/>
              <w:adjustRightInd/>
              <w:rPr>
                <w:color w:val="auto"/>
              </w:rPr>
            </w:pPr>
            <w:r>
              <w:rPr>
                <w:color w:val="auto"/>
              </w:rPr>
              <w:t>≤24</w:t>
            </w:r>
          </w:p>
        </w:tc>
        <w:tc>
          <w:tcPr>
            <w:tcW w:w="308" w:type="pct"/>
            <w:vAlign w:val="center"/>
          </w:tcPr>
          <w:p w14:paraId="166452E8">
            <w:pPr>
              <w:pStyle w:val="27"/>
              <w:adjustRightInd/>
              <w:rPr>
                <w:color w:val="auto"/>
              </w:rPr>
            </w:pPr>
            <w:r>
              <w:rPr>
                <w:color w:val="auto"/>
              </w:rPr>
              <w:t>＞24</w:t>
            </w:r>
          </w:p>
        </w:tc>
        <w:tc>
          <w:tcPr>
            <w:tcW w:w="491" w:type="pct"/>
            <w:gridSpan w:val="3"/>
            <w:vAlign w:val="center"/>
          </w:tcPr>
          <w:p w14:paraId="3BEBD5FA">
            <w:pPr>
              <w:pStyle w:val="27"/>
              <w:adjustRightInd/>
              <w:rPr>
                <w:color w:val="auto"/>
              </w:rPr>
            </w:pPr>
            <w:r>
              <w:rPr>
                <w:color w:val="auto"/>
              </w:rPr>
              <w:t>≤24</w:t>
            </w:r>
          </w:p>
        </w:tc>
        <w:tc>
          <w:tcPr>
            <w:tcW w:w="448" w:type="pct"/>
            <w:gridSpan w:val="2"/>
            <w:vAlign w:val="center"/>
          </w:tcPr>
          <w:p w14:paraId="60F0E870">
            <w:pPr>
              <w:pStyle w:val="27"/>
              <w:adjustRightInd/>
              <w:rPr>
                <w:color w:val="auto"/>
              </w:rPr>
            </w:pPr>
            <w:r>
              <w:rPr>
                <w:color w:val="auto"/>
              </w:rPr>
              <w:t>＞24</w:t>
            </w:r>
          </w:p>
        </w:tc>
        <w:tc>
          <w:tcPr>
            <w:tcW w:w="531" w:type="pct"/>
            <w:gridSpan w:val="4"/>
            <w:vAlign w:val="center"/>
          </w:tcPr>
          <w:p w14:paraId="35382EFB">
            <w:pPr>
              <w:pStyle w:val="27"/>
              <w:adjustRightInd/>
              <w:rPr>
                <w:color w:val="auto"/>
              </w:rPr>
            </w:pPr>
            <w:r>
              <w:rPr>
                <w:color w:val="auto"/>
              </w:rPr>
              <w:t>≤24</w:t>
            </w:r>
          </w:p>
        </w:tc>
        <w:tc>
          <w:tcPr>
            <w:tcW w:w="561" w:type="pct"/>
            <w:gridSpan w:val="4"/>
            <w:vAlign w:val="center"/>
          </w:tcPr>
          <w:p w14:paraId="020D2F55">
            <w:pPr>
              <w:pStyle w:val="27"/>
              <w:adjustRightInd/>
              <w:rPr>
                <w:color w:val="auto"/>
              </w:rPr>
            </w:pPr>
            <w:r>
              <w:rPr>
                <w:rFonts w:hint="eastAsia"/>
                <w:color w:val="auto"/>
              </w:rPr>
              <w:t>＞</w:t>
            </w:r>
            <w:r>
              <w:rPr>
                <w:color w:val="auto"/>
              </w:rPr>
              <w:t>24</w:t>
            </w:r>
          </w:p>
        </w:tc>
      </w:tr>
      <w:tr w14:paraId="4F68C7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05A26456">
            <w:pPr>
              <w:pStyle w:val="27"/>
              <w:snapToGrid w:val="0"/>
              <w:rPr>
                <w:color w:val="auto"/>
              </w:rPr>
            </w:pPr>
          </w:p>
        </w:tc>
        <w:tc>
          <w:tcPr>
            <w:tcW w:w="977" w:type="pct"/>
            <w:gridSpan w:val="2"/>
            <w:vMerge w:val="continue"/>
            <w:vAlign w:val="center"/>
          </w:tcPr>
          <w:p w14:paraId="5CDF9439">
            <w:pPr>
              <w:pStyle w:val="27"/>
              <w:snapToGrid w:val="0"/>
              <w:rPr>
                <w:color w:val="auto"/>
              </w:rPr>
            </w:pPr>
          </w:p>
        </w:tc>
        <w:tc>
          <w:tcPr>
            <w:tcW w:w="918" w:type="pct"/>
            <w:gridSpan w:val="4"/>
            <w:vAlign w:val="center"/>
          </w:tcPr>
          <w:p w14:paraId="5A2EDA18">
            <w:pPr>
              <w:pStyle w:val="27"/>
              <w:rPr>
                <w:color w:val="auto"/>
              </w:rPr>
            </w:pPr>
            <w:r>
              <w:rPr>
                <w:rFonts w:hint="eastAsia"/>
                <w:color w:val="auto"/>
              </w:rPr>
              <w:t>框架</w:t>
            </w:r>
          </w:p>
        </w:tc>
        <w:tc>
          <w:tcPr>
            <w:tcW w:w="321" w:type="pct"/>
            <w:gridSpan w:val="2"/>
            <w:vAlign w:val="center"/>
          </w:tcPr>
          <w:p w14:paraId="50C985CB">
            <w:pPr>
              <w:pStyle w:val="27"/>
              <w:adjustRightInd/>
              <w:rPr>
                <w:color w:val="auto"/>
              </w:rPr>
            </w:pPr>
            <w:r>
              <w:rPr>
                <w:color w:val="auto"/>
              </w:rPr>
              <w:t>四</w:t>
            </w:r>
          </w:p>
        </w:tc>
        <w:tc>
          <w:tcPr>
            <w:tcW w:w="308" w:type="pct"/>
            <w:vAlign w:val="center"/>
          </w:tcPr>
          <w:p w14:paraId="7A25D13D">
            <w:pPr>
              <w:pStyle w:val="27"/>
              <w:adjustRightInd/>
              <w:rPr>
                <w:color w:val="auto"/>
              </w:rPr>
            </w:pPr>
            <w:r>
              <w:rPr>
                <w:color w:val="auto"/>
              </w:rPr>
              <w:t>三</w:t>
            </w:r>
          </w:p>
        </w:tc>
        <w:tc>
          <w:tcPr>
            <w:tcW w:w="491" w:type="pct"/>
            <w:gridSpan w:val="3"/>
            <w:vAlign w:val="center"/>
          </w:tcPr>
          <w:p w14:paraId="55B56F24">
            <w:pPr>
              <w:pStyle w:val="27"/>
              <w:adjustRightInd/>
              <w:rPr>
                <w:color w:val="auto"/>
              </w:rPr>
            </w:pPr>
            <w:r>
              <w:rPr>
                <w:color w:val="auto"/>
              </w:rPr>
              <w:t>三</w:t>
            </w:r>
          </w:p>
        </w:tc>
        <w:tc>
          <w:tcPr>
            <w:tcW w:w="448" w:type="pct"/>
            <w:gridSpan w:val="2"/>
            <w:vAlign w:val="center"/>
          </w:tcPr>
          <w:p w14:paraId="13302ED9">
            <w:pPr>
              <w:pStyle w:val="27"/>
              <w:adjustRightInd/>
              <w:rPr>
                <w:color w:val="auto"/>
              </w:rPr>
            </w:pPr>
            <w:r>
              <w:rPr>
                <w:color w:val="auto"/>
              </w:rPr>
              <w:t>二</w:t>
            </w:r>
          </w:p>
        </w:tc>
        <w:tc>
          <w:tcPr>
            <w:tcW w:w="531" w:type="pct"/>
            <w:gridSpan w:val="4"/>
            <w:vAlign w:val="center"/>
          </w:tcPr>
          <w:p w14:paraId="6B954AF1">
            <w:pPr>
              <w:pStyle w:val="27"/>
              <w:adjustRightInd/>
              <w:rPr>
                <w:color w:val="auto"/>
              </w:rPr>
            </w:pPr>
            <w:r>
              <w:rPr>
                <w:rFonts w:hint="eastAsia"/>
                <w:color w:val="auto"/>
              </w:rPr>
              <w:t>二</w:t>
            </w:r>
          </w:p>
        </w:tc>
        <w:tc>
          <w:tcPr>
            <w:tcW w:w="561" w:type="pct"/>
            <w:gridSpan w:val="4"/>
            <w:vAlign w:val="center"/>
          </w:tcPr>
          <w:p w14:paraId="335DCFC3">
            <w:pPr>
              <w:pStyle w:val="27"/>
              <w:adjustRightInd/>
              <w:rPr>
                <w:color w:val="auto"/>
              </w:rPr>
            </w:pPr>
            <w:r>
              <w:rPr>
                <w:rFonts w:hint="eastAsia"/>
                <w:color w:val="auto"/>
              </w:rPr>
              <w:t>一</w:t>
            </w:r>
          </w:p>
        </w:tc>
      </w:tr>
      <w:tr w14:paraId="30E732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4F8486C9">
            <w:pPr>
              <w:pStyle w:val="27"/>
              <w:snapToGrid w:val="0"/>
              <w:rPr>
                <w:color w:val="auto"/>
              </w:rPr>
            </w:pPr>
          </w:p>
        </w:tc>
        <w:tc>
          <w:tcPr>
            <w:tcW w:w="977" w:type="pct"/>
            <w:gridSpan w:val="2"/>
            <w:vMerge w:val="restart"/>
            <w:vAlign w:val="center"/>
          </w:tcPr>
          <w:p w14:paraId="75A9B696">
            <w:pPr>
              <w:pStyle w:val="27"/>
              <w:snapToGrid w:val="0"/>
              <w:rPr>
                <w:color w:val="auto"/>
              </w:rPr>
            </w:pPr>
            <w:r>
              <w:rPr>
                <w:rFonts w:hint="eastAsia"/>
                <w:color w:val="auto"/>
              </w:rPr>
              <w:t>模块化现浇</w:t>
            </w:r>
          </w:p>
          <w:p w14:paraId="07C5B2AA">
            <w:pPr>
              <w:pStyle w:val="27"/>
              <w:snapToGrid w:val="0"/>
              <w:rPr>
                <w:color w:val="auto"/>
              </w:rPr>
            </w:pPr>
            <w:r>
              <w:rPr>
                <w:rFonts w:hint="eastAsia"/>
                <w:color w:val="auto"/>
              </w:rPr>
              <w:t>框架-剪力墙结构</w:t>
            </w:r>
          </w:p>
        </w:tc>
        <w:tc>
          <w:tcPr>
            <w:tcW w:w="918" w:type="pct"/>
            <w:gridSpan w:val="4"/>
            <w:vAlign w:val="center"/>
          </w:tcPr>
          <w:p w14:paraId="7A215950">
            <w:pPr>
              <w:pStyle w:val="27"/>
              <w:rPr>
                <w:color w:val="auto"/>
              </w:rPr>
            </w:pPr>
            <w:r>
              <w:rPr>
                <w:rFonts w:hint="eastAsia"/>
                <w:color w:val="auto"/>
              </w:rPr>
              <w:t>高度</w:t>
            </w:r>
          </w:p>
        </w:tc>
        <w:tc>
          <w:tcPr>
            <w:tcW w:w="321" w:type="pct"/>
            <w:gridSpan w:val="2"/>
            <w:shd w:val="clear" w:color="auto" w:fill="auto"/>
            <w:vAlign w:val="center"/>
          </w:tcPr>
          <w:p w14:paraId="3080EB40">
            <w:pPr>
              <w:pStyle w:val="27"/>
              <w:adjustRightInd/>
              <w:rPr>
                <w:color w:val="auto"/>
              </w:rPr>
            </w:pPr>
            <w:r>
              <w:rPr>
                <w:color w:val="auto"/>
              </w:rPr>
              <w:t>≤60</w:t>
            </w:r>
          </w:p>
        </w:tc>
        <w:tc>
          <w:tcPr>
            <w:tcW w:w="308" w:type="pct"/>
            <w:shd w:val="clear" w:color="auto" w:fill="auto"/>
            <w:vAlign w:val="center"/>
          </w:tcPr>
          <w:p w14:paraId="23469EAE">
            <w:pPr>
              <w:pStyle w:val="27"/>
              <w:adjustRightInd/>
              <w:rPr>
                <w:color w:val="auto"/>
              </w:rPr>
            </w:pPr>
            <w:r>
              <w:rPr>
                <w:color w:val="auto"/>
              </w:rPr>
              <w:t>＞60</w:t>
            </w:r>
          </w:p>
        </w:tc>
        <w:tc>
          <w:tcPr>
            <w:tcW w:w="307" w:type="pct"/>
            <w:gridSpan w:val="2"/>
            <w:shd w:val="clear" w:color="auto" w:fill="auto"/>
            <w:vAlign w:val="center"/>
          </w:tcPr>
          <w:p w14:paraId="71369D55">
            <w:pPr>
              <w:pStyle w:val="27"/>
              <w:adjustRightInd/>
              <w:rPr>
                <w:color w:val="auto"/>
              </w:rPr>
            </w:pPr>
            <w:r>
              <w:rPr>
                <w:color w:val="auto"/>
              </w:rPr>
              <w:t>≤24</w:t>
            </w:r>
          </w:p>
        </w:tc>
        <w:tc>
          <w:tcPr>
            <w:tcW w:w="333" w:type="pct"/>
            <w:gridSpan w:val="2"/>
            <w:shd w:val="clear" w:color="auto" w:fill="auto"/>
            <w:vAlign w:val="center"/>
          </w:tcPr>
          <w:p w14:paraId="4DD3771F">
            <w:pPr>
              <w:pStyle w:val="27"/>
              <w:adjustRightInd/>
              <w:rPr>
                <w:color w:val="auto"/>
              </w:rPr>
            </w:pPr>
            <w:r>
              <w:rPr>
                <w:rFonts w:hint="eastAsia"/>
                <w:color w:val="auto"/>
              </w:rPr>
              <w:t>&gt;24且</w:t>
            </w:r>
            <w:r>
              <w:rPr>
                <w:color w:val="auto"/>
              </w:rPr>
              <w:t>≤</w:t>
            </w:r>
            <w:r>
              <w:rPr>
                <w:rFonts w:hint="eastAsia"/>
                <w:color w:val="auto"/>
              </w:rPr>
              <w:t>60</w:t>
            </w:r>
          </w:p>
        </w:tc>
        <w:tc>
          <w:tcPr>
            <w:tcW w:w="299" w:type="pct"/>
            <w:shd w:val="clear" w:color="auto" w:fill="auto"/>
            <w:vAlign w:val="center"/>
          </w:tcPr>
          <w:p w14:paraId="04BF8232">
            <w:pPr>
              <w:pStyle w:val="27"/>
              <w:adjustRightInd/>
              <w:rPr>
                <w:color w:val="auto"/>
              </w:rPr>
            </w:pPr>
            <w:r>
              <w:rPr>
                <w:color w:val="auto"/>
              </w:rPr>
              <w:t>＞60</w:t>
            </w:r>
          </w:p>
        </w:tc>
        <w:tc>
          <w:tcPr>
            <w:tcW w:w="336" w:type="pct"/>
            <w:shd w:val="clear" w:color="auto" w:fill="auto"/>
            <w:vAlign w:val="center"/>
          </w:tcPr>
          <w:p w14:paraId="56D809B8">
            <w:pPr>
              <w:pStyle w:val="27"/>
              <w:adjustRightInd/>
              <w:rPr>
                <w:color w:val="auto"/>
              </w:rPr>
            </w:pPr>
            <w:r>
              <w:rPr>
                <w:color w:val="auto"/>
              </w:rPr>
              <w:t>≤24</w:t>
            </w:r>
          </w:p>
        </w:tc>
        <w:tc>
          <w:tcPr>
            <w:tcW w:w="335" w:type="pct"/>
            <w:gridSpan w:val="4"/>
            <w:shd w:val="clear" w:color="auto" w:fill="auto"/>
            <w:vAlign w:val="center"/>
          </w:tcPr>
          <w:p w14:paraId="3AAFA361">
            <w:pPr>
              <w:pStyle w:val="27"/>
              <w:adjustRightInd/>
              <w:rPr>
                <w:color w:val="auto"/>
              </w:rPr>
            </w:pPr>
            <w:r>
              <w:rPr>
                <w:rFonts w:hint="eastAsia"/>
                <w:color w:val="auto"/>
              </w:rPr>
              <w:t>&gt;24且</w:t>
            </w:r>
            <w:r>
              <w:rPr>
                <w:color w:val="auto"/>
              </w:rPr>
              <w:t>≤</w:t>
            </w:r>
            <w:r>
              <w:rPr>
                <w:rFonts w:hint="eastAsia"/>
                <w:color w:val="auto"/>
              </w:rPr>
              <w:t>60</w:t>
            </w:r>
          </w:p>
        </w:tc>
        <w:tc>
          <w:tcPr>
            <w:tcW w:w="421" w:type="pct"/>
            <w:gridSpan w:val="3"/>
            <w:shd w:val="clear" w:color="auto" w:fill="auto"/>
            <w:vAlign w:val="center"/>
          </w:tcPr>
          <w:p w14:paraId="3F8640BE">
            <w:pPr>
              <w:pStyle w:val="27"/>
              <w:adjustRightInd/>
              <w:rPr>
                <w:color w:val="auto"/>
              </w:rPr>
            </w:pPr>
            <w:r>
              <w:rPr>
                <w:rFonts w:hint="eastAsia"/>
                <w:color w:val="auto"/>
              </w:rPr>
              <w:t>＞</w:t>
            </w:r>
            <w:r>
              <w:rPr>
                <w:color w:val="auto"/>
              </w:rPr>
              <w:t>60</w:t>
            </w:r>
          </w:p>
        </w:tc>
      </w:tr>
      <w:tr w14:paraId="0EE09F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18183F97">
            <w:pPr>
              <w:pStyle w:val="27"/>
              <w:snapToGrid w:val="0"/>
              <w:rPr>
                <w:color w:val="auto"/>
              </w:rPr>
            </w:pPr>
          </w:p>
        </w:tc>
        <w:tc>
          <w:tcPr>
            <w:tcW w:w="977" w:type="pct"/>
            <w:gridSpan w:val="2"/>
            <w:vMerge w:val="continue"/>
            <w:vAlign w:val="center"/>
          </w:tcPr>
          <w:p w14:paraId="5AE7CD08">
            <w:pPr>
              <w:pStyle w:val="27"/>
              <w:snapToGrid w:val="0"/>
              <w:rPr>
                <w:color w:val="auto"/>
              </w:rPr>
            </w:pPr>
          </w:p>
        </w:tc>
        <w:tc>
          <w:tcPr>
            <w:tcW w:w="918" w:type="pct"/>
            <w:gridSpan w:val="4"/>
            <w:shd w:val="clear" w:color="auto" w:fill="auto"/>
            <w:vAlign w:val="center"/>
          </w:tcPr>
          <w:p w14:paraId="35CB9929">
            <w:pPr>
              <w:pStyle w:val="27"/>
              <w:rPr>
                <w:color w:val="auto"/>
              </w:rPr>
            </w:pPr>
            <w:r>
              <w:rPr>
                <w:rFonts w:hint="eastAsia"/>
                <w:color w:val="auto"/>
              </w:rPr>
              <w:t>框架</w:t>
            </w:r>
          </w:p>
        </w:tc>
        <w:tc>
          <w:tcPr>
            <w:tcW w:w="321" w:type="pct"/>
            <w:gridSpan w:val="2"/>
            <w:shd w:val="clear" w:color="auto" w:fill="auto"/>
            <w:vAlign w:val="center"/>
          </w:tcPr>
          <w:p w14:paraId="676EF516">
            <w:pPr>
              <w:pStyle w:val="27"/>
              <w:adjustRightInd/>
              <w:rPr>
                <w:color w:val="auto"/>
              </w:rPr>
            </w:pPr>
            <w:r>
              <w:rPr>
                <w:color w:val="auto"/>
              </w:rPr>
              <w:t>四</w:t>
            </w:r>
          </w:p>
        </w:tc>
        <w:tc>
          <w:tcPr>
            <w:tcW w:w="308" w:type="pct"/>
            <w:shd w:val="clear" w:color="auto" w:fill="auto"/>
            <w:vAlign w:val="center"/>
          </w:tcPr>
          <w:p w14:paraId="033E3FE0">
            <w:pPr>
              <w:pStyle w:val="27"/>
              <w:adjustRightInd/>
              <w:rPr>
                <w:color w:val="auto"/>
              </w:rPr>
            </w:pPr>
            <w:r>
              <w:rPr>
                <w:color w:val="auto"/>
              </w:rPr>
              <w:t>三</w:t>
            </w:r>
          </w:p>
        </w:tc>
        <w:tc>
          <w:tcPr>
            <w:tcW w:w="307" w:type="pct"/>
            <w:gridSpan w:val="2"/>
            <w:shd w:val="clear" w:color="auto" w:fill="auto"/>
            <w:vAlign w:val="center"/>
          </w:tcPr>
          <w:p w14:paraId="6618CDFC">
            <w:pPr>
              <w:pStyle w:val="27"/>
              <w:adjustRightInd/>
              <w:rPr>
                <w:color w:val="auto"/>
              </w:rPr>
            </w:pPr>
            <w:r>
              <w:rPr>
                <w:color w:val="auto"/>
              </w:rPr>
              <w:t>四</w:t>
            </w:r>
          </w:p>
        </w:tc>
        <w:tc>
          <w:tcPr>
            <w:tcW w:w="333" w:type="pct"/>
            <w:gridSpan w:val="2"/>
            <w:shd w:val="clear" w:color="auto" w:fill="auto"/>
            <w:vAlign w:val="center"/>
          </w:tcPr>
          <w:p w14:paraId="31218F4F">
            <w:pPr>
              <w:pStyle w:val="27"/>
              <w:adjustRightInd/>
              <w:rPr>
                <w:color w:val="auto"/>
              </w:rPr>
            </w:pPr>
            <w:r>
              <w:rPr>
                <w:color w:val="auto"/>
              </w:rPr>
              <w:t>三</w:t>
            </w:r>
          </w:p>
        </w:tc>
        <w:tc>
          <w:tcPr>
            <w:tcW w:w="299" w:type="pct"/>
            <w:shd w:val="clear" w:color="auto" w:fill="auto"/>
            <w:vAlign w:val="center"/>
          </w:tcPr>
          <w:p w14:paraId="1440E1A4">
            <w:pPr>
              <w:pStyle w:val="27"/>
              <w:adjustRightInd/>
              <w:rPr>
                <w:color w:val="auto"/>
              </w:rPr>
            </w:pPr>
            <w:r>
              <w:rPr>
                <w:color w:val="auto"/>
              </w:rPr>
              <w:t>二</w:t>
            </w:r>
          </w:p>
        </w:tc>
        <w:tc>
          <w:tcPr>
            <w:tcW w:w="336" w:type="pct"/>
            <w:shd w:val="clear" w:color="auto" w:fill="auto"/>
            <w:vAlign w:val="center"/>
          </w:tcPr>
          <w:p w14:paraId="2699E200">
            <w:pPr>
              <w:pStyle w:val="27"/>
              <w:adjustRightInd/>
              <w:rPr>
                <w:color w:val="auto"/>
              </w:rPr>
            </w:pPr>
            <w:r>
              <w:rPr>
                <w:rFonts w:hint="eastAsia"/>
                <w:color w:val="auto"/>
              </w:rPr>
              <w:t>三</w:t>
            </w:r>
          </w:p>
        </w:tc>
        <w:tc>
          <w:tcPr>
            <w:tcW w:w="335" w:type="pct"/>
            <w:gridSpan w:val="4"/>
            <w:shd w:val="clear" w:color="auto" w:fill="auto"/>
            <w:vAlign w:val="center"/>
          </w:tcPr>
          <w:p w14:paraId="74027F69">
            <w:pPr>
              <w:pStyle w:val="27"/>
              <w:adjustRightInd/>
              <w:rPr>
                <w:color w:val="auto"/>
              </w:rPr>
            </w:pPr>
            <w:r>
              <w:rPr>
                <w:rFonts w:hint="eastAsia"/>
                <w:color w:val="auto"/>
              </w:rPr>
              <w:t>二</w:t>
            </w:r>
          </w:p>
        </w:tc>
        <w:tc>
          <w:tcPr>
            <w:tcW w:w="421" w:type="pct"/>
            <w:gridSpan w:val="3"/>
            <w:shd w:val="clear" w:color="auto" w:fill="auto"/>
            <w:vAlign w:val="center"/>
          </w:tcPr>
          <w:p w14:paraId="7D3484E1">
            <w:pPr>
              <w:pStyle w:val="27"/>
              <w:adjustRightInd/>
              <w:rPr>
                <w:color w:val="auto"/>
              </w:rPr>
            </w:pPr>
            <w:r>
              <w:rPr>
                <w:rFonts w:hint="eastAsia"/>
                <w:color w:val="auto"/>
              </w:rPr>
              <w:t>一</w:t>
            </w:r>
          </w:p>
        </w:tc>
      </w:tr>
      <w:tr w14:paraId="6A4F70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57E0E987">
            <w:pPr>
              <w:pStyle w:val="27"/>
              <w:snapToGrid w:val="0"/>
              <w:rPr>
                <w:color w:val="auto"/>
              </w:rPr>
            </w:pPr>
          </w:p>
        </w:tc>
        <w:tc>
          <w:tcPr>
            <w:tcW w:w="977" w:type="pct"/>
            <w:gridSpan w:val="2"/>
            <w:vMerge w:val="continue"/>
            <w:vAlign w:val="center"/>
          </w:tcPr>
          <w:p w14:paraId="36D6A751">
            <w:pPr>
              <w:pStyle w:val="27"/>
              <w:snapToGrid w:val="0"/>
              <w:rPr>
                <w:color w:val="auto"/>
              </w:rPr>
            </w:pPr>
          </w:p>
        </w:tc>
        <w:tc>
          <w:tcPr>
            <w:tcW w:w="918" w:type="pct"/>
            <w:gridSpan w:val="4"/>
            <w:shd w:val="clear" w:color="auto" w:fill="auto"/>
            <w:vAlign w:val="center"/>
          </w:tcPr>
          <w:p w14:paraId="535DFBAE">
            <w:pPr>
              <w:pStyle w:val="27"/>
              <w:rPr>
                <w:color w:val="auto"/>
              </w:rPr>
            </w:pPr>
            <w:r>
              <w:rPr>
                <w:rFonts w:hint="eastAsia"/>
                <w:color w:val="auto"/>
              </w:rPr>
              <w:t>剪力墙</w:t>
            </w:r>
          </w:p>
        </w:tc>
        <w:tc>
          <w:tcPr>
            <w:tcW w:w="629" w:type="pct"/>
            <w:gridSpan w:val="3"/>
            <w:shd w:val="clear" w:color="auto" w:fill="auto"/>
            <w:vAlign w:val="center"/>
          </w:tcPr>
          <w:p w14:paraId="4D4ACF4D">
            <w:pPr>
              <w:pStyle w:val="27"/>
              <w:adjustRightInd/>
              <w:rPr>
                <w:color w:val="auto"/>
              </w:rPr>
            </w:pPr>
            <w:r>
              <w:rPr>
                <w:rFonts w:hint="eastAsia"/>
                <w:color w:val="auto"/>
              </w:rPr>
              <w:t>三</w:t>
            </w:r>
          </w:p>
        </w:tc>
        <w:tc>
          <w:tcPr>
            <w:tcW w:w="307" w:type="pct"/>
            <w:gridSpan w:val="2"/>
            <w:shd w:val="clear" w:color="auto" w:fill="auto"/>
            <w:vAlign w:val="center"/>
          </w:tcPr>
          <w:p w14:paraId="40C3C13F">
            <w:pPr>
              <w:pStyle w:val="27"/>
              <w:adjustRightInd/>
              <w:rPr>
                <w:color w:val="auto"/>
              </w:rPr>
            </w:pPr>
            <w:r>
              <w:rPr>
                <w:rFonts w:hint="eastAsia"/>
                <w:color w:val="auto"/>
              </w:rPr>
              <w:t>三</w:t>
            </w:r>
          </w:p>
        </w:tc>
        <w:tc>
          <w:tcPr>
            <w:tcW w:w="633" w:type="pct"/>
            <w:gridSpan w:val="3"/>
            <w:shd w:val="clear" w:color="auto" w:fill="auto"/>
            <w:vAlign w:val="center"/>
          </w:tcPr>
          <w:p w14:paraId="70120C96">
            <w:pPr>
              <w:pStyle w:val="27"/>
              <w:adjustRightInd/>
              <w:rPr>
                <w:color w:val="auto"/>
              </w:rPr>
            </w:pPr>
            <w:r>
              <w:rPr>
                <w:rFonts w:hint="eastAsia"/>
                <w:color w:val="auto"/>
              </w:rPr>
              <w:t>二</w:t>
            </w:r>
          </w:p>
        </w:tc>
        <w:tc>
          <w:tcPr>
            <w:tcW w:w="336" w:type="pct"/>
            <w:shd w:val="clear" w:color="auto" w:fill="auto"/>
            <w:vAlign w:val="center"/>
          </w:tcPr>
          <w:p w14:paraId="6778F8F6">
            <w:pPr>
              <w:pStyle w:val="27"/>
              <w:adjustRightInd/>
              <w:rPr>
                <w:color w:val="auto"/>
              </w:rPr>
            </w:pPr>
            <w:r>
              <w:rPr>
                <w:rFonts w:hint="eastAsia"/>
                <w:color w:val="auto"/>
              </w:rPr>
              <w:t>二</w:t>
            </w:r>
          </w:p>
        </w:tc>
        <w:tc>
          <w:tcPr>
            <w:tcW w:w="756" w:type="pct"/>
            <w:gridSpan w:val="7"/>
            <w:shd w:val="clear" w:color="auto" w:fill="auto"/>
            <w:vAlign w:val="center"/>
          </w:tcPr>
          <w:p w14:paraId="1F58E856">
            <w:pPr>
              <w:pStyle w:val="27"/>
              <w:adjustRightInd/>
              <w:rPr>
                <w:color w:val="auto"/>
              </w:rPr>
            </w:pPr>
            <w:r>
              <w:rPr>
                <w:rFonts w:hint="eastAsia"/>
                <w:color w:val="auto"/>
              </w:rPr>
              <w:t>一</w:t>
            </w:r>
          </w:p>
        </w:tc>
      </w:tr>
      <w:tr w14:paraId="33368B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78D5315E">
            <w:pPr>
              <w:pStyle w:val="27"/>
              <w:snapToGrid w:val="0"/>
              <w:rPr>
                <w:color w:val="auto"/>
              </w:rPr>
            </w:pPr>
          </w:p>
        </w:tc>
        <w:tc>
          <w:tcPr>
            <w:tcW w:w="977" w:type="pct"/>
            <w:gridSpan w:val="2"/>
            <w:vMerge w:val="restart"/>
            <w:vAlign w:val="center"/>
          </w:tcPr>
          <w:p w14:paraId="2F06DD29">
            <w:pPr>
              <w:pStyle w:val="27"/>
              <w:snapToGrid w:val="0"/>
              <w:rPr>
                <w:color w:val="auto"/>
              </w:rPr>
            </w:pPr>
            <w:r>
              <w:rPr>
                <w:rFonts w:hint="eastAsia"/>
                <w:color w:val="auto"/>
              </w:rPr>
              <w:t>模块化现浇</w:t>
            </w:r>
          </w:p>
          <w:p w14:paraId="21E801DC">
            <w:pPr>
              <w:pStyle w:val="27"/>
              <w:snapToGrid w:val="0"/>
              <w:rPr>
                <w:color w:val="auto"/>
              </w:rPr>
            </w:pPr>
            <w:r>
              <w:rPr>
                <w:rFonts w:hint="eastAsia"/>
                <w:color w:val="auto"/>
              </w:rPr>
              <w:t>剪力墙结构</w:t>
            </w:r>
          </w:p>
        </w:tc>
        <w:tc>
          <w:tcPr>
            <w:tcW w:w="432" w:type="pct"/>
            <w:vMerge w:val="restart"/>
            <w:shd w:val="clear" w:color="auto" w:fill="auto"/>
            <w:vAlign w:val="center"/>
          </w:tcPr>
          <w:p w14:paraId="76919F47">
            <w:pPr>
              <w:pStyle w:val="27"/>
              <w:snapToGrid w:val="0"/>
              <w:rPr>
                <w:color w:val="auto"/>
              </w:rPr>
            </w:pPr>
            <w:r>
              <w:rPr>
                <w:rFonts w:hint="eastAsia"/>
                <w:color w:val="auto"/>
              </w:rPr>
              <w:t>全部落地剪力墙</w:t>
            </w:r>
          </w:p>
        </w:tc>
        <w:tc>
          <w:tcPr>
            <w:tcW w:w="485" w:type="pct"/>
            <w:gridSpan w:val="3"/>
            <w:shd w:val="clear" w:color="auto" w:fill="auto"/>
            <w:vAlign w:val="center"/>
          </w:tcPr>
          <w:p w14:paraId="1E0832AF">
            <w:pPr>
              <w:pStyle w:val="27"/>
              <w:snapToGrid w:val="0"/>
              <w:rPr>
                <w:color w:val="auto"/>
              </w:rPr>
            </w:pPr>
            <w:r>
              <w:rPr>
                <w:rFonts w:hint="eastAsia"/>
                <w:color w:val="auto"/>
              </w:rPr>
              <w:t>高度</w:t>
            </w:r>
          </w:p>
        </w:tc>
        <w:tc>
          <w:tcPr>
            <w:tcW w:w="311" w:type="pct"/>
            <w:shd w:val="clear" w:color="auto" w:fill="auto"/>
            <w:vAlign w:val="center"/>
          </w:tcPr>
          <w:p w14:paraId="5110A677">
            <w:pPr>
              <w:pStyle w:val="27"/>
              <w:adjustRightInd/>
              <w:rPr>
                <w:color w:val="auto"/>
              </w:rPr>
            </w:pPr>
            <w:r>
              <w:rPr>
                <w:color w:val="auto"/>
              </w:rPr>
              <w:t>≤80</w:t>
            </w:r>
          </w:p>
        </w:tc>
        <w:tc>
          <w:tcPr>
            <w:tcW w:w="318" w:type="pct"/>
            <w:gridSpan w:val="2"/>
            <w:shd w:val="clear" w:color="auto" w:fill="auto"/>
            <w:vAlign w:val="center"/>
          </w:tcPr>
          <w:p w14:paraId="70B9C136">
            <w:pPr>
              <w:pStyle w:val="27"/>
              <w:adjustRightInd/>
              <w:rPr>
                <w:color w:val="auto"/>
              </w:rPr>
            </w:pPr>
            <w:r>
              <w:rPr>
                <w:color w:val="auto"/>
              </w:rPr>
              <w:t>＞80</w:t>
            </w:r>
          </w:p>
        </w:tc>
        <w:tc>
          <w:tcPr>
            <w:tcW w:w="307" w:type="pct"/>
            <w:gridSpan w:val="2"/>
            <w:shd w:val="clear" w:color="auto" w:fill="auto"/>
            <w:vAlign w:val="center"/>
          </w:tcPr>
          <w:p w14:paraId="5EC3A0B1">
            <w:pPr>
              <w:pStyle w:val="27"/>
              <w:adjustRightInd/>
              <w:rPr>
                <w:color w:val="auto"/>
              </w:rPr>
            </w:pPr>
            <w:r>
              <w:rPr>
                <w:color w:val="auto"/>
              </w:rPr>
              <w:t>≤24</w:t>
            </w:r>
          </w:p>
        </w:tc>
        <w:tc>
          <w:tcPr>
            <w:tcW w:w="333" w:type="pct"/>
            <w:gridSpan w:val="2"/>
            <w:shd w:val="clear" w:color="auto" w:fill="auto"/>
            <w:vAlign w:val="center"/>
          </w:tcPr>
          <w:p w14:paraId="2FF526C2">
            <w:pPr>
              <w:pStyle w:val="27"/>
              <w:adjustRightInd/>
              <w:rPr>
                <w:color w:val="auto"/>
              </w:rPr>
            </w:pPr>
            <w:r>
              <w:rPr>
                <w:rFonts w:hint="eastAsia"/>
                <w:color w:val="auto"/>
              </w:rPr>
              <w:t>&gt;24且</w:t>
            </w:r>
            <w:r>
              <w:rPr>
                <w:color w:val="auto"/>
              </w:rPr>
              <w:t>≤</w:t>
            </w:r>
            <w:r>
              <w:rPr>
                <w:rFonts w:hint="eastAsia"/>
                <w:color w:val="auto"/>
              </w:rPr>
              <w:t>80</w:t>
            </w:r>
          </w:p>
        </w:tc>
        <w:tc>
          <w:tcPr>
            <w:tcW w:w="299" w:type="pct"/>
            <w:shd w:val="clear" w:color="auto" w:fill="auto"/>
            <w:vAlign w:val="center"/>
          </w:tcPr>
          <w:p w14:paraId="3E0A9F9D">
            <w:pPr>
              <w:pStyle w:val="27"/>
              <w:adjustRightInd/>
              <w:rPr>
                <w:color w:val="auto"/>
              </w:rPr>
            </w:pPr>
            <w:r>
              <w:rPr>
                <w:color w:val="auto"/>
              </w:rPr>
              <w:t>＞80</w:t>
            </w:r>
          </w:p>
        </w:tc>
        <w:tc>
          <w:tcPr>
            <w:tcW w:w="340" w:type="pct"/>
            <w:gridSpan w:val="2"/>
            <w:shd w:val="clear" w:color="auto" w:fill="auto"/>
            <w:vAlign w:val="center"/>
          </w:tcPr>
          <w:p w14:paraId="7BC9BD75">
            <w:pPr>
              <w:pStyle w:val="27"/>
              <w:adjustRightInd/>
              <w:rPr>
                <w:color w:val="auto"/>
              </w:rPr>
            </w:pPr>
            <w:r>
              <w:rPr>
                <w:color w:val="auto"/>
              </w:rPr>
              <w:t>≤24</w:t>
            </w:r>
          </w:p>
        </w:tc>
        <w:tc>
          <w:tcPr>
            <w:tcW w:w="348" w:type="pct"/>
            <w:gridSpan w:val="5"/>
            <w:shd w:val="clear" w:color="auto" w:fill="auto"/>
            <w:vAlign w:val="center"/>
          </w:tcPr>
          <w:p w14:paraId="22FCFA68">
            <w:pPr>
              <w:pStyle w:val="27"/>
              <w:adjustRightInd/>
              <w:rPr>
                <w:color w:val="auto"/>
              </w:rPr>
            </w:pPr>
            <w:r>
              <w:rPr>
                <w:rFonts w:hint="eastAsia"/>
                <w:color w:val="auto"/>
              </w:rPr>
              <w:t>&gt;24且</w:t>
            </w:r>
            <w:r>
              <w:rPr>
                <w:color w:val="auto"/>
              </w:rPr>
              <w:t>≤</w:t>
            </w:r>
            <w:r>
              <w:rPr>
                <w:rFonts w:hint="eastAsia"/>
                <w:color w:val="auto"/>
              </w:rPr>
              <w:t>80</w:t>
            </w:r>
          </w:p>
        </w:tc>
        <w:tc>
          <w:tcPr>
            <w:tcW w:w="404" w:type="pct"/>
            <w:shd w:val="clear" w:color="auto" w:fill="auto"/>
            <w:vAlign w:val="center"/>
          </w:tcPr>
          <w:p w14:paraId="3D0F6B78">
            <w:pPr>
              <w:pStyle w:val="27"/>
              <w:adjustRightInd/>
              <w:rPr>
                <w:color w:val="auto"/>
              </w:rPr>
            </w:pPr>
            <w:r>
              <w:rPr>
                <w:rFonts w:hint="eastAsia"/>
                <w:color w:val="auto"/>
              </w:rPr>
              <w:t>＞</w:t>
            </w:r>
            <w:r>
              <w:rPr>
                <w:color w:val="auto"/>
              </w:rPr>
              <w:t>80</w:t>
            </w:r>
          </w:p>
        </w:tc>
      </w:tr>
      <w:tr w14:paraId="0E8F69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4CC5EE8D">
            <w:pPr>
              <w:pStyle w:val="27"/>
              <w:snapToGrid w:val="0"/>
              <w:rPr>
                <w:color w:val="auto"/>
              </w:rPr>
            </w:pPr>
          </w:p>
        </w:tc>
        <w:tc>
          <w:tcPr>
            <w:tcW w:w="977" w:type="pct"/>
            <w:gridSpan w:val="2"/>
            <w:vMerge w:val="continue"/>
            <w:vAlign w:val="center"/>
          </w:tcPr>
          <w:p w14:paraId="49C4A28A">
            <w:pPr>
              <w:pStyle w:val="27"/>
              <w:snapToGrid w:val="0"/>
              <w:rPr>
                <w:color w:val="auto"/>
              </w:rPr>
            </w:pPr>
          </w:p>
        </w:tc>
        <w:tc>
          <w:tcPr>
            <w:tcW w:w="432" w:type="pct"/>
            <w:vMerge w:val="continue"/>
            <w:shd w:val="clear" w:color="auto" w:fill="auto"/>
            <w:vAlign w:val="center"/>
          </w:tcPr>
          <w:p w14:paraId="398B2809">
            <w:pPr>
              <w:pStyle w:val="27"/>
              <w:snapToGrid w:val="0"/>
              <w:rPr>
                <w:color w:val="auto"/>
              </w:rPr>
            </w:pPr>
          </w:p>
        </w:tc>
        <w:tc>
          <w:tcPr>
            <w:tcW w:w="485" w:type="pct"/>
            <w:gridSpan w:val="3"/>
            <w:shd w:val="clear" w:color="auto" w:fill="auto"/>
            <w:vAlign w:val="center"/>
          </w:tcPr>
          <w:p w14:paraId="745F3FF8">
            <w:pPr>
              <w:pStyle w:val="27"/>
              <w:snapToGrid w:val="0"/>
              <w:rPr>
                <w:color w:val="auto"/>
              </w:rPr>
            </w:pPr>
            <w:r>
              <w:rPr>
                <w:rFonts w:hint="eastAsia"/>
                <w:color w:val="auto"/>
              </w:rPr>
              <w:t>剪力墙</w:t>
            </w:r>
          </w:p>
        </w:tc>
        <w:tc>
          <w:tcPr>
            <w:tcW w:w="311" w:type="pct"/>
            <w:shd w:val="clear" w:color="auto" w:fill="auto"/>
            <w:vAlign w:val="center"/>
          </w:tcPr>
          <w:p w14:paraId="771B5329">
            <w:pPr>
              <w:pStyle w:val="27"/>
              <w:adjustRightInd/>
              <w:rPr>
                <w:color w:val="auto"/>
              </w:rPr>
            </w:pPr>
            <w:r>
              <w:rPr>
                <w:color w:val="auto"/>
              </w:rPr>
              <w:t>四</w:t>
            </w:r>
          </w:p>
        </w:tc>
        <w:tc>
          <w:tcPr>
            <w:tcW w:w="318" w:type="pct"/>
            <w:gridSpan w:val="2"/>
            <w:shd w:val="clear" w:color="auto" w:fill="auto"/>
            <w:vAlign w:val="center"/>
          </w:tcPr>
          <w:p w14:paraId="27FE2EA9">
            <w:pPr>
              <w:pStyle w:val="27"/>
              <w:adjustRightInd/>
              <w:rPr>
                <w:color w:val="auto"/>
              </w:rPr>
            </w:pPr>
            <w:r>
              <w:rPr>
                <w:color w:val="auto"/>
              </w:rPr>
              <w:t>三</w:t>
            </w:r>
          </w:p>
        </w:tc>
        <w:tc>
          <w:tcPr>
            <w:tcW w:w="307" w:type="pct"/>
            <w:gridSpan w:val="2"/>
            <w:shd w:val="clear" w:color="auto" w:fill="auto"/>
            <w:vAlign w:val="center"/>
          </w:tcPr>
          <w:p w14:paraId="3444048B">
            <w:pPr>
              <w:pStyle w:val="27"/>
              <w:adjustRightInd/>
              <w:rPr>
                <w:color w:val="auto"/>
              </w:rPr>
            </w:pPr>
            <w:r>
              <w:rPr>
                <w:color w:val="auto"/>
              </w:rPr>
              <w:t>四</w:t>
            </w:r>
          </w:p>
        </w:tc>
        <w:tc>
          <w:tcPr>
            <w:tcW w:w="333" w:type="pct"/>
            <w:gridSpan w:val="2"/>
            <w:shd w:val="clear" w:color="auto" w:fill="auto"/>
            <w:vAlign w:val="center"/>
          </w:tcPr>
          <w:p w14:paraId="7E7FA7B5">
            <w:pPr>
              <w:pStyle w:val="27"/>
              <w:adjustRightInd/>
              <w:rPr>
                <w:color w:val="auto"/>
              </w:rPr>
            </w:pPr>
            <w:r>
              <w:rPr>
                <w:color w:val="auto"/>
              </w:rPr>
              <w:t>三</w:t>
            </w:r>
          </w:p>
        </w:tc>
        <w:tc>
          <w:tcPr>
            <w:tcW w:w="299" w:type="pct"/>
            <w:shd w:val="clear" w:color="auto" w:fill="auto"/>
            <w:vAlign w:val="center"/>
          </w:tcPr>
          <w:p w14:paraId="7E9E4FF5">
            <w:pPr>
              <w:pStyle w:val="27"/>
              <w:adjustRightInd/>
              <w:rPr>
                <w:color w:val="auto"/>
              </w:rPr>
            </w:pPr>
            <w:r>
              <w:rPr>
                <w:color w:val="auto"/>
              </w:rPr>
              <w:t>二</w:t>
            </w:r>
          </w:p>
        </w:tc>
        <w:tc>
          <w:tcPr>
            <w:tcW w:w="340" w:type="pct"/>
            <w:gridSpan w:val="2"/>
            <w:shd w:val="clear" w:color="auto" w:fill="auto"/>
            <w:vAlign w:val="center"/>
          </w:tcPr>
          <w:p w14:paraId="08EE0CCB">
            <w:pPr>
              <w:pStyle w:val="27"/>
              <w:adjustRightInd/>
              <w:rPr>
                <w:color w:val="auto"/>
              </w:rPr>
            </w:pPr>
            <w:r>
              <w:rPr>
                <w:rFonts w:hint="eastAsia"/>
                <w:color w:val="auto"/>
              </w:rPr>
              <w:t>三</w:t>
            </w:r>
          </w:p>
        </w:tc>
        <w:tc>
          <w:tcPr>
            <w:tcW w:w="337" w:type="pct"/>
            <w:gridSpan w:val="4"/>
            <w:shd w:val="clear" w:color="auto" w:fill="auto"/>
            <w:vAlign w:val="center"/>
          </w:tcPr>
          <w:p w14:paraId="09C4CCEA">
            <w:pPr>
              <w:pStyle w:val="27"/>
              <w:adjustRightInd/>
              <w:rPr>
                <w:color w:val="auto"/>
              </w:rPr>
            </w:pPr>
            <w:r>
              <w:rPr>
                <w:rFonts w:hint="eastAsia"/>
                <w:color w:val="auto"/>
              </w:rPr>
              <w:t>二</w:t>
            </w:r>
          </w:p>
        </w:tc>
        <w:tc>
          <w:tcPr>
            <w:tcW w:w="415" w:type="pct"/>
            <w:gridSpan w:val="2"/>
            <w:shd w:val="clear" w:color="auto" w:fill="auto"/>
            <w:vAlign w:val="center"/>
          </w:tcPr>
          <w:p w14:paraId="0F27F9C7">
            <w:pPr>
              <w:pStyle w:val="27"/>
              <w:adjustRightInd/>
              <w:rPr>
                <w:color w:val="auto"/>
              </w:rPr>
            </w:pPr>
            <w:r>
              <w:rPr>
                <w:rFonts w:hint="eastAsia"/>
                <w:color w:val="auto"/>
              </w:rPr>
              <w:t>一</w:t>
            </w:r>
          </w:p>
        </w:tc>
      </w:tr>
      <w:tr w14:paraId="1C2923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315BFB78">
            <w:pPr>
              <w:pStyle w:val="27"/>
              <w:snapToGrid w:val="0"/>
              <w:rPr>
                <w:color w:val="auto"/>
              </w:rPr>
            </w:pPr>
          </w:p>
        </w:tc>
        <w:tc>
          <w:tcPr>
            <w:tcW w:w="977" w:type="pct"/>
            <w:gridSpan w:val="2"/>
            <w:vMerge w:val="continue"/>
            <w:vAlign w:val="center"/>
          </w:tcPr>
          <w:p w14:paraId="5FCDC40E">
            <w:pPr>
              <w:pStyle w:val="27"/>
              <w:snapToGrid w:val="0"/>
              <w:rPr>
                <w:color w:val="auto"/>
              </w:rPr>
            </w:pPr>
          </w:p>
        </w:tc>
        <w:tc>
          <w:tcPr>
            <w:tcW w:w="432" w:type="pct"/>
            <w:vMerge w:val="restart"/>
            <w:shd w:val="clear" w:color="auto" w:fill="auto"/>
            <w:vAlign w:val="center"/>
          </w:tcPr>
          <w:p w14:paraId="6AD98BE6">
            <w:pPr>
              <w:pStyle w:val="27"/>
              <w:snapToGrid w:val="0"/>
              <w:rPr>
                <w:color w:val="auto"/>
              </w:rPr>
            </w:pPr>
            <w:r>
              <w:rPr>
                <w:rFonts w:hint="eastAsia"/>
                <w:color w:val="auto"/>
              </w:rPr>
              <w:t>部分框支剪力墙</w:t>
            </w:r>
          </w:p>
        </w:tc>
        <w:tc>
          <w:tcPr>
            <w:tcW w:w="485" w:type="pct"/>
            <w:gridSpan w:val="3"/>
            <w:shd w:val="clear" w:color="auto" w:fill="auto"/>
            <w:vAlign w:val="center"/>
          </w:tcPr>
          <w:p w14:paraId="6AD994DE">
            <w:pPr>
              <w:pStyle w:val="27"/>
              <w:snapToGrid w:val="0"/>
              <w:rPr>
                <w:color w:val="auto"/>
              </w:rPr>
            </w:pPr>
            <w:r>
              <w:rPr>
                <w:rFonts w:hint="eastAsia"/>
                <w:color w:val="auto"/>
              </w:rPr>
              <w:t>高度</w:t>
            </w:r>
          </w:p>
        </w:tc>
        <w:tc>
          <w:tcPr>
            <w:tcW w:w="311" w:type="pct"/>
            <w:shd w:val="clear" w:color="auto" w:fill="auto"/>
            <w:vAlign w:val="center"/>
          </w:tcPr>
          <w:p w14:paraId="623B9EF7">
            <w:pPr>
              <w:pStyle w:val="27"/>
              <w:adjustRightInd/>
              <w:rPr>
                <w:color w:val="auto"/>
              </w:rPr>
            </w:pPr>
            <w:r>
              <w:rPr>
                <w:color w:val="auto"/>
              </w:rPr>
              <w:t>≤80</w:t>
            </w:r>
          </w:p>
        </w:tc>
        <w:tc>
          <w:tcPr>
            <w:tcW w:w="318" w:type="pct"/>
            <w:gridSpan w:val="2"/>
            <w:shd w:val="clear" w:color="auto" w:fill="auto"/>
            <w:vAlign w:val="center"/>
          </w:tcPr>
          <w:p w14:paraId="24C16A2A">
            <w:pPr>
              <w:pStyle w:val="27"/>
              <w:adjustRightInd/>
              <w:rPr>
                <w:color w:val="auto"/>
              </w:rPr>
            </w:pPr>
            <w:r>
              <w:rPr>
                <w:color w:val="auto"/>
              </w:rPr>
              <w:t>＞80</w:t>
            </w:r>
          </w:p>
        </w:tc>
        <w:tc>
          <w:tcPr>
            <w:tcW w:w="307" w:type="pct"/>
            <w:gridSpan w:val="2"/>
            <w:shd w:val="clear" w:color="auto" w:fill="auto"/>
            <w:vAlign w:val="center"/>
          </w:tcPr>
          <w:p w14:paraId="2DBBFFF8">
            <w:pPr>
              <w:pStyle w:val="27"/>
              <w:adjustRightInd/>
              <w:rPr>
                <w:color w:val="auto"/>
              </w:rPr>
            </w:pPr>
            <w:r>
              <w:rPr>
                <w:color w:val="auto"/>
              </w:rPr>
              <w:t>≤24</w:t>
            </w:r>
          </w:p>
        </w:tc>
        <w:tc>
          <w:tcPr>
            <w:tcW w:w="333" w:type="pct"/>
            <w:gridSpan w:val="2"/>
            <w:shd w:val="clear" w:color="auto" w:fill="auto"/>
            <w:vAlign w:val="center"/>
          </w:tcPr>
          <w:p w14:paraId="3502D4E0">
            <w:pPr>
              <w:pStyle w:val="27"/>
              <w:adjustRightInd/>
              <w:rPr>
                <w:color w:val="auto"/>
              </w:rPr>
            </w:pPr>
            <w:r>
              <w:rPr>
                <w:rFonts w:hint="eastAsia"/>
                <w:color w:val="auto"/>
              </w:rPr>
              <w:t>&gt;24且</w:t>
            </w:r>
            <w:r>
              <w:rPr>
                <w:color w:val="auto"/>
              </w:rPr>
              <w:t>≤</w:t>
            </w:r>
            <w:r>
              <w:rPr>
                <w:rFonts w:hint="eastAsia"/>
                <w:color w:val="auto"/>
              </w:rPr>
              <w:t>80</w:t>
            </w:r>
          </w:p>
        </w:tc>
        <w:tc>
          <w:tcPr>
            <w:tcW w:w="299" w:type="pct"/>
            <w:shd w:val="clear" w:color="auto" w:fill="auto"/>
            <w:vAlign w:val="center"/>
          </w:tcPr>
          <w:p w14:paraId="1F7188F2">
            <w:pPr>
              <w:pStyle w:val="27"/>
              <w:adjustRightInd/>
              <w:rPr>
                <w:color w:val="auto"/>
              </w:rPr>
            </w:pPr>
            <w:r>
              <w:rPr>
                <w:color w:val="auto"/>
              </w:rPr>
              <w:t>＞80</w:t>
            </w:r>
          </w:p>
        </w:tc>
        <w:tc>
          <w:tcPr>
            <w:tcW w:w="340" w:type="pct"/>
            <w:gridSpan w:val="2"/>
            <w:shd w:val="clear" w:color="auto" w:fill="auto"/>
            <w:vAlign w:val="center"/>
          </w:tcPr>
          <w:p w14:paraId="5B314470">
            <w:pPr>
              <w:pStyle w:val="27"/>
              <w:adjustRightInd/>
              <w:rPr>
                <w:color w:val="auto"/>
              </w:rPr>
            </w:pPr>
            <w:r>
              <w:rPr>
                <w:color w:val="auto"/>
              </w:rPr>
              <w:t>≤24</w:t>
            </w:r>
          </w:p>
        </w:tc>
        <w:tc>
          <w:tcPr>
            <w:tcW w:w="337" w:type="pct"/>
            <w:gridSpan w:val="4"/>
            <w:shd w:val="clear" w:color="auto" w:fill="auto"/>
            <w:vAlign w:val="center"/>
          </w:tcPr>
          <w:p w14:paraId="27A3B308">
            <w:pPr>
              <w:pStyle w:val="27"/>
              <w:adjustRightInd/>
              <w:rPr>
                <w:color w:val="auto"/>
              </w:rPr>
            </w:pPr>
            <w:r>
              <w:rPr>
                <w:rFonts w:hint="eastAsia"/>
                <w:color w:val="auto"/>
              </w:rPr>
              <w:t>&gt;24且</w:t>
            </w:r>
            <w:r>
              <w:rPr>
                <w:color w:val="auto"/>
              </w:rPr>
              <w:t>≤</w:t>
            </w:r>
            <w:r>
              <w:rPr>
                <w:rFonts w:hint="eastAsia"/>
                <w:color w:val="auto"/>
              </w:rPr>
              <w:t>80</w:t>
            </w:r>
          </w:p>
        </w:tc>
        <w:tc>
          <w:tcPr>
            <w:tcW w:w="415" w:type="pct"/>
            <w:gridSpan w:val="2"/>
            <w:vMerge w:val="restart"/>
            <w:shd w:val="clear" w:color="auto" w:fill="auto"/>
            <w:vAlign w:val="center"/>
          </w:tcPr>
          <w:p w14:paraId="7C994769">
            <w:pPr>
              <w:pStyle w:val="27"/>
              <w:snapToGrid w:val="0"/>
              <w:rPr>
                <w:color w:val="auto"/>
              </w:rPr>
            </w:pPr>
            <w:r>
              <w:rPr>
                <w:rFonts w:hint="eastAsia"/>
                <w:color w:val="auto"/>
              </w:rPr>
              <w:t>/</w:t>
            </w:r>
          </w:p>
        </w:tc>
      </w:tr>
      <w:tr w14:paraId="1C35BF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013884E3">
            <w:pPr>
              <w:pStyle w:val="27"/>
              <w:snapToGrid w:val="0"/>
              <w:rPr>
                <w:color w:val="auto"/>
              </w:rPr>
            </w:pPr>
          </w:p>
        </w:tc>
        <w:tc>
          <w:tcPr>
            <w:tcW w:w="977" w:type="pct"/>
            <w:gridSpan w:val="2"/>
            <w:vMerge w:val="continue"/>
            <w:vAlign w:val="center"/>
          </w:tcPr>
          <w:p w14:paraId="54FF1AB1">
            <w:pPr>
              <w:pStyle w:val="27"/>
              <w:snapToGrid w:val="0"/>
              <w:rPr>
                <w:color w:val="auto"/>
              </w:rPr>
            </w:pPr>
          </w:p>
        </w:tc>
        <w:tc>
          <w:tcPr>
            <w:tcW w:w="432" w:type="pct"/>
            <w:vMerge w:val="continue"/>
            <w:shd w:val="clear" w:color="auto" w:fill="auto"/>
            <w:vAlign w:val="center"/>
          </w:tcPr>
          <w:p w14:paraId="5DCB5E2B">
            <w:pPr>
              <w:pStyle w:val="27"/>
              <w:snapToGrid w:val="0"/>
              <w:rPr>
                <w:color w:val="auto"/>
              </w:rPr>
            </w:pPr>
          </w:p>
        </w:tc>
        <w:tc>
          <w:tcPr>
            <w:tcW w:w="485" w:type="pct"/>
            <w:gridSpan w:val="3"/>
            <w:shd w:val="clear" w:color="auto" w:fill="auto"/>
            <w:vAlign w:val="center"/>
          </w:tcPr>
          <w:p w14:paraId="05F20F0A">
            <w:pPr>
              <w:pStyle w:val="27"/>
              <w:snapToGrid w:val="0"/>
              <w:rPr>
                <w:color w:val="auto"/>
              </w:rPr>
            </w:pPr>
            <w:r>
              <w:rPr>
                <w:rFonts w:hint="eastAsia"/>
                <w:color w:val="auto"/>
              </w:rPr>
              <w:t>框支</w:t>
            </w:r>
          </w:p>
          <w:p w14:paraId="0CB7D8F9">
            <w:pPr>
              <w:pStyle w:val="27"/>
              <w:snapToGrid w:val="0"/>
              <w:rPr>
                <w:color w:val="auto"/>
              </w:rPr>
            </w:pPr>
            <w:r>
              <w:rPr>
                <w:rFonts w:hint="eastAsia"/>
                <w:color w:val="auto"/>
              </w:rPr>
              <w:t>框架</w:t>
            </w:r>
          </w:p>
        </w:tc>
        <w:tc>
          <w:tcPr>
            <w:tcW w:w="629" w:type="pct"/>
            <w:gridSpan w:val="3"/>
            <w:shd w:val="clear" w:color="auto" w:fill="auto"/>
            <w:vAlign w:val="center"/>
          </w:tcPr>
          <w:p w14:paraId="74819457">
            <w:pPr>
              <w:pStyle w:val="27"/>
              <w:snapToGrid w:val="0"/>
              <w:rPr>
                <w:color w:val="auto"/>
              </w:rPr>
            </w:pPr>
            <w:r>
              <w:rPr>
                <w:rFonts w:hint="eastAsia"/>
                <w:color w:val="auto"/>
              </w:rPr>
              <w:t>二</w:t>
            </w:r>
          </w:p>
        </w:tc>
        <w:tc>
          <w:tcPr>
            <w:tcW w:w="640" w:type="pct"/>
            <w:gridSpan w:val="4"/>
            <w:shd w:val="clear" w:color="auto" w:fill="auto"/>
            <w:vAlign w:val="center"/>
          </w:tcPr>
          <w:p w14:paraId="0C573C2D">
            <w:pPr>
              <w:pStyle w:val="27"/>
              <w:snapToGrid w:val="0"/>
              <w:rPr>
                <w:color w:val="auto"/>
              </w:rPr>
            </w:pPr>
            <w:r>
              <w:rPr>
                <w:rFonts w:hint="eastAsia"/>
                <w:color w:val="auto"/>
              </w:rPr>
              <w:t>二</w:t>
            </w:r>
          </w:p>
        </w:tc>
        <w:tc>
          <w:tcPr>
            <w:tcW w:w="299" w:type="pct"/>
            <w:shd w:val="clear" w:color="auto" w:fill="auto"/>
            <w:vAlign w:val="center"/>
          </w:tcPr>
          <w:p w14:paraId="76C2000F">
            <w:pPr>
              <w:pStyle w:val="27"/>
              <w:snapToGrid w:val="0"/>
              <w:rPr>
                <w:color w:val="auto"/>
              </w:rPr>
            </w:pPr>
            <w:r>
              <w:rPr>
                <w:rFonts w:hint="eastAsia"/>
                <w:color w:val="auto"/>
              </w:rPr>
              <w:t>一</w:t>
            </w:r>
          </w:p>
        </w:tc>
        <w:tc>
          <w:tcPr>
            <w:tcW w:w="677" w:type="pct"/>
            <w:gridSpan w:val="6"/>
            <w:shd w:val="clear" w:color="auto" w:fill="auto"/>
            <w:vAlign w:val="center"/>
          </w:tcPr>
          <w:p w14:paraId="0CF30E9D">
            <w:pPr>
              <w:pStyle w:val="27"/>
              <w:adjustRightInd/>
              <w:rPr>
                <w:color w:val="auto"/>
              </w:rPr>
            </w:pPr>
            <w:r>
              <w:rPr>
                <w:rFonts w:hint="eastAsia"/>
                <w:color w:val="auto"/>
              </w:rPr>
              <w:t>一</w:t>
            </w:r>
          </w:p>
        </w:tc>
        <w:tc>
          <w:tcPr>
            <w:tcW w:w="415" w:type="pct"/>
            <w:gridSpan w:val="2"/>
            <w:vMerge w:val="continue"/>
            <w:shd w:val="clear" w:color="auto" w:fill="auto"/>
            <w:vAlign w:val="center"/>
          </w:tcPr>
          <w:p w14:paraId="11593C31">
            <w:pPr>
              <w:pStyle w:val="27"/>
              <w:snapToGrid w:val="0"/>
              <w:rPr>
                <w:color w:val="auto"/>
              </w:rPr>
            </w:pPr>
          </w:p>
        </w:tc>
      </w:tr>
      <w:tr w14:paraId="5D304D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3C393414">
            <w:pPr>
              <w:pStyle w:val="27"/>
              <w:snapToGrid w:val="0"/>
              <w:rPr>
                <w:color w:val="auto"/>
              </w:rPr>
            </w:pPr>
          </w:p>
        </w:tc>
        <w:tc>
          <w:tcPr>
            <w:tcW w:w="977" w:type="pct"/>
            <w:gridSpan w:val="2"/>
            <w:vMerge w:val="continue"/>
            <w:vAlign w:val="center"/>
          </w:tcPr>
          <w:p w14:paraId="20C5EDF6">
            <w:pPr>
              <w:pStyle w:val="27"/>
              <w:snapToGrid w:val="0"/>
              <w:rPr>
                <w:color w:val="auto"/>
              </w:rPr>
            </w:pPr>
          </w:p>
        </w:tc>
        <w:tc>
          <w:tcPr>
            <w:tcW w:w="432" w:type="pct"/>
            <w:vMerge w:val="continue"/>
            <w:shd w:val="clear" w:color="auto" w:fill="auto"/>
            <w:vAlign w:val="center"/>
          </w:tcPr>
          <w:p w14:paraId="51879DAF">
            <w:pPr>
              <w:pStyle w:val="27"/>
              <w:snapToGrid w:val="0"/>
              <w:rPr>
                <w:color w:val="auto"/>
              </w:rPr>
            </w:pPr>
          </w:p>
        </w:tc>
        <w:tc>
          <w:tcPr>
            <w:tcW w:w="209" w:type="pct"/>
            <w:gridSpan w:val="2"/>
            <w:vMerge w:val="restart"/>
            <w:shd w:val="clear" w:color="auto" w:fill="auto"/>
            <w:vAlign w:val="center"/>
          </w:tcPr>
          <w:p w14:paraId="31FFFE08">
            <w:pPr>
              <w:pStyle w:val="27"/>
              <w:snapToGrid w:val="0"/>
              <w:rPr>
                <w:color w:val="auto"/>
              </w:rPr>
            </w:pPr>
            <w:r>
              <w:rPr>
                <w:rFonts w:hint="eastAsia"/>
                <w:color w:val="auto"/>
              </w:rPr>
              <w:t>剪</w:t>
            </w:r>
          </w:p>
          <w:p w14:paraId="29F732EE">
            <w:pPr>
              <w:pStyle w:val="27"/>
              <w:snapToGrid w:val="0"/>
              <w:rPr>
                <w:color w:val="auto"/>
              </w:rPr>
            </w:pPr>
            <w:r>
              <w:rPr>
                <w:rFonts w:hint="eastAsia"/>
                <w:color w:val="auto"/>
              </w:rPr>
              <w:t>力</w:t>
            </w:r>
          </w:p>
          <w:p w14:paraId="52294487">
            <w:pPr>
              <w:pStyle w:val="27"/>
              <w:snapToGrid w:val="0"/>
              <w:rPr>
                <w:color w:val="auto"/>
              </w:rPr>
            </w:pPr>
            <w:r>
              <w:rPr>
                <w:rFonts w:hint="eastAsia"/>
                <w:color w:val="auto"/>
              </w:rPr>
              <w:t>墙</w:t>
            </w:r>
          </w:p>
        </w:tc>
        <w:tc>
          <w:tcPr>
            <w:tcW w:w="276" w:type="pct"/>
            <w:shd w:val="clear" w:color="auto" w:fill="auto"/>
            <w:vAlign w:val="center"/>
          </w:tcPr>
          <w:p w14:paraId="56D9DD0C">
            <w:pPr>
              <w:pStyle w:val="27"/>
              <w:snapToGrid w:val="0"/>
              <w:rPr>
                <w:color w:val="auto"/>
              </w:rPr>
            </w:pPr>
            <w:r>
              <w:rPr>
                <w:rFonts w:hint="eastAsia"/>
                <w:color w:val="auto"/>
              </w:rPr>
              <w:t>加强部位</w:t>
            </w:r>
          </w:p>
        </w:tc>
        <w:tc>
          <w:tcPr>
            <w:tcW w:w="311" w:type="pct"/>
            <w:shd w:val="clear" w:color="auto" w:fill="auto"/>
            <w:vAlign w:val="center"/>
          </w:tcPr>
          <w:p w14:paraId="5E694E76">
            <w:pPr>
              <w:pStyle w:val="27"/>
              <w:snapToGrid w:val="0"/>
              <w:rPr>
                <w:color w:val="auto"/>
              </w:rPr>
            </w:pPr>
            <w:r>
              <w:rPr>
                <w:rFonts w:hint="eastAsia"/>
                <w:color w:val="auto"/>
              </w:rPr>
              <w:t>三</w:t>
            </w:r>
          </w:p>
        </w:tc>
        <w:tc>
          <w:tcPr>
            <w:tcW w:w="318" w:type="pct"/>
            <w:gridSpan w:val="2"/>
            <w:shd w:val="clear" w:color="auto" w:fill="auto"/>
            <w:vAlign w:val="center"/>
          </w:tcPr>
          <w:p w14:paraId="37D481FC">
            <w:pPr>
              <w:pStyle w:val="27"/>
              <w:snapToGrid w:val="0"/>
              <w:rPr>
                <w:color w:val="auto"/>
              </w:rPr>
            </w:pPr>
            <w:r>
              <w:rPr>
                <w:rFonts w:hint="eastAsia"/>
                <w:color w:val="auto"/>
              </w:rPr>
              <w:t>二</w:t>
            </w:r>
          </w:p>
        </w:tc>
        <w:tc>
          <w:tcPr>
            <w:tcW w:w="307" w:type="pct"/>
            <w:gridSpan w:val="2"/>
            <w:shd w:val="clear" w:color="auto" w:fill="auto"/>
            <w:vAlign w:val="center"/>
          </w:tcPr>
          <w:p w14:paraId="770B3EFF">
            <w:pPr>
              <w:pStyle w:val="27"/>
              <w:snapToGrid w:val="0"/>
              <w:rPr>
                <w:color w:val="auto"/>
              </w:rPr>
            </w:pPr>
            <w:r>
              <w:rPr>
                <w:rFonts w:hint="eastAsia"/>
                <w:color w:val="auto"/>
              </w:rPr>
              <w:t>三</w:t>
            </w:r>
          </w:p>
        </w:tc>
        <w:tc>
          <w:tcPr>
            <w:tcW w:w="333" w:type="pct"/>
            <w:gridSpan w:val="2"/>
            <w:shd w:val="clear" w:color="auto" w:fill="auto"/>
            <w:vAlign w:val="center"/>
          </w:tcPr>
          <w:p w14:paraId="2CFD7572">
            <w:pPr>
              <w:pStyle w:val="27"/>
              <w:snapToGrid w:val="0"/>
              <w:rPr>
                <w:color w:val="auto"/>
              </w:rPr>
            </w:pPr>
            <w:r>
              <w:rPr>
                <w:rFonts w:hint="eastAsia"/>
                <w:color w:val="auto"/>
              </w:rPr>
              <w:t>二</w:t>
            </w:r>
          </w:p>
        </w:tc>
        <w:tc>
          <w:tcPr>
            <w:tcW w:w="299" w:type="pct"/>
            <w:shd w:val="clear" w:color="auto" w:fill="auto"/>
            <w:vAlign w:val="center"/>
          </w:tcPr>
          <w:p w14:paraId="19ADDB93">
            <w:pPr>
              <w:pStyle w:val="27"/>
              <w:snapToGrid w:val="0"/>
              <w:rPr>
                <w:color w:val="auto"/>
              </w:rPr>
            </w:pPr>
            <w:r>
              <w:rPr>
                <w:rFonts w:hint="eastAsia"/>
                <w:color w:val="auto"/>
              </w:rPr>
              <w:t>一</w:t>
            </w:r>
          </w:p>
        </w:tc>
        <w:tc>
          <w:tcPr>
            <w:tcW w:w="340" w:type="pct"/>
            <w:gridSpan w:val="2"/>
            <w:shd w:val="clear" w:color="auto" w:fill="auto"/>
            <w:vAlign w:val="center"/>
          </w:tcPr>
          <w:p w14:paraId="4622A83A">
            <w:pPr>
              <w:pStyle w:val="27"/>
              <w:snapToGrid w:val="0"/>
              <w:rPr>
                <w:color w:val="auto"/>
              </w:rPr>
            </w:pPr>
            <w:r>
              <w:rPr>
                <w:rFonts w:hint="eastAsia"/>
                <w:color w:val="auto"/>
              </w:rPr>
              <w:t>二</w:t>
            </w:r>
          </w:p>
        </w:tc>
        <w:tc>
          <w:tcPr>
            <w:tcW w:w="337" w:type="pct"/>
            <w:gridSpan w:val="4"/>
            <w:shd w:val="clear" w:color="auto" w:fill="auto"/>
            <w:vAlign w:val="center"/>
          </w:tcPr>
          <w:p w14:paraId="615E3812">
            <w:pPr>
              <w:pStyle w:val="27"/>
              <w:snapToGrid w:val="0"/>
              <w:rPr>
                <w:color w:val="auto"/>
              </w:rPr>
            </w:pPr>
            <w:r>
              <w:rPr>
                <w:rFonts w:hint="eastAsia"/>
                <w:color w:val="auto"/>
              </w:rPr>
              <w:t>一</w:t>
            </w:r>
          </w:p>
        </w:tc>
        <w:tc>
          <w:tcPr>
            <w:tcW w:w="415" w:type="pct"/>
            <w:gridSpan w:val="2"/>
            <w:vMerge w:val="continue"/>
            <w:shd w:val="clear" w:color="auto" w:fill="auto"/>
            <w:vAlign w:val="center"/>
          </w:tcPr>
          <w:p w14:paraId="254520AB">
            <w:pPr>
              <w:pStyle w:val="27"/>
              <w:snapToGrid w:val="0"/>
              <w:rPr>
                <w:color w:val="auto"/>
              </w:rPr>
            </w:pPr>
          </w:p>
        </w:tc>
      </w:tr>
      <w:tr w14:paraId="2D5C27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vAlign w:val="center"/>
          </w:tcPr>
          <w:p w14:paraId="65D57C57">
            <w:pPr>
              <w:pStyle w:val="27"/>
              <w:snapToGrid w:val="0"/>
              <w:rPr>
                <w:color w:val="auto"/>
              </w:rPr>
            </w:pPr>
          </w:p>
        </w:tc>
        <w:tc>
          <w:tcPr>
            <w:tcW w:w="977" w:type="pct"/>
            <w:gridSpan w:val="2"/>
            <w:vMerge w:val="continue"/>
            <w:vAlign w:val="center"/>
          </w:tcPr>
          <w:p w14:paraId="24FA9DB4">
            <w:pPr>
              <w:pStyle w:val="27"/>
              <w:snapToGrid w:val="0"/>
              <w:rPr>
                <w:color w:val="auto"/>
              </w:rPr>
            </w:pPr>
          </w:p>
        </w:tc>
        <w:tc>
          <w:tcPr>
            <w:tcW w:w="432" w:type="pct"/>
            <w:vMerge w:val="continue"/>
            <w:shd w:val="clear" w:color="auto" w:fill="auto"/>
            <w:vAlign w:val="center"/>
          </w:tcPr>
          <w:p w14:paraId="4AD03ADB">
            <w:pPr>
              <w:pStyle w:val="27"/>
              <w:snapToGrid w:val="0"/>
              <w:rPr>
                <w:color w:val="auto"/>
              </w:rPr>
            </w:pPr>
          </w:p>
        </w:tc>
        <w:tc>
          <w:tcPr>
            <w:tcW w:w="209" w:type="pct"/>
            <w:gridSpan w:val="2"/>
            <w:vMerge w:val="continue"/>
            <w:shd w:val="clear" w:color="auto" w:fill="auto"/>
            <w:vAlign w:val="center"/>
          </w:tcPr>
          <w:p w14:paraId="78262CF1">
            <w:pPr>
              <w:pStyle w:val="27"/>
              <w:snapToGrid w:val="0"/>
              <w:rPr>
                <w:color w:val="auto"/>
              </w:rPr>
            </w:pPr>
          </w:p>
        </w:tc>
        <w:tc>
          <w:tcPr>
            <w:tcW w:w="276" w:type="pct"/>
            <w:shd w:val="clear" w:color="auto" w:fill="auto"/>
            <w:vAlign w:val="center"/>
          </w:tcPr>
          <w:p w14:paraId="50825EA0">
            <w:pPr>
              <w:pStyle w:val="27"/>
              <w:snapToGrid w:val="0"/>
              <w:rPr>
                <w:color w:val="auto"/>
              </w:rPr>
            </w:pPr>
            <w:r>
              <w:rPr>
                <w:rFonts w:hint="eastAsia"/>
                <w:color w:val="auto"/>
              </w:rPr>
              <w:t>一般部位</w:t>
            </w:r>
          </w:p>
        </w:tc>
        <w:tc>
          <w:tcPr>
            <w:tcW w:w="311" w:type="pct"/>
            <w:shd w:val="clear" w:color="auto" w:fill="auto"/>
            <w:vAlign w:val="center"/>
          </w:tcPr>
          <w:p w14:paraId="346381B5">
            <w:pPr>
              <w:pStyle w:val="27"/>
              <w:snapToGrid w:val="0"/>
              <w:rPr>
                <w:color w:val="auto"/>
              </w:rPr>
            </w:pPr>
            <w:r>
              <w:rPr>
                <w:rFonts w:hint="eastAsia"/>
                <w:color w:val="auto"/>
              </w:rPr>
              <w:t>四</w:t>
            </w:r>
          </w:p>
        </w:tc>
        <w:tc>
          <w:tcPr>
            <w:tcW w:w="318" w:type="pct"/>
            <w:gridSpan w:val="2"/>
            <w:shd w:val="clear" w:color="auto" w:fill="auto"/>
            <w:vAlign w:val="center"/>
          </w:tcPr>
          <w:p w14:paraId="113F762D">
            <w:pPr>
              <w:pStyle w:val="27"/>
              <w:snapToGrid w:val="0"/>
              <w:rPr>
                <w:color w:val="auto"/>
              </w:rPr>
            </w:pPr>
            <w:r>
              <w:rPr>
                <w:rFonts w:hint="eastAsia"/>
                <w:color w:val="auto"/>
              </w:rPr>
              <w:t>三</w:t>
            </w:r>
          </w:p>
        </w:tc>
        <w:tc>
          <w:tcPr>
            <w:tcW w:w="307" w:type="pct"/>
            <w:gridSpan w:val="2"/>
            <w:shd w:val="clear" w:color="auto" w:fill="auto"/>
            <w:vAlign w:val="center"/>
          </w:tcPr>
          <w:p w14:paraId="4FA0CB34">
            <w:pPr>
              <w:pStyle w:val="27"/>
              <w:snapToGrid w:val="0"/>
              <w:rPr>
                <w:color w:val="auto"/>
              </w:rPr>
            </w:pPr>
            <w:r>
              <w:rPr>
                <w:rFonts w:hint="eastAsia"/>
                <w:color w:val="auto"/>
              </w:rPr>
              <w:t>四</w:t>
            </w:r>
          </w:p>
        </w:tc>
        <w:tc>
          <w:tcPr>
            <w:tcW w:w="333" w:type="pct"/>
            <w:gridSpan w:val="2"/>
            <w:shd w:val="clear" w:color="auto" w:fill="auto"/>
            <w:vAlign w:val="center"/>
          </w:tcPr>
          <w:p w14:paraId="2793BE8C">
            <w:pPr>
              <w:pStyle w:val="27"/>
              <w:snapToGrid w:val="0"/>
              <w:rPr>
                <w:color w:val="auto"/>
              </w:rPr>
            </w:pPr>
            <w:r>
              <w:rPr>
                <w:rFonts w:hint="eastAsia"/>
                <w:color w:val="auto"/>
              </w:rPr>
              <w:t>三</w:t>
            </w:r>
          </w:p>
        </w:tc>
        <w:tc>
          <w:tcPr>
            <w:tcW w:w="299" w:type="pct"/>
            <w:shd w:val="clear" w:color="auto" w:fill="auto"/>
            <w:vAlign w:val="center"/>
          </w:tcPr>
          <w:p w14:paraId="42F728F1">
            <w:pPr>
              <w:pStyle w:val="27"/>
              <w:snapToGrid w:val="0"/>
              <w:rPr>
                <w:color w:val="auto"/>
              </w:rPr>
            </w:pPr>
            <w:r>
              <w:rPr>
                <w:rFonts w:hint="eastAsia"/>
                <w:color w:val="auto"/>
              </w:rPr>
              <w:t>二</w:t>
            </w:r>
          </w:p>
        </w:tc>
        <w:tc>
          <w:tcPr>
            <w:tcW w:w="340" w:type="pct"/>
            <w:gridSpan w:val="2"/>
            <w:shd w:val="clear" w:color="auto" w:fill="auto"/>
            <w:vAlign w:val="center"/>
          </w:tcPr>
          <w:p w14:paraId="2BE4DF3B">
            <w:pPr>
              <w:pStyle w:val="27"/>
              <w:snapToGrid w:val="0"/>
              <w:rPr>
                <w:color w:val="auto"/>
              </w:rPr>
            </w:pPr>
            <w:r>
              <w:rPr>
                <w:rFonts w:hint="eastAsia"/>
                <w:color w:val="auto"/>
              </w:rPr>
              <w:t>三</w:t>
            </w:r>
          </w:p>
        </w:tc>
        <w:tc>
          <w:tcPr>
            <w:tcW w:w="337" w:type="pct"/>
            <w:gridSpan w:val="4"/>
            <w:shd w:val="clear" w:color="auto" w:fill="auto"/>
            <w:vAlign w:val="center"/>
          </w:tcPr>
          <w:p w14:paraId="09397D03">
            <w:pPr>
              <w:pStyle w:val="27"/>
              <w:snapToGrid w:val="0"/>
              <w:rPr>
                <w:color w:val="auto"/>
              </w:rPr>
            </w:pPr>
            <w:r>
              <w:rPr>
                <w:rFonts w:hint="eastAsia"/>
                <w:color w:val="auto"/>
              </w:rPr>
              <w:t>二</w:t>
            </w:r>
          </w:p>
        </w:tc>
        <w:tc>
          <w:tcPr>
            <w:tcW w:w="415" w:type="pct"/>
            <w:gridSpan w:val="2"/>
            <w:vMerge w:val="continue"/>
            <w:shd w:val="clear" w:color="auto" w:fill="auto"/>
            <w:vAlign w:val="center"/>
          </w:tcPr>
          <w:p w14:paraId="71F06FCC">
            <w:pPr>
              <w:pStyle w:val="27"/>
              <w:snapToGrid w:val="0"/>
              <w:rPr>
                <w:color w:val="auto"/>
              </w:rPr>
            </w:pPr>
          </w:p>
        </w:tc>
      </w:tr>
    </w:tbl>
    <w:p w14:paraId="2CC924F4">
      <w:pPr>
        <w:pStyle w:val="28"/>
        <w:ind w:firstLine="300" w:firstLineChars="200"/>
        <w:rPr>
          <w:color w:val="auto"/>
        </w:rPr>
      </w:pPr>
      <w:r>
        <w:rPr>
          <w:rFonts w:hint="eastAsia"/>
          <w:color w:val="auto"/>
        </w:rPr>
        <w:t>注：</w:t>
      </w:r>
      <w:r>
        <w:rPr>
          <w:color w:val="auto"/>
        </w:rPr>
        <w:t>房屋高度指室外地面的主要屋面板板顶高度（不包括局部突出屋顶各部分）</w:t>
      </w:r>
      <w:r>
        <w:rPr>
          <w:rFonts w:hint="eastAsia"/>
          <w:color w:val="auto"/>
        </w:rPr>
        <w:t>。</w:t>
      </w:r>
    </w:p>
    <w:p w14:paraId="62963EE1">
      <w:pPr>
        <w:numPr>
          <w:ilvl w:val="0"/>
          <w:numId w:val="12"/>
        </w:numPr>
        <w:spacing w:line="312" w:lineRule="auto"/>
        <w:rPr>
          <w:bCs/>
          <w:color w:val="auto"/>
        </w:rPr>
      </w:pPr>
      <w:r>
        <w:rPr>
          <w:rFonts w:hint="eastAsia"/>
          <w:bCs/>
          <w:color w:val="auto"/>
        </w:rPr>
        <w:t>模块化建筑的非结构构件和建筑附属设备应采取必要的抗震措施，并应考虑围护结构对结构抗震的不利影响。</w:t>
      </w:r>
    </w:p>
    <w:p w14:paraId="45C85DD2">
      <w:pPr>
        <w:pStyle w:val="33"/>
        <w:rPr>
          <w:color w:val="auto"/>
        </w:rPr>
      </w:pPr>
      <w:r>
        <w:rPr>
          <w:rFonts w:hint="eastAsia" w:ascii="楷体" w:hAnsi="楷体" w:cs="楷体"/>
          <w:color w:val="auto"/>
          <w:szCs w:val="21"/>
        </w:rPr>
        <w:t>【条文说明】</w:t>
      </w:r>
      <w:r>
        <w:rPr>
          <w:rFonts w:hint="eastAsia"/>
          <w:color w:val="auto"/>
        </w:rPr>
        <w:t>非结构构件包括建筑非结构构件和建筑附属机电设备，自身及其与结构主体的连接；非结构构件的地震破坏会影响安全和使用功能，需要引起重视，应进行抗震设计，避免不合理设置而导致主体结构的破坏。考虑围护结构的不利影响，是《建筑抗震设计标准》GB/T 50011中的强制性条文要求，强调围护墙、隔墙等非结构构件是否合理设置对主体结构的影响，以加强其抗震安全性。</w:t>
      </w:r>
    </w:p>
    <w:p w14:paraId="3D93E37B">
      <w:pPr>
        <w:numPr>
          <w:ilvl w:val="0"/>
          <w:numId w:val="12"/>
        </w:numPr>
        <w:spacing w:line="312" w:lineRule="auto"/>
        <w:rPr>
          <w:bCs/>
          <w:color w:val="auto"/>
        </w:rPr>
      </w:pPr>
      <w:r>
        <w:rPr>
          <w:rFonts w:hint="eastAsia"/>
          <w:bCs/>
          <w:color w:val="auto"/>
        </w:rPr>
        <w:t>模块化结构适用的最大高宽比宜符合表6.1.7的规定。</w:t>
      </w:r>
    </w:p>
    <w:p w14:paraId="1483146B">
      <w:pPr>
        <w:pStyle w:val="26"/>
        <w:rPr>
          <w:color w:val="auto"/>
        </w:rPr>
      </w:pPr>
    </w:p>
    <w:p w14:paraId="73C1E572">
      <w:pPr>
        <w:pStyle w:val="26"/>
        <w:rPr>
          <w:color w:val="auto"/>
        </w:rPr>
      </w:pPr>
      <w:r>
        <w:rPr>
          <w:color w:val="auto"/>
        </w:rPr>
        <w:t>表</w:t>
      </w:r>
      <w:r>
        <w:rPr>
          <w:b/>
          <w:color w:val="auto"/>
        </w:rPr>
        <w:t>6</w:t>
      </w:r>
      <w:r>
        <w:rPr>
          <w:rFonts w:ascii="宋体" w:hAnsi="宋体"/>
          <w:b/>
          <w:color w:val="auto"/>
        </w:rPr>
        <w:t>.</w:t>
      </w:r>
      <w:r>
        <w:rPr>
          <w:rFonts w:hint="eastAsia"/>
          <w:b/>
          <w:color w:val="auto"/>
        </w:rPr>
        <w:t>1</w:t>
      </w:r>
      <w:r>
        <w:rPr>
          <w:rFonts w:ascii="宋体" w:hAnsi="宋体"/>
          <w:b/>
          <w:color w:val="auto"/>
        </w:rPr>
        <w:t>.</w:t>
      </w:r>
      <w:r>
        <w:rPr>
          <w:rFonts w:hint="eastAsia"/>
          <w:b/>
          <w:color w:val="auto"/>
        </w:rPr>
        <w:t>7</w:t>
      </w:r>
      <w:r>
        <w:rPr>
          <w:color w:val="auto"/>
        </w:rPr>
        <w:t xml:space="preserve">  模块化结构适用的最大高宽比</w:t>
      </w:r>
    </w:p>
    <w:tbl>
      <w:tblPr>
        <w:tblStyle w:val="1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671"/>
        <w:gridCol w:w="2678"/>
        <w:gridCol w:w="1047"/>
        <w:gridCol w:w="1047"/>
        <w:gridCol w:w="1079"/>
      </w:tblGrid>
      <w:tr w14:paraId="3411B9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138" w:type="pct"/>
            <w:gridSpan w:val="2"/>
            <w:vMerge w:val="restart"/>
            <w:vAlign w:val="center"/>
          </w:tcPr>
          <w:p w14:paraId="07E9CD64">
            <w:pPr>
              <w:pStyle w:val="27"/>
              <w:rPr>
                <w:color w:val="auto"/>
              </w:rPr>
            </w:pPr>
            <w:r>
              <w:rPr>
                <w:color w:val="auto"/>
              </w:rPr>
              <w:t>结构类型</w:t>
            </w:r>
          </w:p>
        </w:tc>
        <w:tc>
          <w:tcPr>
            <w:tcW w:w="1861" w:type="pct"/>
            <w:gridSpan w:val="3"/>
            <w:vAlign w:val="center"/>
          </w:tcPr>
          <w:p w14:paraId="710BBECF">
            <w:pPr>
              <w:pStyle w:val="27"/>
              <w:rPr>
                <w:color w:val="auto"/>
              </w:rPr>
            </w:pPr>
            <w:r>
              <w:rPr>
                <w:color w:val="auto"/>
              </w:rPr>
              <w:t>抗震设防烈度</w:t>
            </w:r>
          </w:p>
        </w:tc>
      </w:tr>
      <w:tr w14:paraId="63A961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138" w:type="pct"/>
            <w:gridSpan w:val="2"/>
            <w:vMerge w:val="continue"/>
          </w:tcPr>
          <w:p w14:paraId="3FFA1F25">
            <w:pPr>
              <w:pStyle w:val="27"/>
              <w:rPr>
                <w:color w:val="auto"/>
              </w:rPr>
            </w:pPr>
          </w:p>
        </w:tc>
        <w:tc>
          <w:tcPr>
            <w:tcW w:w="614" w:type="pct"/>
            <w:vAlign w:val="center"/>
          </w:tcPr>
          <w:p w14:paraId="5D12CA02">
            <w:pPr>
              <w:pStyle w:val="27"/>
              <w:rPr>
                <w:color w:val="auto"/>
              </w:rPr>
            </w:pPr>
            <w:r>
              <w:rPr>
                <w:color w:val="auto"/>
              </w:rPr>
              <w:t>6度</w:t>
            </w:r>
          </w:p>
        </w:tc>
        <w:tc>
          <w:tcPr>
            <w:tcW w:w="614" w:type="pct"/>
            <w:vAlign w:val="center"/>
          </w:tcPr>
          <w:p w14:paraId="16BF6EEC">
            <w:pPr>
              <w:pStyle w:val="27"/>
              <w:rPr>
                <w:color w:val="auto"/>
              </w:rPr>
            </w:pPr>
            <w:r>
              <w:rPr>
                <w:color w:val="auto"/>
              </w:rPr>
              <w:t>7度</w:t>
            </w:r>
          </w:p>
        </w:tc>
        <w:tc>
          <w:tcPr>
            <w:tcW w:w="633" w:type="pct"/>
            <w:vAlign w:val="center"/>
          </w:tcPr>
          <w:p w14:paraId="2F5A61FF">
            <w:pPr>
              <w:pStyle w:val="27"/>
              <w:rPr>
                <w:color w:val="auto"/>
              </w:rPr>
            </w:pPr>
            <w:r>
              <w:rPr>
                <w:color w:val="auto"/>
              </w:rPr>
              <w:t>8</w:t>
            </w:r>
            <w:r>
              <w:rPr>
                <w:rFonts w:hint="eastAsia"/>
                <w:color w:val="auto"/>
              </w:rPr>
              <w:t>度</w:t>
            </w:r>
          </w:p>
        </w:tc>
      </w:tr>
      <w:tr w14:paraId="1B771B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38" w:type="pct"/>
            <w:gridSpan w:val="2"/>
          </w:tcPr>
          <w:p w14:paraId="1A662C00">
            <w:pPr>
              <w:pStyle w:val="27"/>
              <w:rPr>
                <w:color w:val="auto"/>
              </w:rPr>
            </w:pPr>
            <w:r>
              <w:rPr>
                <w:rFonts w:hint="eastAsia"/>
                <w:color w:val="auto"/>
              </w:rPr>
              <w:t>模块化框架结构</w:t>
            </w:r>
          </w:p>
        </w:tc>
        <w:tc>
          <w:tcPr>
            <w:tcW w:w="614" w:type="pct"/>
            <w:vAlign w:val="center"/>
          </w:tcPr>
          <w:p w14:paraId="01397D4E">
            <w:pPr>
              <w:pStyle w:val="27"/>
              <w:rPr>
                <w:color w:val="auto"/>
              </w:rPr>
            </w:pPr>
            <w:r>
              <w:rPr>
                <w:rFonts w:hint="eastAsia"/>
                <w:color w:val="auto"/>
              </w:rPr>
              <w:t>4</w:t>
            </w:r>
          </w:p>
        </w:tc>
        <w:tc>
          <w:tcPr>
            <w:tcW w:w="614" w:type="pct"/>
            <w:vAlign w:val="center"/>
          </w:tcPr>
          <w:p w14:paraId="7E3E07E0">
            <w:pPr>
              <w:pStyle w:val="27"/>
              <w:rPr>
                <w:color w:val="auto"/>
              </w:rPr>
            </w:pPr>
            <w:r>
              <w:rPr>
                <w:rFonts w:hint="eastAsia"/>
                <w:color w:val="auto"/>
              </w:rPr>
              <w:t>4</w:t>
            </w:r>
          </w:p>
        </w:tc>
        <w:tc>
          <w:tcPr>
            <w:tcW w:w="633" w:type="pct"/>
            <w:vAlign w:val="center"/>
          </w:tcPr>
          <w:p w14:paraId="5BBFE088">
            <w:pPr>
              <w:pStyle w:val="27"/>
              <w:rPr>
                <w:color w:val="auto"/>
              </w:rPr>
            </w:pPr>
            <w:r>
              <w:rPr>
                <w:rFonts w:hint="eastAsia"/>
                <w:color w:val="auto"/>
              </w:rPr>
              <w:t>3</w:t>
            </w:r>
          </w:p>
        </w:tc>
      </w:tr>
      <w:tr w14:paraId="71AFF6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38" w:type="pct"/>
            <w:gridSpan w:val="2"/>
            <w:shd w:val="clear" w:color="auto" w:fill="auto"/>
            <w:vAlign w:val="center"/>
          </w:tcPr>
          <w:p w14:paraId="12107414">
            <w:pPr>
              <w:pStyle w:val="27"/>
              <w:snapToGrid w:val="0"/>
              <w:rPr>
                <w:color w:val="auto"/>
              </w:rPr>
            </w:pPr>
            <w:r>
              <w:rPr>
                <w:rFonts w:hint="eastAsia"/>
                <w:color w:val="auto"/>
              </w:rPr>
              <w:t>模块化预制剪力墙结构</w:t>
            </w:r>
          </w:p>
        </w:tc>
        <w:tc>
          <w:tcPr>
            <w:tcW w:w="614" w:type="pct"/>
            <w:shd w:val="clear" w:color="auto" w:fill="auto"/>
            <w:vAlign w:val="center"/>
          </w:tcPr>
          <w:p w14:paraId="21360354">
            <w:pPr>
              <w:pStyle w:val="27"/>
              <w:rPr>
                <w:color w:val="auto"/>
              </w:rPr>
            </w:pPr>
            <w:r>
              <w:rPr>
                <w:rFonts w:hint="eastAsia"/>
                <w:color w:val="auto"/>
              </w:rPr>
              <w:t>6</w:t>
            </w:r>
          </w:p>
        </w:tc>
        <w:tc>
          <w:tcPr>
            <w:tcW w:w="614" w:type="pct"/>
            <w:shd w:val="clear" w:color="auto" w:fill="auto"/>
            <w:vAlign w:val="center"/>
          </w:tcPr>
          <w:p w14:paraId="557D872F">
            <w:pPr>
              <w:pStyle w:val="27"/>
              <w:rPr>
                <w:color w:val="auto"/>
              </w:rPr>
            </w:pPr>
            <w:r>
              <w:rPr>
                <w:rFonts w:hint="eastAsia"/>
                <w:color w:val="auto"/>
              </w:rPr>
              <w:t>6</w:t>
            </w:r>
          </w:p>
        </w:tc>
        <w:tc>
          <w:tcPr>
            <w:tcW w:w="633" w:type="pct"/>
            <w:shd w:val="clear" w:color="auto" w:fill="auto"/>
            <w:vAlign w:val="center"/>
          </w:tcPr>
          <w:p w14:paraId="3988F72E">
            <w:pPr>
              <w:pStyle w:val="27"/>
              <w:rPr>
                <w:color w:val="auto"/>
              </w:rPr>
            </w:pPr>
            <w:r>
              <w:rPr>
                <w:rFonts w:hint="eastAsia"/>
                <w:color w:val="auto"/>
              </w:rPr>
              <w:t>5</w:t>
            </w:r>
          </w:p>
        </w:tc>
      </w:tr>
      <w:tr w14:paraId="642B8E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38" w:type="pct"/>
            <w:gridSpan w:val="2"/>
            <w:shd w:val="clear" w:color="auto" w:fill="auto"/>
            <w:vAlign w:val="center"/>
          </w:tcPr>
          <w:p w14:paraId="14BC181F">
            <w:pPr>
              <w:pStyle w:val="27"/>
              <w:snapToGrid w:val="0"/>
              <w:rPr>
                <w:color w:val="auto"/>
              </w:rPr>
            </w:pPr>
            <w:r>
              <w:rPr>
                <w:rFonts w:hint="eastAsia"/>
                <w:color w:val="auto"/>
              </w:rPr>
              <w:t>模块化叠合剪力墙结构</w:t>
            </w:r>
          </w:p>
        </w:tc>
        <w:tc>
          <w:tcPr>
            <w:tcW w:w="614" w:type="pct"/>
            <w:shd w:val="clear" w:color="auto" w:fill="auto"/>
            <w:vAlign w:val="center"/>
          </w:tcPr>
          <w:p w14:paraId="47D657D9">
            <w:pPr>
              <w:pStyle w:val="27"/>
              <w:rPr>
                <w:color w:val="auto"/>
              </w:rPr>
            </w:pPr>
            <w:r>
              <w:rPr>
                <w:rFonts w:hint="eastAsia"/>
                <w:color w:val="auto"/>
              </w:rPr>
              <w:t>6</w:t>
            </w:r>
          </w:p>
        </w:tc>
        <w:tc>
          <w:tcPr>
            <w:tcW w:w="614" w:type="pct"/>
            <w:shd w:val="clear" w:color="auto" w:fill="auto"/>
            <w:vAlign w:val="center"/>
          </w:tcPr>
          <w:p w14:paraId="52D0C1E2">
            <w:pPr>
              <w:pStyle w:val="27"/>
              <w:rPr>
                <w:color w:val="auto"/>
              </w:rPr>
            </w:pPr>
            <w:r>
              <w:rPr>
                <w:rFonts w:hint="eastAsia"/>
                <w:color w:val="auto"/>
              </w:rPr>
              <w:t>6</w:t>
            </w:r>
          </w:p>
        </w:tc>
        <w:tc>
          <w:tcPr>
            <w:tcW w:w="633" w:type="pct"/>
            <w:shd w:val="clear" w:color="auto" w:fill="auto"/>
            <w:vAlign w:val="center"/>
          </w:tcPr>
          <w:p w14:paraId="434555AB">
            <w:pPr>
              <w:pStyle w:val="27"/>
              <w:rPr>
                <w:color w:val="auto"/>
              </w:rPr>
            </w:pPr>
            <w:r>
              <w:rPr>
                <w:rFonts w:hint="eastAsia"/>
                <w:color w:val="auto"/>
              </w:rPr>
              <w:t>5</w:t>
            </w:r>
          </w:p>
        </w:tc>
      </w:tr>
      <w:tr w14:paraId="14AA37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67" w:type="pct"/>
            <w:vMerge w:val="restart"/>
            <w:shd w:val="clear" w:color="auto" w:fill="auto"/>
            <w:vAlign w:val="center"/>
          </w:tcPr>
          <w:p w14:paraId="218F3E9F">
            <w:pPr>
              <w:pStyle w:val="27"/>
              <w:snapToGrid w:val="0"/>
              <w:rPr>
                <w:color w:val="auto"/>
              </w:rPr>
            </w:pPr>
            <w:r>
              <w:rPr>
                <w:rFonts w:hint="eastAsia"/>
                <w:color w:val="auto"/>
              </w:rPr>
              <w:t>模块化现浇结构</w:t>
            </w:r>
          </w:p>
        </w:tc>
        <w:tc>
          <w:tcPr>
            <w:tcW w:w="1571" w:type="pct"/>
            <w:shd w:val="clear" w:color="auto" w:fill="auto"/>
            <w:vAlign w:val="center"/>
          </w:tcPr>
          <w:p w14:paraId="54A69966">
            <w:pPr>
              <w:pStyle w:val="27"/>
              <w:rPr>
                <w:color w:val="auto"/>
              </w:rPr>
            </w:pPr>
            <w:r>
              <w:rPr>
                <w:rFonts w:hint="eastAsia"/>
                <w:color w:val="auto"/>
              </w:rPr>
              <w:t>模块化现浇框架结构</w:t>
            </w:r>
          </w:p>
        </w:tc>
        <w:tc>
          <w:tcPr>
            <w:tcW w:w="614" w:type="pct"/>
            <w:shd w:val="clear" w:color="auto" w:fill="auto"/>
            <w:vAlign w:val="center"/>
          </w:tcPr>
          <w:p w14:paraId="3AF910D6">
            <w:pPr>
              <w:pStyle w:val="27"/>
              <w:rPr>
                <w:color w:val="auto"/>
              </w:rPr>
            </w:pPr>
            <w:r>
              <w:rPr>
                <w:color w:val="auto"/>
              </w:rPr>
              <w:t>4</w:t>
            </w:r>
          </w:p>
        </w:tc>
        <w:tc>
          <w:tcPr>
            <w:tcW w:w="614" w:type="pct"/>
            <w:shd w:val="clear" w:color="auto" w:fill="auto"/>
            <w:vAlign w:val="center"/>
          </w:tcPr>
          <w:p w14:paraId="0A5C4C4F">
            <w:pPr>
              <w:pStyle w:val="27"/>
              <w:rPr>
                <w:color w:val="auto"/>
              </w:rPr>
            </w:pPr>
            <w:r>
              <w:rPr>
                <w:rFonts w:hint="eastAsia"/>
                <w:color w:val="auto"/>
              </w:rPr>
              <w:t>4</w:t>
            </w:r>
          </w:p>
        </w:tc>
        <w:tc>
          <w:tcPr>
            <w:tcW w:w="633" w:type="pct"/>
            <w:shd w:val="clear" w:color="auto" w:fill="auto"/>
            <w:vAlign w:val="center"/>
          </w:tcPr>
          <w:p w14:paraId="54C21DA1">
            <w:pPr>
              <w:pStyle w:val="27"/>
              <w:rPr>
                <w:color w:val="auto"/>
              </w:rPr>
            </w:pPr>
            <w:r>
              <w:rPr>
                <w:rFonts w:hint="eastAsia"/>
                <w:color w:val="auto"/>
              </w:rPr>
              <w:t>3</w:t>
            </w:r>
          </w:p>
        </w:tc>
      </w:tr>
      <w:tr w14:paraId="41BD23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67" w:type="pct"/>
            <w:vMerge w:val="continue"/>
            <w:shd w:val="clear" w:color="auto" w:fill="auto"/>
            <w:vAlign w:val="center"/>
          </w:tcPr>
          <w:p w14:paraId="4164B279">
            <w:pPr>
              <w:pStyle w:val="27"/>
              <w:snapToGrid w:val="0"/>
              <w:rPr>
                <w:color w:val="auto"/>
              </w:rPr>
            </w:pPr>
          </w:p>
        </w:tc>
        <w:tc>
          <w:tcPr>
            <w:tcW w:w="1571" w:type="pct"/>
            <w:shd w:val="clear" w:color="auto" w:fill="auto"/>
            <w:vAlign w:val="center"/>
          </w:tcPr>
          <w:p w14:paraId="74EF58B7">
            <w:pPr>
              <w:pStyle w:val="27"/>
              <w:rPr>
                <w:color w:val="auto"/>
              </w:rPr>
            </w:pPr>
            <w:r>
              <w:rPr>
                <w:rFonts w:hint="eastAsia"/>
                <w:color w:val="auto"/>
              </w:rPr>
              <w:t>模块化现浇框架-剪力墙结构</w:t>
            </w:r>
          </w:p>
        </w:tc>
        <w:tc>
          <w:tcPr>
            <w:tcW w:w="614" w:type="pct"/>
            <w:shd w:val="clear" w:color="auto" w:fill="auto"/>
            <w:vAlign w:val="center"/>
          </w:tcPr>
          <w:p w14:paraId="725140A2">
            <w:pPr>
              <w:pStyle w:val="27"/>
              <w:rPr>
                <w:color w:val="auto"/>
              </w:rPr>
            </w:pPr>
            <w:r>
              <w:rPr>
                <w:color w:val="auto"/>
              </w:rPr>
              <w:t>6</w:t>
            </w:r>
          </w:p>
        </w:tc>
        <w:tc>
          <w:tcPr>
            <w:tcW w:w="614" w:type="pct"/>
            <w:shd w:val="clear" w:color="auto" w:fill="auto"/>
            <w:vAlign w:val="center"/>
          </w:tcPr>
          <w:p w14:paraId="79B18380">
            <w:pPr>
              <w:pStyle w:val="27"/>
              <w:rPr>
                <w:color w:val="auto"/>
              </w:rPr>
            </w:pPr>
            <w:r>
              <w:rPr>
                <w:rFonts w:hint="eastAsia"/>
                <w:color w:val="auto"/>
              </w:rPr>
              <w:t>6</w:t>
            </w:r>
          </w:p>
        </w:tc>
        <w:tc>
          <w:tcPr>
            <w:tcW w:w="633" w:type="pct"/>
            <w:shd w:val="clear" w:color="auto" w:fill="auto"/>
            <w:vAlign w:val="center"/>
          </w:tcPr>
          <w:p w14:paraId="64F30EB6">
            <w:pPr>
              <w:pStyle w:val="27"/>
              <w:rPr>
                <w:color w:val="auto"/>
              </w:rPr>
            </w:pPr>
            <w:r>
              <w:rPr>
                <w:rFonts w:hint="eastAsia"/>
                <w:color w:val="auto"/>
              </w:rPr>
              <w:t>5</w:t>
            </w:r>
          </w:p>
        </w:tc>
      </w:tr>
      <w:tr w14:paraId="07CFD5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67" w:type="pct"/>
            <w:vMerge w:val="continue"/>
            <w:shd w:val="clear" w:color="auto" w:fill="auto"/>
            <w:vAlign w:val="center"/>
          </w:tcPr>
          <w:p w14:paraId="3A8D46DB">
            <w:pPr>
              <w:pStyle w:val="27"/>
              <w:snapToGrid w:val="0"/>
              <w:rPr>
                <w:color w:val="auto"/>
              </w:rPr>
            </w:pPr>
          </w:p>
        </w:tc>
        <w:tc>
          <w:tcPr>
            <w:tcW w:w="1571" w:type="pct"/>
            <w:shd w:val="clear" w:color="auto" w:fill="auto"/>
            <w:vAlign w:val="center"/>
          </w:tcPr>
          <w:p w14:paraId="039320EA">
            <w:pPr>
              <w:pStyle w:val="27"/>
              <w:rPr>
                <w:color w:val="auto"/>
              </w:rPr>
            </w:pPr>
            <w:r>
              <w:rPr>
                <w:rFonts w:hint="eastAsia"/>
                <w:color w:val="auto"/>
              </w:rPr>
              <w:t>模块化现浇剪力墙结构</w:t>
            </w:r>
          </w:p>
        </w:tc>
        <w:tc>
          <w:tcPr>
            <w:tcW w:w="614" w:type="pct"/>
            <w:shd w:val="clear" w:color="auto" w:fill="auto"/>
            <w:vAlign w:val="center"/>
          </w:tcPr>
          <w:p w14:paraId="7269366A">
            <w:pPr>
              <w:pStyle w:val="27"/>
              <w:rPr>
                <w:color w:val="auto"/>
              </w:rPr>
            </w:pPr>
            <w:r>
              <w:rPr>
                <w:color w:val="auto"/>
              </w:rPr>
              <w:t>6</w:t>
            </w:r>
          </w:p>
        </w:tc>
        <w:tc>
          <w:tcPr>
            <w:tcW w:w="614" w:type="pct"/>
            <w:shd w:val="clear" w:color="auto" w:fill="auto"/>
            <w:vAlign w:val="center"/>
          </w:tcPr>
          <w:p w14:paraId="65AD1AE4">
            <w:pPr>
              <w:pStyle w:val="27"/>
              <w:rPr>
                <w:color w:val="auto"/>
              </w:rPr>
            </w:pPr>
            <w:r>
              <w:rPr>
                <w:rFonts w:hint="eastAsia"/>
                <w:color w:val="auto"/>
              </w:rPr>
              <w:t>6</w:t>
            </w:r>
          </w:p>
        </w:tc>
        <w:tc>
          <w:tcPr>
            <w:tcW w:w="633" w:type="pct"/>
            <w:shd w:val="clear" w:color="auto" w:fill="auto"/>
            <w:vAlign w:val="center"/>
          </w:tcPr>
          <w:p w14:paraId="711FF48A">
            <w:pPr>
              <w:pStyle w:val="27"/>
              <w:rPr>
                <w:color w:val="auto"/>
              </w:rPr>
            </w:pPr>
            <w:r>
              <w:rPr>
                <w:rFonts w:hint="eastAsia"/>
                <w:color w:val="auto"/>
              </w:rPr>
              <w:t>5</w:t>
            </w:r>
          </w:p>
        </w:tc>
      </w:tr>
    </w:tbl>
    <w:p w14:paraId="50880416">
      <w:pPr>
        <w:pStyle w:val="33"/>
        <w:ind w:firstLineChars="0"/>
        <w:rPr>
          <w:rFonts w:ascii="楷体" w:hAnsi="楷体" w:cs="楷体"/>
          <w:color w:val="auto"/>
          <w:szCs w:val="21"/>
        </w:rPr>
      </w:pPr>
      <w:r>
        <w:rPr>
          <w:rFonts w:hint="eastAsia" w:ascii="楷体" w:hAnsi="楷体" w:cs="楷体"/>
          <w:color w:val="auto"/>
          <w:szCs w:val="21"/>
        </w:rPr>
        <w:t>【条文说明】高层建筑的高宽比，是对结构刚度、整体稳定、承载能力和经济合理性的宏观控制；在结构设计满足本标准规定的承载力、稳定、抗倾覆、变形和舒适度等基本要求后，仅从结构安全角度讲高宽比限值不是必须满足的，主要影响结构设计的经济性。</w:t>
      </w:r>
    </w:p>
    <w:p w14:paraId="4711F36C">
      <w:pPr>
        <w:numPr>
          <w:ilvl w:val="0"/>
          <w:numId w:val="12"/>
        </w:numPr>
        <w:spacing w:line="312" w:lineRule="auto"/>
        <w:rPr>
          <w:bCs/>
          <w:color w:val="auto"/>
        </w:rPr>
      </w:pPr>
      <w:r>
        <w:rPr>
          <w:rFonts w:hint="eastAsia"/>
          <w:bCs/>
          <w:color w:val="auto"/>
        </w:rPr>
        <w:t>模块化框架结构采用螺栓等连接节点时，其连接材料及受力性能尚应符合现行国家标准《钢结构通用规范》GB 55006和《钢结构设计标准》GB 50017的规定。</w:t>
      </w:r>
    </w:p>
    <w:p w14:paraId="3A44C382">
      <w:pPr>
        <w:pStyle w:val="33"/>
        <w:ind w:firstLineChars="0"/>
        <w:rPr>
          <w:color w:val="auto"/>
          <w:szCs w:val="21"/>
        </w:rPr>
      </w:pPr>
      <w:r>
        <w:rPr>
          <w:color w:val="auto"/>
          <w:szCs w:val="21"/>
        </w:rPr>
        <w:t>【条文说明】模块化框架结构由框架式模块通过干式连接或局部后浇组装而成，其连接节点主要选用钢材，故其结构设计除符合混凝土结构相关规范外，其节点设计尚应符合《钢结构设计标准》GB 50017的规定。</w:t>
      </w:r>
    </w:p>
    <w:p w14:paraId="0ED2E71A">
      <w:pPr>
        <w:pStyle w:val="3"/>
        <w:rPr>
          <w:color w:val="auto"/>
        </w:rPr>
      </w:pPr>
      <w:bookmarkStart w:id="170" w:name="_Toc6221"/>
      <w:bookmarkStart w:id="171" w:name="_Toc6914"/>
      <w:bookmarkStart w:id="172" w:name="_Toc24073"/>
      <w:bookmarkStart w:id="173" w:name="_Toc3758"/>
      <w:bookmarkStart w:id="174" w:name="_Toc2835"/>
      <w:bookmarkStart w:id="175" w:name="_Toc7888"/>
      <w:bookmarkStart w:id="176" w:name="_Toc25999"/>
      <w:bookmarkStart w:id="177" w:name="_Toc28035"/>
      <w:bookmarkStart w:id="178" w:name="_Toc5709"/>
      <w:r>
        <w:rPr>
          <w:b/>
          <w:bCs w:val="0"/>
          <w:color w:val="auto"/>
        </w:rPr>
        <w:t>6</w:t>
      </w:r>
      <w:r>
        <w:rPr>
          <w:rFonts w:hint="eastAsia"/>
          <w:b/>
          <w:bCs w:val="0"/>
          <w:color w:val="auto"/>
        </w:rPr>
        <w:t>.</w:t>
      </w:r>
      <w:r>
        <w:rPr>
          <w:b/>
          <w:bCs w:val="0"/>
          <w:color w:val="auto"/>
        </w:rPr>
        <w:t>2</w:t>
      </w:r>
      <w:r>
        <w:rPr>
          <w:rFonts w:hint="eastAsia"/>
          <w:color w:val="auto"/>
        </w:rPr>
        <w:t xml:space="preserve">  结构体系</w:t>
      </w:r>
      <w:bookmarkEnd w:id="170"/>
      <w:bookmarkEnd w:id="171"/>
      <w:bookmarkEnd w:id="172"/>
      <w:bookmarkEnd w:id="173"/>
      <w:bookmarkEnd w:id="174"/>
      <w:bookmarkEnd w:id="175"/>
      <w:bookmarkEnd w:id="176"/>
      <w:bookmarkEnd w:id="177"/>
      <w:bookmarkEnd w:id="178"/>
    </w:p>
    <w:p w14:paraId="0A1F9166">
      <w:pPr>
        <w:numPr>
          <w:ilvl w:val="0"/>
          <w:numId w:val="13"/>
        </w:numPr>
        <w:spacing w:line="312" w:lineRule="auto"/>
        <w:rPr>
          <w:color w:val="auto"/>
        </w:rPr>
      </w:pPr>
      <w:r>
        <w:rPr>
          <w:rFonts w:hint="eastAsia"/>
          <w:bCs/>
          <w:color w:val="auto"/>
        </w:rPr>
        <w:t>模块化建筑的结构体系应根据建筑功能、抗震设防类别、抗震设防烈度、建筑高度、场地条件、地基、结构材料和施工等因素，经技术、经济和使用条件综合比较确定。</w:t>
      </w:r>
      <w:r>
        <w:rPr>
          <w:rFonts w:hint="eastAsia"/>
          <w:color w:val="auto"/>
        </w:rPr>
        <w:t>对于本标准未作规定的模块化结构体系和连接构造，应具备可靠理论分析和试验依据，并应做专项技术论证。</w:t>
      </w:r>
    </w:p>
    <w:p w14:paraId="54245EFF">
      <w:pPr>
        <w:pStyle w:val="33"/>
        <w:rPr>
          <w:color w:val="auto"/>
        </w:rPr>
      </w:pPr>
      <w:r>
        <w:rPr>
          <w:rFonts w:hint="eastAsia" w:ascii="楷体" w:hAnsi="楷体" w:cs="楷体"/>
          <w:color w:val="auto"/>
          <w:szCs w:val="21"/>
        </w:rPr>
        <w:t>【条文说明】</w:t>
      </w:r>
      <w:r>
        <w:rPr>
          <w:rFonts w:hint="eastAsia"/>
          <w:color w:val="auto"/>
        </w:rPr>
        <w:t>当模块化建筑采用本标准未规定的结构体系时，应进行专项论证。在进行专项论证时，根据实际结构类型、节点连接形式和模块单元形式及构造等，选取合理结构计算模型，并采取相应的加强措施，必要时应采取试验方法对结构性能进行补充研究。</w:t>
      </w:r>
    </w:p>
    <w:p w14:paraId="33A8E0D3">
      <w:pPr>
        <w:numPr>
          <w:ilvl w:val="0"/>
          <w:numId w:val="13"/>
        </w:numPr>
        <w:spacing w:line="312" w:lineRule="auto"/>
        <w:rPr>
          <w:bCs/>
          <w:color w:val="auto"/>
        </w:rPr>
      </w:pPr>
      <w:r>
        <w:rPr>
          <w:rFonts w:hint="eastAsia"/>
          <w:bCs/>
          <w:color w:val="auto"/>
        </w:rPr>
        <w:t>模块化建筑的结构体系应符合下列要求：</w:t>
      </w:r>
    </w:p>
    <w:p w14:paraId="472228DA">
      <w:pPr>
        <w:spacing w:line="312" w:lineRule="auto"/>
        <w:ind w:firstLine="422" w:firstLineChars="200"/>
        <w:rPr>
          <w:color w:val="auto"/>
          <w:kern w:val="0"/>
          <w:szCs w:val="24"/>
        </w:rPr>
      </w:pPr>
      <w:r>
        <w:rPr>
          <w:rFonts w:eastAsia="黑体"/>
          <w:b/>
          <w:color w:val="auto"/>
        </w:rPr>
        <w:t xml:space="preserve">1  </w:t>
      </w:r>
      <w:r>
        <w:rPr>
          <w:color w:val="auto"/>
          <w:kern w:val="0"/>
          <w:szCs w:val="24"/>
        </w:rPr>
        <w:t>应具有</w:t>
      </w:r>
      <w:r>
        <w:rPr>
          <w:rFonts w:hint="eastAsia"/>
          <w:color w:val="auto"/>
          <w:kern w:val="0"/>
          <w:szCs w:val="24"/>
        </w:rPr>
        <w:t>必要</w:t>
      </w:r>
      <w:r>
        <w:rPr>
          <w:color w:val="auto"/>
          <w:kern w:val="0"/>
          <w:szCs w:val="24"/>
        </w:rPr>
        <w:t>的</w:t>
      </w:r>
      <w:r>
        <w:rPr>
          <w:rFonts w:hint="eastAsia"/>
          <w:color w:val="auto"/>
          <w:kern w:val="0"/>
          <w:szCs w:val="24"/>
        </w:rPr>
        <w:t>强度、</w:t>
      </w:r>
      <w:r>
        <w:rPr>
          <w:color w:val="auto"/>
          <w:kern w:val="0"/>
          <w:szCs w:val="24"/>
        </w:rPr>
        <w:t>刚度</w:t>
      </w:r>
      <w:r>
        <w:rPr>
          <w:rFonts w:hint="eastAsia"/>
          <w:color w:val="auto"/>
          <w:kern w:val="0"/>
          <w:szCs w:val="24"/>
        </w:rPr>
        <w:t>和延性；</w:t>
      </w:r>
    </w:p>
    <w:p w14:paraId="4683043C">
      <w:pPr>
        <w:spacing w:line="312" w:lineRule="auto"/>
        <w:ind w:firstLine="422" w:firstLineChars="200"/>
        <w:rPr>
          <w:color w:val="auto"/>
        </w:rPr>
      </w:pPr>
      <w:r>
        <w:rPr>
          <w:rFonts w:eastAsia="黑体"/>
          <w:b/>
          <w:color w:val="auto"/>
        </w:rPr>
        <w:t xml:space="preserve">2  </w:t>
      </w:r>
      <w:r>
        <w:rPr>
          <w:color w:val="auto"/>
        </w:rPr>
        <w:t>应</w:t>
      </w:r>
      <w:r>
        <w:rPr>
          <w:rFonts w:hint="eastAsia"/>
          <w:color w:val="auto"/>
        </w:rPr>
        <w:t>具有</w:t>
      </w:r>
      <w:r>
        <w:rPr>
          <w:color w:val="auto"/>
        </w:rPr>
        <w:t>明确的</w:t>
      </w:r>
      <w:r>
        <w:rPr>
          <w:rFonts w:hint="eastAsia"/>
          <w:color w:val="auto"/>
        </w:rPr>
        <w:t>结构计算简图</w:t>
      </w:r>
      <w:r>
        <w:rPr>
          <w:rFonts w:hint="eastAsia"/>
          <w:color w:val="auto"/>
          <w:kern w:val="0"/>
          <w:szCs w:val="24"/>
        </w:rPr>
        <w:t>及合理的</w:t>
      </w:r>
      <w:r>
        <w:rPr>
          <w:color w:val="auto"/>
          <w:kern w:val="0"/>
          <w:szCs w:val="24"/>
        </w:rPr>
        <w:t>荷载传递途径</w:t>
      </w:r>
      <w:r>
        <w:rPr>
          <w:color w:val="auto"/>
        </w:rPr>
        <w:t>；</w:t>
      </w:r>
    </w:p>
    <w:p w14:paraId="62AC57EA">
      <w:pPr>
        <w:spacing w:line="312" w:lineRule="auto"/>
        <w:ind w:firstLine="422" w:firstLineChars="200"/>
        <w:rPr>
          <w:color w:val="auto"/>
        </w:rPr>
      </w:pPr>
      <w:r>
        <w:rPr>
          <w:rFonts w:eastAsia="黑体"/>
          <w:b/>
          <w:color w:val="auto"/>
        </w:rPr>
        <w:t xml:space="preserve">3  </w:t>
      </w:r>
      <w:r>
        <w:rPr>
          <w:color w:val="auto"/>
        </w:rPr>
        <w:t>应具备必要的抗震承载能力</w:t>
      </w:r>
      <w:r>
        <w:rPr>
          <w:rFonts w:hint="eastAsia"/>
          <w:color w:val="auto"/>
        </w:rPr>
        <w:t>、</w:t>
      </w:r>
      <w:r>
        <w:rPr>
          <w:color w:val="auto"/>
        </w:rPr>
        <w:t>良好的变形能力和消耗地震能量的能力，</w:t>
      </w:r>
      <w:r>
        <w:rPr>
          <w:rFonts w:hint="eastAsia"/>
          <w:color w:val="auto"/>
        </w:rPr>
        <w:t>并应避免出现薄弱部位</w:t>
      </w:r>
      <w:r>
        <w:rPr>
          <w:color w:val="auto"/>
        </w:rPr>
        <w:t>；</w:t>
      </w:r>
    </w:p>
    <w:p w14:paraId="09A6A7AC">
      <w:pPr>
        <w:spacing w:line="312" w:lineRule="auto"/>
        <w:ind w:firstLine="422" w:firstLineChars="200"/>
        <w:rPr>
          <w:color w:val="auto"/>
          <w:kern w:val="0"/>
          <w:szCs w:val="24"/>
        </w:rPr>
      </w:pPr>
      <w:r>
        <w:rPr>
          <w:rFonts w:eastAsia="黑体"/>
          <w:b/>
          <w:color w:val="auto"/>
          <w:kern w:val="0"/>
          <w:szCs w:val="24"/>
        </w:rPr>
        <w:t xml:space="preserve">4  </w:t>
      </w:r>
      <w:r>
        <w:rPr>
          <w:color w:val="auto"/>
        </w:rPr>
        <w:t>宜有多道抗震防线，抗震结构体系具有最大可能数量的内部、外部赘余度，避免因部分构件或结构破坏导致整个结构体系丧失承载能力</w:t>
      </w:r>
      <w:r>
        <w:rPr>
          <w:color w:val="auto"/>
          <w:kern w:val="0"/>
          <w:szCs w:val="24"/>
        </w:rPr>
        <w:t>。</w:t>
      </w:r>
    </w:p>
    <w:p w14:paraId="40727FD2">
      <w:pPr>
        <w:pStyle w:val="33"/>
        <w:rPr>
          <w:color w:val="auto"/>
        </w:rPr>
      </w:pPr>
      <w:r>
        <w:rPr>
          <w:rFonts w:hint="eastAsia" w:ascii="楷体" w:hAnsi="楷体" w:cs="楷体"/>
          <w:color w:val="auto"/>
          <w:szCs w:val="21"/>
        </w:rPr>
        <w:t>【条文说明】</w:t>
      </w:r>
      <w:r>
        <w:rPr>
          <w:rFonts w:hint="eastAsia"/>
          <w:color w:val="auto"/>
        </w:rPr>
        <w:t>在模块化建筑的结构体系中，可以采用多种结构设计思路，当主体结构间的连接变得复杂多样时，宜采用试验分析的方式对其真实工作情况进行研究，软件模型应充分考虑其真实工作情况做出合理假定，计算软件的技术条件应符合行业规范的有关标准规定，并应说明其特殊处理的内容和依据，所有模型计算结果，应经分析论证确认其合理、有效后方可用于工程设计。</w:t>
      </w:r>
    </w:p>
    <w:p w14:paraId="0F57C738">
      <w:pPr>
        <w:numPr>
          <w:ilvl w:val="0"/>
          <w:numId w:val="13"/>
        </w:numPr>
        <w:spacing w:line="312" w:lineRule="auto"/>
        <w:rPr>
          <w:bCs/>
          <w:color w:val="auto"/>
        </w:rPr>
      </w:pPr>
      <w:r>
        <w:rPr>
          <w:rFonts w:hint="eastAsia"/>
          <w:bCs/>
          <w:color w:val="auto"/>
        </w:rPr>
        <w:t>模块单元之间的连接，应符合下列规定：</w:t>
      </w:r>
    </w:p>
    <w:p w14:paraId="221C0C5E">
      <w:pPr>
        <w:spacing w:line="312" w:lineRule="auto"/>
        <w:ind w:firstLine="422" w:firstLineChars="200"/>
        <w:rPr>
          <w:color w:val="auto"/>
        </w:rPr>
      </w:pPr>
      <w:r>
        <w:rPr>
          <w:rFonts w:hint="eastAsia"/>
          <w:b/>
          <w:color w:val="auto"/>
        </w:rPr>
        <w:t>1</w:t>
      </w:r>
      <w:r>
        <w:rPr>
          <w:rFonts w:hint="eastAsia"/>
          <w:color w:val="auto"/>
        </w:rPr>
        <w:t xml:space="preserve">  构件节点的破坏，不应先于其连接的构件；</w:t>
      </w:r>
    </w:p>
    <w:p w14:paraId="0DC55FA4">
      <w:pPr>
        <w:spacing w:line="312" w:lineRule="auto"/>
        <w:ind w:firstLine="422" w:firstLineChars="200"/>
        <w:rPr>
          <w:color w:val="auto"/>
        </w:rPr>
      </w:pPr>
      <w:r>
        <w:rPr>
          <w:rFonts w:hint="eastAsia"/>
          <w:b/>
          <w:color w:val="auto"/>
        </w:rPr>
        <w:t>2</w:t>
      </w:r>
      <w:r>
        <w:rPr>
          <w:rFonts w:hint="eastAsia"/>
          <w:color w:val="auto"/>
        </w:rPr>
        <w:t xml:space="preserve">  预埋件的破坏，不应先于连接构件的破坏；</w:t>
      </w:r>
    </w:p>
    <w:p w14:paraId="527E5131">
      <w:pPr>
        <w:spacing w:line="312" w:lineRule="auto"/>
        <w:ind w:firstLine="422" w:firstLineChars="200"/>
        <w:rPr>
          <w:color w:val="auto"/>
        </w:rPr>
      </w:pPr>
      <w:r>
        <w:rPr>
          <w:rFonts w:hint="eastAsia"/>
          <w:b/>
          <w:color w:val="auto"/>
        </w:rPr>
        <w:t>3</w:t>
      </w:r>
      <w:r>
        <w:rPr>
          <w:rFonts w:hint="eastAsia"/>
          <w:color w:val="auto"/>
        </w:rPr>
        <w:t xml:space="preserve">  结构构件的连接应能保证结构的整体性。</w:t>
      </w:r>
    </w:p>
    <w:p w14:paraId="0B6EEEB5">
      <w:pPr>
        <w:spacing w:line="312" w:lineRule="auto"/>
        <w:ind w:firstLine="422" w:firstLineChars="200"/>
        <w:rPr>
          <w:rStyle w:val="21"/>
          <w:rFonts w:eastAsia="仿宋"/>
          <w:b/>
          <w:color w:val="auto"/>
          <w:sz w:val="21"/>
        </w:rPr>
      </w:pPr>
      <w:r>
        <w:rPr>
          <w:rFonts w:hint="eastAsia"/>
          <w:b/>
          <w:color w:val="auto"/>
        </w:rPr>
        <w:t>4</w:t>
      </w:r>
      <w:r>
        <w:rPr>
          <w:color w:val="auto"/>
        </w:rPr>
        <w:t xml:space="preserve">  </w:t>
      </w:r>
      <w:r>
        <w:rPr>
          <w:rFonts w:hint="eastAsia"/>
          <w:color w:val="auto"/>
        </w:rPr>
        <w:t>应传力路径明确、构造可靠，并应满足承载力、延性和耐久性等要求。</w:t>
      </w:r>
    </w:p>
    <w:p w14:paraId="21F39B9D">
      <w:pPr>
        <w:pStyle w:val="5"/>
        <w:rPr>
          <w:rFonts w:ascii="仿宋" w:hAnsi="仿宋" w:eastAsia="仿宋" w:cs="仿宋"/>
          <w:color w:val="auto"/>
        </w:rPr>
      </w:pPr>
      <w:r>
        <w:rPr>
          <w:rFonts w:hint="eastAsia" w:ascii="仿宋" w:hAnsi="仿宋" w:eastAsia="仿宋" w:cs="仿宋"/>
          <w:color w:val="auto"/>
        </w:rPr>
        <w:t>（</w:t>
      </w:r>
      <w:r>
        <w:rPr>
          <w:rFonts w:eastAsia="仿宋" w:cs="Times New Roman"/>
          <w:color w:val="auto"/>
        </w:rPr>
        <w:t>I</w:t>
      </w:r>
      <w:r>
        <w:rPr>
          <w:rFonts w:hint="eastAsia" w:ascii="仿宋" w:hAnsi="仿宋" w:eastAsia="仿宋" w:cs="仿宋"/>
          <w:color w:val="auto"/>
        </w:rPr>
        <w:t>）模块化框架结构</w:t>
      </w:r>
    </w:p>
    <w:p w14:paraId="3C7DB541">
      <w:pPr>
        <w:numPr>
          <w:ilvl w:val="0"/>
          <w:numId w:val="13"/>
        </w:numPr>
        <w:spacing w:line="312" w:lineRule="auto"/>
        <w:rPr>
          <w:bCs/>
          <w:color w:val="auto"/>
        </w:rPr>
      </w:pPr>
      <w:r>
        <w:rPr>
          <w:rFonts w:hint="eastAsia"/>
          <w:bCs/>
          <w:color w:val="auto"/>
        </w:rPr>
        <w:t>模块化框架结构由框架式模块连接组合而成，并应符合下列规定：</w:t>
      </w:r>
    </w:p>
    <w:p w14:paraId="6DA9FB9E">
      <w:pPr>
        <w:spacing w:line="312" w:lineRule="auto"/>
        <w:ind w:firstLine="422" w:firstLineChars="200"/>
        <w:rPr>
          <w:color w:val="auto"/>
          <w:kern w:val="0"/>
          <w:szCs w:val="24"/>
        </w:rPr>
      </w:pPr>
      <w:r>
        <w:rPr>
          <w:b/>
          <w:color w:val="auto"/>
          <w:kern w:val="0"/>
          <w:szCs w:val="24"/>
        </w:rPr>
        <w:t>1</w:t>
      </w:r>
      <w:r>
        <w:rPr>
          <w:color w:val="auto"/>
          <w:kern w:val="0"/>
          <w:szCs w:val="24"/>
        </w:rPr>
        <w:t xml:space="preserve">  竖向受力构件为模块单元框架柱，水平受力构件为模块单元框架梁、板；</w:t>
      </w:r>
    </w:p>
    <w:p w14:paraId="5C606F4F">
      <w:pPr>
        <w:spacing w:line="312" w:lineRule="auto"/>
        <w:ind w:firstLine="422" w:firstLineChars="200"/>
        <w:rPr>
          <w:color w:val="auto"/>
          <w:kern w:val="0"/>
          <w:szCs w:val="24"/>
        </w:rPr>
      </w:pPr>
      <w:r>
        <w:rPr>
          <w:b/>
          <w:color w:val="auto"/>
          <w:kern w:val="0"/>
          <w:szCs w:val="24"/>
        </w:rPr>
        <w:t>2</w:t>
      </w:r>
      <w:r>
        <w:rPr>
          <w:color w:val="auto"/>
          <w:kern w:val="0"/>
          <w:szCs w:val="24"/>
        </w:rPr>
        <w:t xml:space="preserve">  </w:t>
      </w:r>
      <w:r>
        <w:rPr>
          <w:rFonts w:hint="eastAsia"/>
          <w:color w:val="auto"/>
          <w:kern w:val="0"/>
          <w:szCs w:val="24"/>
        </w:rPr>
        <w:t>模块单元应采用可靠的水平及竖向连接，满足结构整体性和冗余度的要求。</w:t>
      </w:r>
    </w:p>
    <w:p w14:paraId="4F7B65E3">
      <w:pPr>
        <w:numPr>
          <w:ilvl w:val="0"/>
          <w:numId w:val="13"/>
        </w:numPr>
        <w:spacing w:line="312" w:lineRule="auto"/>
        <w:rPr>
          <w:bCs/>
          <w:color w:val="auto"/>
        </w:rPr>
      </w:pPr>
      <w:r>
        <w:rPr>
          <w:rFonts w:hint="eastAsia"/>
          <w:bCs/>
          <w:color w:val="auto"/>
        </w:rPr>
        <w:t>框架式模块的竖向连接应符合下列规定：</w:t>
      </w:r>
    </w:p>
    <w:p w14:paraId="6555C2C6">
      <w:pPr>
        <w:spacing w:line="312" w:lineRule="auto"/>
        <w:ind w:firstLine="422" w:firstLineChars="200"/>
        <w:rPr>
          <w:b/>
          <w:color w:val="auto"/>
          <w:szCs w:val="21"/>
        </w:rPr>
      </w:pPr>
      <w:r>
        <w:rPr>
          <w:rFonts w:hint="eastAsia"/>
          <w:b/>
          <w:color w:val="auto"/>
          <w:szCs w:val="21"/>
        </w:rPr>
        <w:t xml:space="preserve">1  </w:t>
      </w:r>
      <w:r>
        <w:rPr>
          <w:rFonts w:hint="eastAsia"/>
          <w:bCs/>
          <w:color w:val="auto"/>
          <w:szCs w:val="21"/>
        </w:rPr>
        <w:t>当竖向连接采用套筒灌浆、浆锚搭接或其他可靠刚性连接时（图6.2.5-a、b），框架式模块单元可不设置底梁，其连接节点应符合现行行业标准《装配式混凝土结构技术规程》JGJ 1的规定，当采用非刚性连接时，应进行论证</w:t>
      </w:r>
      <w:r>
        <w:rPr>
          <w:rFonts w:hint="eastAsia"/>
          <w:color w:val="auto"/>
          <w:szCs w:val="21"/>
        </w:rPr>
        <w:t>。</w:t>
      </w:r>
    </w:p>
    <w:p w14:paraId="050B9827">
      <w:pPr>
        <w:spacing w:line="312" w:lineRule="auto"/>
        <w:ind w:firstLine="422" w:firstLineChars="200"/>
        <w:rPr>
          <w:b/>
          <w:color w:val="auto"/>
          <w:szCs w:val="21"/>
        </w:rPr>
      </w:pPr>
      <w:r>
        <w:rPr>
          <w:rFonts w:hint="eastAsia"/>
          <w:b/>
          <w:color w:val="auto"/>
          <w:szCs w:val="21"/>
        </w:rPr>
        <w:t xml:space="preserve">2  </w:t>
      </w:r>
      <w:r>
        <w:rPr>
          <w:rFonts w:hint="eastAsia"/>
          <w:bCs/>
          <w:color w:val="auto"/>
          <w:szCs w:val="21"/>
        </w:rPr>
        <w:t>当竖向连接采用螺栓等节点形式时（图6.2.5-c），框架式模块单元宜设置模块底梁，其连接节点应符合现行行业标准《钢结构高强度栓连接技术规程》JGJ 82和《钢筋机械连接技术规程》JGJ 107的规定；</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40"/>
        <w:gridCol w:w="2840"/>
        <w:gridCol w:w="2842"/>
      </w:tblGrid>
      <w:tr w14:paraId="773A8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3" w:hRule="atLeast"/>
        </w:trPr>
        <w:tc>
          <w:tcPr>
            <w:tcW w:w="2840" w:type="dxa"/>
            <w:vAlign w:val="center"/>
          </w:tcPr>
          <w:p w14:paraId="71C973C5">
            <w:pPr>
              <w:adjustRightInd w:val="0"/>
              <w:snapToGrid w:val="0"/>
              <w:jc w:val="center"/>
              <w:rPr>
                <w:color w:val="auto"/>
                <w:szCs w:val="21"/>
              </w:rPr>
            </w:pPr>
            <w:r>
              <w:rPr>
                <w:color w:val="auto"/>
              </w:rPr>
              <w:drawing>
                <wp:inline distT="0" distB="0" distL="114300" distR="114300">
                  <wp:extent cx="1663700" cy="1191260"/>
                  <wp:effectExtent l="0" t="0" r="12700" b="12700"/>
                  <wp:docPr id="31" name="图片 31" descr="img_v3_02l4_0b3aeaa5-e2da-4ecf-af35-381fa292722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v3_02l4_0b3aeaa5-e2da-4ecf-af35-381fa292722g"/>
                          <pic:cNvPicPr>
                            <a:picLocks noChangeAspect="1"/>
                          </pic:cNvPicPr>
                        </pic:nvPicPr>
                        <pic:blipFill>
                          <a:blip r:embed="rId34"/>
                          <a:stretch>
                            <a:fillRect/>
                          </a:stretch>
                        </pic:blipFill>
                        <pic:spPr>
                          <a:xfrm>
                            <a:off x="0" y="0"/>
                            <a:ext cx="1663700" cy="1191260"/>
                          </a:xfrm>
                          <a:prstGeom prst="rect">
                            <a:avLst/>
                          </a:prstGeom>
                        </pic:spPr>
                      </pic:pic>
                    </a:graphicData>
                  </a:graphic>
                </wp:inline>
              </w:drawing>
            </w:r>
          </w:p>
        </w:tc>
        <w:tc>
          <w:tcPr>
            <w:tcW w:w="2840" w:type="dxa"/>
            <w:vAlign w:val="center"/>
          </w:tcPr>
          <w:p w14:paraId="40B04A49">
            <w:pPr>
              <w:adjustRightInd w:val="0"/>
              <w:snapToGrid w:val="0"/>
              <w:jc w:val="center"/>
              <w:rPr>
                <w:color w:val="auto"/>
              </w:rPr>
            </w:pPr>
            <w:r>
              <w:rPr>
                <w:color w:val="auto"/>
              </w:rPr>
              <w:drawing>
                <wp:inline distT="0" distB="0" distL="114300" distR="114300">
                  <wp:extent cx="1661795" cy="1195070"/>
                  <wp:effectExtent l="0" t="0" r="14605" b="8890"/>
                  <wp:docPr id="36" name="图片 36" descr="img_v3_02l4_4613abdf-eaab-4e68-a401-d09d0301438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img_v3_02l4_4613abdf-eaab-4e68-a401-d09d0301438g"/>
                          <pic:cNvPicPr>
                            <a:picLocks noChangeAspect="1"/>
                          </pic:cNvPicPr>
                        </pic:nvPicPr>
                        <pic:blipFill>
                          <a:blip r:embed="rId35"/>
                          <a:stretch>
                            <a:fillRect/>
                          </a:stretch>
                        </pic:blipFill>
                        <pic:spPr>
                          <a:xfrm>
                            <a:off x="0" y="0"/>
                            <a:ext cx="1661795" cy="1195070"/>
                          </a:xfrm>
                          <a:prstGeom prst="rect">
                            <a:avLst/>
                          </a:prstGeom>
                        </pic:spPr>
                      </pic:pic>
                    </a:graphicData>
                  </a:graphic>
                </wp:inline>
              </w:drawing>
            </w:r>
          </w:p>
        </w:tc>
        <w:tc>
          <w:tcPr>
            <w:tcW w:w="2842" w:type="dxa"/>
            <w:vAlign w:val="center"/>
          </w:tcPr>
          <w:p w14:paraId="693638EF">
            <w:pPr>
              <w:adjustRightInd w:val="0"/>
              <w:snapToGrid w:val="0"/>
              <w:jc w:val="center"/>
              <w:rPr>
                <w:color w:val="auto"/>
              </w:rPr>
            </w:pPr>
            <w:r>
              <w:rPr>
                <w:color w:val="auto"/>
              </w:rPr>
              <w:drawing>
                <wp:inline distT="0" distB="0" distL="114300" distR="114300">
                  <wp:extent cx="1664335" cy="1192530"/>
                  <wp:effectExtent l="0" t="0" r="12065" b="11430"/>
                  <wp:docPr id="37" name="图片 37" descr="img_v3_02l4_9dbf5d0e-d33e-4d08-81db-bc73def8ec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img_v3_02l4_9dbf5d0e-d33e-4d08-81db-bc73def8ecag"/>
                          <pic:cNvPicPr>
                            <a:picLocks noChangeAspect="1"/>
                          </pic:cNvPicPr>
                        </pic:nvPicPr>
                        <pic:blipFill>
                          <a:blip r:embed="rId36"/>
                          <a:stretch>
                            <a:fillRect/>
                          </a:stretch>
                        </pic:blipFill>
                        <pic:spPr>
                          <a:xfrm>
                            <a:off x="0" y="0"/>
                            <a:ext cx="1664335" cy="1192530"/>
                          </a:xfrm>
                          <a:prstGeom prst="rect">
                            <a:avLst/>
                          </a:prstGeom>
                        </pic:spPr>
                      </pic:pic>
                    </a:graphicData>
                  </a:graphic>
                </wp:inline>
              </w:drawing>
            </w:r>
          </w:p>
        </w:tc>
      </w:tr>
      <w:tr w14:paraId="4D9D6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2840" w:type="dxa"/>
            <w:vAlign w:val="center"/>
          </w:tcPr>
          <w:p w14:paraId="3EE88682">
            <w:pPr>
              <w:adjustRightInd w:val="0"/>
              <w:snapToGrid w:val="0"/>
              <w:jc w:val="center"/>
              <w:rPr>
                <w:color w:val="auto"/>
              </w:rPr>
            </w:pPr>
            <w:r>
              <w:rPr>
                <w:rFonts w:hint="eastAsia" w:eastAsia="黑体" w:cs="黑体"/>
                <w:bCs/>
                <w:color w:val="auto"/>
                <w:sz w:val="18"/>
                <w:szCs w:val="18"/>
              </w:rPr>
              <w:t>(a</w:t>
            </w:r>
            <w:r>
              <w:rPr>
                <w:rFonts w:eastAsia="黑体" w:cs="黑体"/>
                <w:bCs/>
                <w:color w:val="auto"/>
                <w:sz w:val="18"/>
                <w:szCs w:val="18"/>
              </w:rPr>
              <w:t xml:space="preserve">)  </w:t>
            </w:r>
            <w:r>
              <w:rPr>
                <w:rFonts w:hint="eastAsia" w:eastAsia="黑体" w:cs="黑体"/>
                <w:bCs/>
                <w:color w:val="auto"/>
                <w:sz w:val="18"/>
                <w:szCs w:val="18"/>
              </w:rPr>
              <w:t>套筒灌浆连接</w:t>
            </w:r>
          </w:p>
        </w:tc>
        <w:tc>
          <w:tcPr>
            <w:tcW w:w="2840" w:type="dxa"/>
            <w:vAlign w:val="center"/>
          </w:tcPr>
          <w:p w14:paraId="01A878C8">
            <w:pPr>
              <w:adjustRightInd w:val="0"/>
              <w:snapToGrid w:val="0"/>
              <w:jc w:val="center"/>
              <w:rPr>
                <w:color w:val="auto"/>
              </w:rPr>
            </w:pPr>
            <w:r>
              <w:rPr>
                <w:rFonts w:hint="eastAsia" w:eastAsia="黑体" w:cs="黑体"/>
                <w:bCs/>
                <w:color w:val="auto"/>
                <w:sz w:val="18"/>
                <w:szCs w:val="18"/>
              </w:rPr>
              <w:t>(b)  浆锚搭接</w:t>
            </w:r>
          </w:p>
        </w:tc>
        <w:tc>
          <w:tcPr>
            <w:tcW w:w="2842" w:type="dxa"/>
            <w:vAlign w:val="center"/>
          </w:tcPr>
          <w:p w14:paraId="383EEA56">
            <w:pPr>
              <w:adjustRightInd w:val="0"/>
              <w:snapToGrid w:val="0"/>
              <w:jc w:val="center"/>
              <w:rPr>
                <w:color w:val="auto"/>
              </w:rPr>
            </w:pPr>
            <w:r>
              <w:rPr>
                <w:rFonts w:hint="eastAsia" w:eastAsia="黑体" w:cs="黑体"/>
                <w:bCs/>
                <w:color w:val="auto"/>
                <w:sz w:val="18"/>
                <w:szCs w:val="18"/>
              </w:rPr>
              <w:t>(c</w:t>
            </w:r>
            <w:r>
              <w:rPr>
                <w:rFonts w:eastAsia="黑体" w:cs="黑体"/>
                <w:bCs/>
                <w:color w:val="auto"/>
                <w:sz w:val="18"/>
                <w:szCs w:val="18"/>
              </w:rPr>
              <w:t xml:space="preserve">)  </w:t>
            </w:r>
            <w:r>
              <w:rPr>
                <w:rFonts w:hint="eastAsia" w:eastAsia="黑体" w:cs="黑体"/>
                <w:bCs/>
                <w:color w:val="auto"/>
                <w:sz w:val="18"/>
                <w:szCs w:val="18"/>
              </w:rPr>
              <w:t>螺栓连接</w:t>
            </w:r>
          </w:p>
        </w:tc>
      </w:tr>
    </w:tbl>
    <w:p w14:paraId="6CF50153">
      <w:pPr>
        <w:ind w:left="-6" w:firstLine="360"/>
        <w:jc w:val="center"/>
        <w:rPr>
          <w:rFonts w:eastAsia="黑体" w:cs="黑体"/>
          <w:bCs/>
          <w:color w:val="auto"/>
          <w:sz w:val="18"/>
          <w:szCs w:val="18"/>
        </w:rPr>
      </w:pPr>
      <w:r>
        <w:rPr>
          <w:rFonts w:hint="eastAsia" w:eastAsia="黑体" w:cs="黑体"/>
          <w:bCs/>
          <w:color w:val="auto"/>
          <w:sz w:val="18"/>
          <w:szCs w:val="18"/>
        </w:rPr>
        <w:t>图</w:t>
      </w:r>
      <w:r>
        <w:rPr>
          <w:rFonts w:eastAsia="黑体" w:cs="黑体"/>
          <w:b/>
          <w:color w:val="auto"/>
          <w:sz w:val="18"/>
          <w:szCs w:val="18"/>
        </w:rPr>
        <w:t>6</w:t>
      </w:r>
      <w:r>
        <w:rPr>
          <w:rFonts w:hint="eastAsia" w:ascii="宋体" w:hAnsi="宋体" w:cs="黑体"/>
          <w:b/>
          <w:color w:val="auto"/>
          <w:sz w:val="18"/>
          <w:szCs w:val="18"/>
        </w:rPr>
        <w:t>.</w:t>
      </w:r>
      <w:r>
        <w:rPr>
          <w:rFonts w:eastAsia="黑体" w:cs="黑体"/>
          <w:b/>
          <w:color w:val="auto"/>
          <w:sz w:val="18"/>
          <w:szCs w:val="18"/>
        </w:rPr>
        <w:t>2</w:t>
      </w:r>
      <w:r>
        <w:rPr>
          <w:rFonts w:hint="eastAsia" w:ascii="宋体" w:hAnsi="宋体" w:cs="黑体"/>
          <w:b/>
          <w:color w:val="auto"/>
          <w:sz w:val="18"/>
          <w:szCs w:val="18"/>
        </w:rPr>
        <w:t>.</w:t>
      </w:r>
      <w:r>
        <w:rPr>
          <w:rFonts w:hint="eastAsia" w:eastAsia="黑体" w:cs="黑体"/>
          <w:b/>
          <w:color w:val="auto"/>
          <w:sz w:val="18"/>
          <w:szCs w:val="18"/>
        </w:rPr>
        <w:t>5</w:t>
      </w:r>
      <w:r>
        <w:rPr>
          <w:rFonts w:hint="eastAsia" w:eastAsia="黑体" w:cs="黑体"/>
          <w:bCs/>
          <w:color w:val="auto"/>
          <w:sz w:val="18"/>
          <w:szCs w:val="18"/>
        </w:rPr>
        <w:t xml:space="preserve">  模块化框架结构连接节点构造</w:t>
      </w:r>
    </w:p>
    <w:p w14:paraId="482DC06B">
      <w:pPr>
        <w:jc w:val="center"/>
        <w:rPr>
          <w:rFonts w:eastAsia="黑体" w:cs="黑体"/>
          <w:bCs/>
          <w:color w:val="auto"/>
          <w:sz w:val="18"/>
          <w:szCs w:val="18"/>
        </w:rPr>
      </w:pPr>
      <w:r>
        <w:rPr>
          <w:rFonts w:hint="eastAsia" w:eastAsia="黑体" w:cs="黑体"/>
          <w:bCs/>
          <w:color w:val="auto"/>
          <w:sz w:val="18"/>
          <w:szCs w:val="18"/>
        </w:rPr>
        <w:t>1—上模块框架柱；</w:t>
      </w:r>
      <w:r>
        <w:rPr>
          <w:rFonts w:eastAsia="黑体" w:cs="黑体"/>
          <w:bCs/>
          <w:color w:val="auto"/>
          <w:sz w:val="18"/>
          <w:szCs w:val="18"/>
        </w:rPr>
        <w:t>2</w:t>
      </w:r>
      <w:r>
        <w:rPr>
          <w:rFonts w:hint="eastAsia" w:eastAsia="黑体" w:cs="黑体"/>
          <w:bCs/>
          <w:color w:val="auto"/>
          <w:sz w:val="18"/>
          <w:szCs w:val="18"/>
        </w:rPr>
        <w:t>—下模块框架柱；3—上模块框架梁；4—下模块框架梁；5—灌浆套筒；</w:t>
      </w:r>
    </w:p>
    <w:p w14:paraId="161B7565">
      <w:pPr>
        <w:jc w:val="center"/>
        <w:rPr>
          <w:rFonts w:eastAsia="黑体" w:cs="黑体"/>
          <w:bCs/>
          <w:color w:val="auto"/>
          <w:sz w:val="18"/>
          <w:szCs w:val="18"/>
        </w:rPr>
      </w:pPr>
      <w:r>
        <w:rPr>
          <w:rFonts w:hint="eastAsia" w:eastAsia="黑体" w:cs="黑体"/>
          <w:bCs/>
          <w:color w:val="auto"/>
          <w:sz w:val="18"/>
          <w:szCs w:val="18"/>
        </w:rPr>
        <w:t>6—座浆层；7—浆锚搭接；8—螺栓；9—连接钢板；10—柱端板</w:t>
      </w:r>
    </w:p>
    <w:p w14:paraId="2EC548A1">
      <w:pPr>
        <w:numPr>
          <w:ilvl w:val="0"/>
          <w:numId w:val="13"/>
        </w:numPr>
        <w:spacing w:line="312" w:lineRule="auto"/>
        <w:rPr>
          <w:bCs/>
          <w:color w:val="auto"/>
        </w:rPr>
      </w:pPr>
      <w:r>
        <w:rPr>
          <w:rFonts w:hint="eastAsia"/>
          <w:bCs/>
          <w:color w:val="auto"/>
        </w:rPr>
        <w:t>框架式模块的水平连接可采用连接钢板或其他可靠形式，分析模型应考虑连接钢板的轴向和切向刚度。</w:t>
      </w:r>
    </w:p>
    <w:p w14:paraId="265FF346">
      <w:pPr>
        <w:numPr>
          <w:ilvl w:val="0"/>
          <w:numId w:val="13"/>
        </w:numPr>
        <w:spacing w:line="312" w:lineRule="auto"/>
        <w:rPr>
          <w:bCs/>
          <w:color w:val="auto"/>
        </w:rPr>
      </w:pPr>
      <w:r>
        <w:rPr>
          <w:rFonts w:hint="eastAsia"/>
          <w:bCs/>
          <w:color w:val="auto"/>
        </w:rPr>
        <w:t>框架式模块间的连接节点应符合下列规定：</w:t>
      </w:r>
    </w:p>
    <w:p w14:paraId="4B993715">
      <w:pPr>
        <w:spacing w:line="312" w:lineRule="auto"/>
        <w:ind w:firstLine="422" w:firstLineChars="200"/>
        <w:rPr>
          <w:color w:val="auto"/>
          <w:szCs w:val="21"/>
        </w:rPr>
      </w:pPr>
      <w:bookmarkStart w:id="179" w:name="_Toc7858"/>
      <w:bookmarkStart w:id="180" w:name="_Toc18091"/>
      <w:r>
        <w:rPr>
          <w:b/>
          <w:bCs/>
          <w:color w:val="auto"/>
          <w:szCs w:val="21"/>
        </w:rPr>
        <w:t>1</w:t>
      </w:r>
      <w:r>
        <w:rPr>
          <w:rFonts w:hint="eastAsia"/>
          <w:color w:val="auto"/>
          <w:szCs w:val="21"/>
        </w:rPr>
        <w:t xml:space="preserve"> </w:t>
      </w:r>
      <w:r>
        <w:rPr>
          <w:color w:val="auto"/>
          <w:szCs w:val="21"/>
        </w:rPr>
        <w:t xml:space="preserve"> </w:t>
      </w:r>
      <w:r>
        <w:rPr>
          <w:rFonts w:hint="eastAsia"/>
          <w:bCs/>
          <w:color w:val="auto"/>
          <w:szCs w:val="21"/>
        </w:rPr>
        <w:t>连接节点应传力可靠，结构计算模型假定应与连接节点相符</w:t>
      </w:r>
      <w:r>
        <w:rPr>
          <w:rFonts w:hint="eastAsia"/>
          <w:color w:val="auto"/>
          <w:szCs w:val="21"/>
        </w:rPr>
        <w:t>；</w:t>
      </w:r>
      <w:bookmarkEnd w:id="179"/>
      <w:bookmarkEnd w:id="180"/>
    </w:p>
    <w:p w14:paraId="278AF7B6">
      <w:pPr>
        <w:spacing w:line="312" w:lineRule="auto"/>
        <w:ind w:firstLine="422" w:firstLineChars="200"/>
        <w:rPr>
          <w:color w:val="auto"/>
          <w:szCs w:val="21"/>
        </w:rPr>
      </w:pPr>
      <w:r>
        <w:rPr>
          <w:rFonts w:hint="eastAsia"/>
          <w:b/>
          <w:bCs/>
          <w:color w:val="auto"/>
          <w:szCs w:val="21"/>
        </w:rPr>
        <w:t>2</w:t>
      </w:r>
      <w:r>
        <w:rPr>
          <w:rFonts w:hint="eastAsia"/>
          <w:color w:val="auto"/>
          <w:szCs w:val="21"/>
        </w:rPr>
        <w:t xml:space="preserve"> </w:t>
      </w:r>
      <w:r>
        <w:rPr>
          <w:color w:val="auto"/>
          <w:szCs w:val="21"/>
        </w:rPr>
        <w:t xml:space="preserve"> </w:t>
      </w:r>
      <w:r>
        <w:rPr>
          <w:rFonts w:hint="eastAsia"/>
          <w:bCs/>
          <w:color w:val="auto"/>
          <w:szCs w:val="21"/>
        </w:rPr>
        <w:t>连接节点应构造合理、施工方便，满足施拧、施焊、灌浆及后期维护的作业空间要求</w:t>
      </w:r>
      <w:r>
        <w:rPr>
          <w:rFonts w:hint="eastAsia"/>
          <w:color w:val="auto"/>
          <w:szCs w:val="21"/>
        </w:rPr>
        <w:t>；</w:t>
      </w:r>
    </w:p>
    <w:p w14:paraId="4E1A1ADD">
      <w:pPr>
        <w:spacing w:line="312" w:lineRule="auto"/>
        <w:ind w:firstLine="422" w:firstLineChars="200"/>
        <w:rPr>
          <w:color w:val="auto"/>
          <w:szCs w:val="21"/>
        </w:rPr>
      </w:pPr>
      <w:bookmarkStart w:id="181" w:name="_Toc18909"/>
      <w:bookmarkStart w:id="182" w:name="_Toc31345"/>
      <w:r>
        <w:rPr>
          <w:rFonts w:hint="eastAsia"/>
          <w:b/>
          <w:bCs/>
          <w:color w:val="auto"/>
          <w:szCs w:val="21"/>
        </w:rPr>
        <w:t>3</w:t>
      </w:r>
      <w:r>
        <w:rPr>
          <w:rFonts w:hint="eastAsia"/>
          <w:color w:val="auto"/>
          <w:szCs w:val="21"/>
        </w:rPr>
        <w:t xml:space="preserve"> </w:t>
      </w:r>
      <w:r>
        <w:rPr>
          <w:color w:val="auto"/>
          <w:szCs w:val="21"/>
        </w:rPr>
        <w:t xml:space="preserve"> </w:t>
      </w:r>
      <w:r>
        <w:rPr>
          <w:rFonts w:hint="eastAsia"/>
          <w:bCs/>
          <w:color w:val="auto"/>
          <w:szCs w:val="21"/>
        </w:rPr>
        <w:t>连接节点宜设置在模块单元角部框架柱端；</w:t>
      </w:r>
      <w:bookmarkEnd w:id="181"/>
      <w:bookmarkEnd w:id="182"/>
    </w:p>
    <w:p w14:paraId="29C76C16">
      <w:pPr>
        <w:numPr>
          <w:ilvl w:val="255"/>
          <w:numId w:val="0"/>
        </w:numPr>
        <w:tabs>
          <w:tab w:val="left" w:pos="0"/>
        </w:tabs>
        <w:spacing w:line="312" w:lineRule="auto"/>
        <w:ind w:firstLine="422" w:firstLineChars="200"/>
        <w:rPr>
          <w:color w:val="auto"/>
          <w:szCs w:val="21"/>
        </w:rPr>
      </w:pPr>
      <w:r>
        <w:rPr>
          <w:rFonts w:hint="eastAsia"/>
          <w:b/>
          <w:bCs/>
          <w:color w:val="auto"/>
          <w:szCs w:val="21"/>
        </w:rPr>
        <w:t xml:space="preserve">4  </w:t>
      </w:r>
      <w:r>
        <w:rPr>
          <w:rFonts w:hint="eastAsia"/>
          <w:bCs/>
          <w:color w:val="auto"/>
          <w:szCs w:val="21"/>
        </w:rPr>
        <w:t>连接节点应</w:t>
      </w:r>
      <w:r>
        <w:rPr>
          <w:rFonts w:hint="eastAsia"/>
          <w:color w:val="auto"/>
          <w:szCs w:val="21"/>
        </w:rPr>
        <w:t>保证相邻模块单元在竖直方向和水平方向上的荷载传递，具有可靠的抗拉、抗压、抗剪、抗弯承载力。</w:t>
      </w:r>
    </w:p>
    <w:p w14:paraId="041B293A">
      <w:pPr>
        <w:numPr>
          <w:ilvl w:val="255"/>
          <w:numId w:val="0"/>
        </w:numPr>
        <w:tabs>
          <w:tab w:val="left" w:pos="0"/>
        </w:tabs>
        <w:spacing w:line="312" w:lineRule="auto"/>
        <w:ind w:firstLine="420" w:firstLineChars="200"/>
        <w:rPr>
          <w:rFonts w:eastAsia="楷体"/>
          <w:color w:val="auto"/>
        </w:rPr>
      </w:pPr>
      <w:r>
        <w:rPr>
          <w:rFonts w:hint="eastAsia" w:ascii="楷体" w:hAnsi="楷体" w:eastAsia="楷体" w:cs="楷体"/>
          <w:color w:val="auto"/>
          <w:szCs w:val="21"/>
        </w:rPr>
        <w:t>【条文说明】</w:t>
      </w:r>
      <w:r>
        <w:rPr>
          <w:rFonts w:hint="eastAsia" w:eastAsia="楷体"/>
          <w:color w:val="auto"/>
        </w:rPr>
        <w:t>框架式模块间的连接节点示意如图11所示，并应符合下列规定：</w:t>
      </w:r>
    </w:p>
    <w:p w14:paraId="2EC0E8D9">
      <w:pPr>
        <w:numPr>
          <w:ilvl w:val="255"/>
          <w:numId w:val="0"/>
        </w:numPr>
        <w:tabs>
          <w:tab w:val="left" w:pos="0"/>
        </w:tabs>
        <w:spacing w:line="312" w:lineRule="auto"/>
        <w:ind w:firstLine="422" w:firstLineChars="200"/>
        <w:rPr>
          <w:rFonts w:eastAsia="楷体"/>
          <w:color w:val="auto"/>
          <w:szCs w:val="21"/>
        </w:rPr>
      </w:pPr>
      <w:r>
        <w:rPr>
          <w:rFonts w:eastAsia="楷体"/>
          <w:b/>
          <w:bCs/>
          <w:color w:val="auto"/>
          <w:szCs w:val="21"/>
        </w:rPr>
        <w:t>1</w:t>
      </w:r>
      <w:r>
        <w:rPr>
          <w:rFonts w:eastAsia="楷体"/>
          <w:color w:val="auto"/>
          <w:szCs w:val="21"/>
        </w:rPr>
        <w:t xml:space="preserve"> </w:t>
      </w:r>
      <w:r>
        <w:rPr>
          <w:rFonts w:hint="eastAsia" w:eastAsia="楷体"/>
          <w:color w:val="auto"/>
          <w:szCs w:val="21"/>
        </w:rPr>
        <w:t xml:space="preserve"> 模块单元顶板</w:t>
      </w:r>
      <w:r>
        <w:rPr>
          <w:rFonts w:eastAsia="楷体"/>
          <w:color w:val="auto"/>
          <w:szCs w:val="21"/>
        </w:rPr>
        <w:t>后浇混凝土叠合层厚度不宜小于桁架预制板厚度的1.3倍，且不应小于75mm；</w:t>
      </w:r>
    </w:p>
    <w:p w14:paraId="304D6390">
      <w:pPr>
        <w:numPr>
          <w:ilvl w:val="255"/>
          <w:numId w:val="0"/>
        </w:numPr>
        <w:tabs>
          <w:tab w:val="left" w:pos="0"/>
        </w:tabs>
        <w:spacing w:line="312" w:lineRule="auto"/>
        <w:ind w:firstLine="422" w:firstLineChars="200"/>
        <w:rPr>
          <w:rFonts w:eastAsia="楷体"/>
          <w:color w:val="auto"/>
          <w:szCs w:val="21"/>
        </w:rPr>
      </w:pPr>
      <w:r>
        <w:rPr>
          <w:rFonts w:eastAsia="楷体"/>
          <w:b/>
          <w:bCs/>
          <w:color w:val="auto"/>
          <w:szCs w:val="21"/>
        </w:rPr>
        <w:t>2</w:t>
      </w:r>
      <w:r>
        <w:rPr>
          <w:rFonts w:eastAsia="楷体"/>
          <w:color w:val="auto"/>
          <w:szCs w:val="21"/>
        </w:rPr>
        <w:t xml:space="preserve">  水平搭接钢筋的面积应</w:t>
      </w:r>
      <w:r>
        <w:rPr>
          <w:rFonts w:hint="eastAsia" w:eastAsia="楷体"/>
          <w:color w:val="auto"/>
          <w:szCs w:val="21"/>
        </w:rPr>
        <w:t>通过</w:t>
      </w:r>
      <w:r>
        <w:rPr>
          <w:rFonts w:eastAsia="楷体"/>
          <w:color w:val="auto"/>
          <w:szCs w:val="21"/>
        </w:rPr>
        <w:t>计算确定，且不应小于桁架预制板内跨中同方向受力钢筋面积的1/3；</w:t>
      </w:r>
    </w:p>
    <w:p w14:paraId="476BCBED">
      <w:pPr>
        <w:numPr>
          <w:ilvl w:val="255"/>
          <w:numId w:val="0"/>
        </w:numPr>
        <w:tabs>
          <w:tab w:val="left" w:pos="0"/>
        </w:tabs>
        <w:spacing w:line="312" w:lineRule="auto"/>
        <w:ind w:firstLine="422" w:firstLineChars="200"/>
        <w:rPr>
          <w:rFonts w:eastAsia="楷体"/>
          <w:color w:val="auto"/>
          <w:szCs w:val="21"/>
        </w:rPr>
      </w:pPr>
      <w:r>
        <w:rPr>
          <w:rFonts w:eastAsia="楷体"/>
          <w:b/>
          <w:bCs/>
          <w:color w:val="auto"/>
          <w:szCs w:val="21"/>
        </w:rPr>
        <w:t xml:space="preserve">3 </w:t>
      </w:r>
      <w:r>
        <w:rPr>
          <w:rFonts w:eastAsia="楷体"/>
          <w:color w:val="auto"/>
          <w:szCs w:val="21"/>
        </w:rPr>
        <w:t xml:space="preserve"> </w:t>
      </w:r>
      <w:r>
        <w:rPr>
          <w:rFonts w:hint="eastAsia" w:eastAsia="楷体"/>
          <w:color w:val="auto"/>
          <w:szCs w:val="21"/>
        </w:rPr>
        <w:t>对于端节点支座，水平搭接钢筋伸入后浇叠合层锚固长度不应小于1.2</w:t>
      </w:r>
      <w:r>
        <w:rPr>
          <w:rFonts w:hint="eastAsia" w:eastAsia="楷体"/>
          <w:i/>
          <w:iCs/>
          <w:color w:val="auto"/>
          <w:szCs w:val="21"/>
        </w:rPr>
        <w:t>l</w:t>
      </w:r>
      <w:r>
        <w:rPr>
          <w:rFonts w:hint="eastAsia" w:eastAsia="楷体"/>
          <w:i/>
          <w:iCs/>
          <w:color w:val="auto"/>
          <w:szCs w:val="21"/>
          <w:vertAlign w:val="subscript"/>
        </w:rPr>
        <w:t>a</w:t>
      </w:r>
      <w:r>
        <w:rPr>
          <w:rFonts w:hint="eastAsia" w:eastAsia="楷体"/>
          <w:color w:val="auto"/>
          <w:szCs w:val="21"/>
        </w:rPr>
        <w:t>，并应在支承梁或墙的后浇混凝土中锚固，锚固长度不应小于</w:t>
      </w:r>
      <w:r>
        <w:rPr>
          <w:rFonts w:hint="eastAsia" w:eastAsia="楷体"/>
          <w:i/>
          <w:iCs/>
          <w:color w:val="auto"/>
          <w:szCs w:val="21"/>
        </w:rPr>
        <w:t>l</w:t>
      </w:r>
      <w:r>
        <w:rPr>
          <w:rFonts w:hint="eastAsia" w:eastAsia="楷体"/>
          <w:i/>
          <w:iCs/>
          <w:color w:val="auto"/>
          <w:szCs w:val="21"/>
          <w:vertAlign w:val="subscript"/>
        </w:rPr>
        <w:t>s</w:t>
      </w:r>
      <w:r>
        <w:rPr>
          <w:rFonts w:hint="eastAsia" w:eastAsia="楷体"/>
          <w:color w:val="auto"/>
          <w:szCs w:val="21"/>
        </w:rPr>
        <w:t>；当板端支座承担负弯矩时，支座内锚固长度</w:t>
      </w:r>
      <w:r>
        <w:rPr>
          <w:rFonts w:hint="eastAsia" w:eastAsia="楷体"/>
          <w:i/>
          <w:iCs/>
          <w:color w:val="auto"/>
          <w:szCs w:val="21"/>
        </w:rPr>
        <w:t>l</w:t>
      </w:r>
      <w:r>
        <w:rPr>
          <w:rFonts w:hint="eastAsia" w:eastAsia="楷体"/>
          <w:i/>
          <w:iCs/>
          <w:color w:val="auto"/>
          <w:szCs w:val="21"/>
          <w:vertAlign w:val="subscript"/>
        </w:rPr>
        <w:t>s</w:t>
      </w:r>
      <w:r>
        <w:rPr>
          <w:rFonts w:hint="eastAsia" w:eastAsia="楷体"/>
          <w:color w:val="auto"/>
          <w:szCs w:val="21"/>
        </w:rPr>
        <w:t>不应小于15d且宜伸过支座中心线；当节点区承受正弯矩时，支座内锚固长度</w:t>
      </w:r>
      <w:r>
        <w:rPr>
          <w:rFonts w:hint="eastAsia" w:eastAsia="楷体"/>
          <w:i/>
          <w:iCs/>
          <w:color w:val="auto"/>
          <w:szCs w:val="21"/>
        </w:rPr>
        <w:t>l</w:t>
      </w:r>
      <w:r>
        <w:rPr>
          <w:rFonts w:hint="eastAsia" w:eastAsia="楷体"/>
          <w:i/>
          <w:iCs/>
          <w:color w:val="auto"/>
          <w:szCs w:val="21"/>
          <w:vertAlign w:val="subscript"/>
        </w:rPr>
        <w:t>s</w:t>
      </w:r>
      <w:r>
        <w:rPr>
          <w:rFonts w:hint="eastAsia" w:eastAsia="楷体"/>
          <w:color w:val="auto"/>
          <w:szCs w:val="21"/>
        </w:rPr>
        <w:t>不应小于受拉钢筋锚固长度</w:t>
      </w:r>
      <w:r>
        <w:rPr>
          <w:rFonts w:hint="eastAsia" w:eastAsia="楷体"/>
          <w:i/>
          <w:iCs/>
          <w:color w:val="auto"/>
          <w:szCs w:val="21"/>
        </w:rPr>
        <w:t>l</w:t>
      </w:r>
      <w:r>
        <w:rPr>
          <w:rFonts w:hint="eastAsia" w:eastAsia="楷体"/>
          <w:i/>
          <w:iCs/>
          <w:color w:val="auto"/>
          <w:szCs w:val="21"/>
          <w:vertAlign w:val="subscript"/>
        </w:rPr>
        <w:t>a</w:t>
      </w:r>
      <w:r>
        <w:rPr>
          <w:rFonts w:hint="eastAsia" w:eastAsia="楷体"/>
          <w:color w:val="auto"/>
          <w:szCs w:val="21"/>
        </w:rPr>
        <w:t>。对于中节点支座，水平搭接钢筋在节点区应贯通，且每侧伸入后浇叠合层锚固长度</w:t>
      </w:r>
      <w:r>
        <w:rPr>
          <w:rFonts w:hint="eastAsia" w:eastAsia="楷体"/>
          <w:i/>
          <w:iCs/>
          <w:color w:val="auto"/>
          <w:szCs w:val="21"/>
        </w:rPr>
        <w:t>l</w:t>
      </w:r>
      <w:r>
        <w:rPr>
          <w:rFonts w:hint="eastAsia" w:eastAsia="楷体"/>
          <w:i/>
          <w:iCs/>
          <w:color w:val="auto"/>
          <w:szCs w:val="21"/>
          <w:vertAlign w:val="subscript"/>
        </w:rPr>
        <w:t>s</w:t>
      </w:r>
      <w:r>
        <w:rPr>
          <w:rFonts w:hint="eastAsia" w:eastAsia="楷体"/>
          <w:color w:val="auto"/>
          <w:szCs w:val="21"/>
        </w:rPr>
        <w:t>不应小于1.2</w:t>
      </w:r>
      <w:r>
        <w:rPr>
          <w:rFonts w:hint="eastAsia" w:eastAsia="楷体"/>
          <w:i/>
          <w:iCs/>
          <w:color w:val="auto"/>
          <w:szCs w:val="21"/>
        </w:rPr>
        <w:t>l</w:t>
      </w:r>
      <w:r>
        <w:rPr>
          <w:rFonts w:hint="eastAsia" w:eastAsia="楷体"/>
          <w:i/>
          <w:iCs/>
          <w:color w:val="auto"/>
          <w:szCs w:val="21"/>
          <w:vertAlign w:val="subscript"/>
        </w:rPr>
        <w:t>a</w:t>
      </w:r>
      <w:r>
        <w:rPr>
          <w:rFonts w:eastAsia="楷体"/>
          <w:color w:val="auto"/>
          <w:szCs w:val="21"/>
        </w:rPr>
        <w:t>；</w:t>
      </w:r>
    </w:p>
    <w:p w14:paraId="0A3DD250">
      <w:pPr>
        <w:numPr>
          <w:ilvl w:val="255"/>
          <w:numId w:val="0"/>
        </w:numPr>
        <w:tabs>
          <w:tab w:val="left" w:pos="0"/>
        </w:tabs>
        <w:spacing w:line="312" w:lineRule="auto"/>
        <w:ind w:firstLine="422" w:firstLineChars="200"/>
        <w:rPr>
          <w:rFonts w:eastAsia="楷体"/>
          <w:color w:val="auto"/>
          <w:szCs w:val="21"/>
        </w:rPr>
      </w:pPr>
      <w:r>
        <w:rPr>
          <w:rFonts w:hint="eastAsia" w:eastAsia="楷体"/>
          <w:b/>
          <w:bCs/>
          <w:color w:val="auto"/>
          <w:szCs w:val="21"/>
        </w:rPr>
        <w:t>4</w:t>
      </w:r>
      <w:r>
        <w:rPr>
          <w:rFonts w:eastAsia="楷体"/>
          <w:b/>
          <w:bCs/>
          <w:color w:val="auto"/>
          <w:szCs w:val="21"/>
        </w:rPr>
        <w:t xml:space="preserve"> </w:t>
      </w:r>
      <w:r>
        <w:rPr>
          <w:rFonts w:eastAsia="楷体"/>
          <w:color w:val="auto"/>
          <w:szCs w:val="21"/>
        </w:rPr>
        <w:t xml:space="preserve"> 垂直于</w:t>
      </w:r>
      <w:r>
        <w:rPr>
          <w:rFonts w:hint="eastAsia" w:eastAsia="楷体"/>
          <w:color w:val="auto"/>
          <w:szCs w:val="21"/>
        </w:rPr>
        <w:t>水平</w:t>
      </w:r>
      <w:r>
        <w:rPr>
          <w:rFonts w:eastAsia="楷体"/>
          <w:color w:val="auto"/>
          <w:szCs w:val="21"/>
        </w:rPr>
        <w:t>搭接钢筋的方向应布置横向分布钢筋，在搭接范围内不宜少于3根，且钢筋直径不宜小于6mm，间距不宜大于250mm；</w:t>
      </w:r>
    </w:p>
    <w:p w14:paraId="236A4BEE">
      <w:pPr>
        <w:numPr>
          <w:ilvl w:val="255"/>
          <w:numId w:val="0"/>
        </w:numPr>
        <w:tabs>
          <w:tab w:val="left" w:pos="0"/>
        </w:tabs>
        <w:spacing w:line="312" w:lineRule="auto"/>
        <w:ind w:firstLine="422" w:firstLineChars="200"/>
        <w:rPr>
          <w:rFonts w:eastAsia="楷体"/>
          <w:color w:val="auto"/>
          <w:szCs w:val="21"/>
        </w:rPr>
      </w:pPr>
      <w:r>
        <w:rPr>
          <w:rFonts w:hint="eastAsia" w:eastAsia="楷体"/>
          <w:b/>
          <w:bCs/>
          <w:color w:val="auto"/>
          <w:szCs w:val="21"/>
        </w:rPr>
        <w:t>5</w:t>
      </w:r>
      <w:r>
        <w:rPr>
          <w:rFonts w:hint="eastAsia" w:eastAsia="楷体"/>
          <w:color w:val="auto"/>
          <w:szCs w:val="21"/>
        </w:rPr>
        <w:t xml:space="preserve">  模块单元框架梁和顶板的结合面应设置粗糙面，粗糙面的面积不宜小于结合面的80%，模块单元顶板结合面的粗糙面凹凸深度不应小于4mm，框架梁结合面的粗糙面凹凸深度不应小于6mm。</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10"/>
        <w:gridCol w:w="4512"/>
      </w:tblGrid>
      <w:tr w14:paraId="66781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010" w:type="dxa"/>
            <w:vAlign w:val="center"/>
          </w:tcPr>
          <w:p w14:paraId="38CDD111">
            <w:pPr>
              <w:numPr>
                <w:ilvl w:val="255"/>
                <w:numId w:val="0"/>
              </w:numPr>
              <w:tabs>
                <w:tab w:val="left" w:pos="0"/>
              </w:tabs>
              <w:snapToGrid w:val="0"/>
              <w:jc w:val="center"/>
              <w:rPr>
                <w:rFonts w:eastAsia="楷体"/>
                <w:color w:val="auto"/>
              </w:rPr>
            </w:pPr>
            <w:r>
              <w:rPr>
                <w:color w:val="auto"/>
              </w:rPr>
              <w:drawing>
                <wp:inline distT="0" distB="0" distL="114300" distR="114300">
                  <wp:extent cx="1479550" cy="1440180"/>
                  <wp:effectExtent l="0" t="0" r="13970" b="7620"/>
                  <wp:docPr id="12" name="图片 12" descr="img_v3_02kg_a1b6a3c1-173e-47f4-829b-c18af66a07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v3_02kg_a1b6a3c1-173e-47f4-829b-c18af66a07bg"/>
                          <pic:cNvPicPr>
                            <a:picLocks noChangeAspect="1"/>
                          </pic:cNvPicPr>
                        </pic:nvPicPr>
                        <pic:blipFill>
                          <a:blip r:embed="rId37"/>
                          <a:stretch>
                            <a:fillRect/>
                          </a:stretch>
                        </pic:blipFill>
                        <pic:spPr>
                          <a:xfrm>
                            <a:off x="0" y="0"/>
                            <a:ext cx="1479550" cy="1440180"/>
                          </a:xfrm>
                          <a:prstGeom prst="rect">
                            <a:avLst/>
                          </a:prstGeom>
                        </pic:spPr>
                      </pic:pic>
                    </a:graphicData>
                  </a:graphic>
                </wp:inline>
              </w:drawing>
            </w:r>
          </w:p>
        </w:tc>
        <w:tc>
          <w:tcPr>
            <w:tcW w:w="4512" w:type="dxa"/>
            <w:vAlign w:val="center"/>
          </w:tcPr>
          <w:p w14:paraId="51E0754A">
            <w:pPr>
              <w:numPr>
                <w:ilvl w:val="255"/>
                <w:numId w:val="0"/>
              </w:numPr>
              <w:tabs>
                <w:tab w:val="left" w:pos="0"/>
              </w:tabs>
              <w:snapToGrid w:val="0"/>
              <w:jc w:val="center"/>
              <w:rPr>
                <w:color w:val="auto"/>
              </w:rPr>
            </w:pPr>
            <w:r>
              <w:rPr>
                <w:rFonts w:hint="eastAsia"/>
                <w:color w:val="auto"/>
              </w:rPr>
              <w:drawing>
                <wp:inline distT="0" distB="0" distL="114300" distR="114300">
                  <wp:extent cx="2519045" cy="1440180"/>
                  <wp:effectExtent l="0" t="0" r="10795" b="7620"/>
                  <wp:docPr id="13" name="图片 13" descr="img_v3_02kg_9b99c55e-9a9f-4069-bc27-75beeb9dc94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v3_02kg_9b99c55e-9a9f-4069-bc27-75beeb9dc94g"/>
                          <pic:cNvPicPr>
                            <a:picLocks noChangeAspect="1"/>
                          </pic:cNvPicPr>
                        </pic:nvPicPr>
                        <pic:blipFill>
                          <a:blip r:embed="rId38"/>
                          <a:stretch>
                            <a:fillRect/>
                          </a:stretch>
                        </pic:blipFill>
                        <pic:spPr>
                          <a:xfrm>
                            <a:off x="0" y="0"/>
                            <a:ext cx="2519045" cy="1440180"/>
                          </a:xfrm>
                          <a:prstGeom prst="rect">
                            <a:avLst/>
                          </a:prstGeom>
                        </pic:spPr>
                      </pic:pic>
                    </a:graphicData>
                  </a:graphic>
                </wp:inline>
              </w:drawing>
            </w:r>
          </w:p>
        </w:tc>
      </w:tr>
      <w:tr w14:paraId="7355C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010" w:type="dxa"/>
            <w:vAlign w:val="center"/>
          </w:tcPr>
          <w:p w14:paraId="0478BCBB">
            <w:pPr>
              <w:numPr>
                <w:ilvl w:val="0"/>
                <w:numId w:val="14"/>
              </w:numPr>
              <w:tabs>
                <w:tab w:val="left" w:pos="0"/>
              </w:tabs>
              <w:adjustRightInd w:val="0"/>
              <w:snapToGrid w:val="0"/>
              <w:spacing w:line="400" w:lineRule="exact"/>
              <w:jc w:val="center"/>
              <w:rPr>
                <w:rFonts w:eastAsia="楷体"/>
                <w:color w:val="auto"/>
                <w:szCs w:val="21"/>
              </w:rPr>
            </w:pPr>
            <w:r>
              <w:rPr>
                <w:rFonts w:eastAsia="楷体"/>
                <w:color w:val="auto"/>
                <w:szCs w:val="21"/>
              </w:rPr>
              <w:t xml:space="preserve"> 端节点</w:t>
            </w:r>
          </w:p>
        </w:tc>
        <w:tc>
          <w:tcPr>
            <w:tcW w:w="4512" w:type="dxa"/>
            <w:vAlign w:val="center"/>
          </w:tcPr>
          <w:p w14:paraId="392D4DE1">
            <w:pPr>
              <w:numPr>
                <w:ilvl w:val="0"/>
                <w:numId w:val="14"/>
              </w:numPr>
              <w:tabs>
                <w:tab w:val="left" w:pos="0"/>
              </w:tabs>
              <w:adjustRightInd w:val="0"/>
              <w:snapToGrid w:val="0"/>
              <w:spacing w:line="400" w:lineRule="exact"/>
              <w:jc w:val="center"/>
              <w:rPr>
                <w:rFonts w:eastAsia="楷体"/>
                <w:color w:val="auto"/>
                <w:szCs w:val="21"/>
              </w:rPr>
            </w:pPr>
            <w:r>
              <w:rPr>
                <w:rFonts w:eastAsia="楷体"/>
                <w:color w:val="auto"/>
                <w:szCs w:val="21"/>
              </w:rPr>
              <w:t xml:space="preserve"> 中节点</w:t>
            </w:r>
          </w:p>
        </w:tc>
      </w:tr>
    </w:tbl>
    <w:p w14:paraId="581C0D44">
      <w:pPr>
        <w:numPr>
          <w:ilvl w:val="255"/>
          <w:numId w:val="0"/>
        </w:numPr>
        <w:tabs>
          <w:tab w:val="left" w:pos="0"/>
        </w:tabs>
        <w:spacing w:line="400" w:lineRule="exact"/>
        <w:jc w:val="center"/>
        <w:rPr>
          <w:rFonts w:eastAsia="楷体"/>
          <w:color w:val="auto"/>
          <w:szCs w:val="21"/>
        </w:rPr>
      </w:pPr>
      <w:r>
        <w:rPr>
          <w:rFonts w:hint="eastAsia" w:ascii="楷体" w:hAnsi="楷体" w:eastAsia="楷体" w:cs="楷体"/>
          <w:color w:val="auto"/>
          <w:szCs w:val="21"/>
        </w:rPr>
        <w:t>图</w:t>
      </w:r>
      <w:r>
        <w:rPr>
          <w:rFonts w:eastAsia="楷体"/>
          <w:bCs/>
          <w:color w:val="auto"/>
          <w:szCs w:val="21"/>
        </w:rPr>
        <w:t>1</w:t>
      </w:r>
      <w:r>
        <w:rPr>
          <w:rFonts w:hint="eastAsia" w:eastAsia="楷体"/>
          <w:bCs/>
          <w:color w:val="auto"/>
          <w:szCs w:val="21"/>
        </w:rPr>
        <w:t>1</w:t>
      </w:r>
      <w:r>
        <w:rPr>
          <w:rFonts w:eastAsia="楷体"/>
          <w:bCs/>
          <w:color w:val="auto"/>
          <w:szCs w:val="21"/>
        </w:rPr>
        <w:t xml:space="preserve"> </w:t>
      </w:r>
      <w:r>
        <w:rPr>
          <w:rFonts w:hint="eastAsia" w:ascii="楷体" w:hAnsi="楷体" w:eastAsia="楷体" w:cs="楷体"/>
          <w:color w:val="auto"/>
          <w:szCs w:val="21"/>
        </w:rPr>
        <w:t xml:space="preserve"> 框架式模块连接节点示意</w:t>
      </w:r>
    </w:p>
    <w:p w14:paraId="0486A9E6">
      <w:pPr>
        <w:widowControl/>
        <w:numPr>
          <w:ilvl w:val="255"/>
          <w:numId w:val="0"/>
        </w:numPr>
        <w:adjustRightInd w:val="0"/>
        <w:snapToGrid w:val="0"/>
        <w:spacing w:line="400" w:lineRule="exact"/>
        <w:jc w:val="center"/>
        <w:rPr>
          <w:rFonts w:eastAsia="楷体"/>
          <w:color w:val="auto"/>
          <w:szCs w:val="21"/>
        </w:rPr>
      </w:pPr>
      <w:r>
        <w:rPr>
          <w:rFonts w:eastAsia="楷体"/>
          <w:color w:val="auto"/>
          <w:szCs w:val="21"/>
        </w:rPr>
        <w:t>1—模块单元框架梁；2—模块单元顶板；3—现浇层；4—水平搭接钢筋；</w:t>
      </w:r>
    </w:p>
    <w:p w14:paraId="7BDDA8B1">
      <w:pPr>
        <w:widowControl/>
        <w:numPr>
          <w:ilvl w:val="255"/>
          <w:numId w:val="0"/>
        </w:numPr>
        <w:adjustRightInd w:val="0"/>
        <w:snapToGrid w:val="0"/>
        <w:spacing w:line="400" w:lineRule="exact"/>
        <w:jc w:val="center"/>
        <w:rPr>
          <w:rFonts w:eastAsia="楷体"/>
          <w:color w:val="auto"/>
          <w:szCs w:val="21"/>
        </w:rPr>
      </w:pPr>
      <w:r>
        <w:rPr>
          <w:rFonts w:eastAsia="楷体"/>
          <w:color w:val="auto"/>
          <w:szCs w:val="21"/>
        </w:rPr>
        <w:t>5—附加构造钢筋；6—模块单元顶板钢筋；7—粗糙面</w:t>
      </w:r>
    </w:p>
    <w:p w14:paraId="5FA5DEFA">
      <w:pPr>
        <w:pStyle w:val="5"/>
        <w:rPr>
          <w:rFonts w:eastAsia="仿宋" w:cs="Times New Roman"/>
          <w:color w:val="auto"/>
        </w:rPr>
      </w:pPr>
      <w:r>
        <w:rPr>
          <w:rFonts w:hint="eastAsia" w:eastAsia="仿宋" w:cs="Times New Roman"/>
          <w:color w:val="auto"/>
        </w:rPr>
        <w:t>（</w:t>
      </w:r>
      <w:r>
        <w:rPr>
          <w:rFonts w:eastAsia="仿宋" w:cs="Times New Roman"/>
          <w:color w:val="auto"/>
        </w:rPr>
        <w:t>Ⅱ</w:t>
      </w:r>
      <w:r>
        <w:rPr>
          <w:rFonts w:hint="eastAsia" w:eastAsia="仿宋" w:cs="Times New Roman"/>
          <w:color w:val="auto"/>
        </w:rPr>
        <w:t>）</w:t>
      </w:r>
      <w:r>
        <w:rPr>
          <w:rFonts w:eastAsia="仿宋" w:cs="Times New Roman"/>
          <w:color w:val="auto"/>
        </w:rPr>
        <w:t>模块化预制剪力墙结构</w:t>
      </w:r>
    </w:p>
    <w:p w14:paraId="6062BB51">
      <w:pPr>
        <w:numPr>
          <w:ilvl w:val="0"/>
          <w:numId w:val="13"/>
        </w:numPr>
        <w:spacing w:line="312" w:lineRule="auto"/>
        <w:rPr>
          <w:bCs/>
          <w:color w:val="auto"/>
        </w:rPr>
      </w:pPr>
      <w:r>
        <w:rPr>
          <w:rFonts w:hint="eastAsia"/>
          <w:bCs/>
          <w:color w:val="auto"/>
        </w:rPr>
        <w:t>模块化预制剪力墙结构体系的分析模型等同于装配整体式剪力墙结构（图6.2.8）。其结构计算分析应符合现行行业标准《装配式混凝土结构设计规程》JGJ 1的规定。</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48227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tcPr>
          <w:p w14:paraId="5322EB12">
            <w:pPr>
              <w:adjustRightInd w:val="0"/>
              <w:snapToGrid w:val="0"/>
              <w:jc w:val="center"/>
              <w:rPr>
                <w:color w:val="auto"/>
              </w:rPr>
            </w:pPr>
            <w:r>
              <w:rPr>
                <w:color w:val="auto"/>
              </w:rPr>
              <w:drawing>
                <wp:inline distT="0" distB="0" distL="114300" distR="114300">
                  <wp:extent cx="2491105" cy="1800225"/>
                  <wp:effectExtent l="0" t="0" r="4445" b="9525"/>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39"/>
                          <a:stretch>
                            <a:fillRect/>
                          </a:stretch>
                        </pic:blipFill>
                        <pic:spPr>
                          <a:xfrm>
                            <a:off x="0" y="0"/>
                            <a:ext cx="2491105" cy="1800225"/>
                          </a:xfrm>
                          <a:prstGeom prst="rect">
                            <a:avLst/>
                          </a:prstGeom>
                          <a:noFill/>
                          <a:ln>
                            <a:noFill/>
                          </a:ln>
                        </pic:spPr>
                      </pic:pic>
                    </a:graphicData>
                  </a:graphic>
                </wp:inline>
              </w:drawing>
            </w:r>
          </w:p>
        </w:tc>
      </w:tr>
    </w:tbl>
    <w:p w14:paraId="04F423B8">
      <w:pPr>
        <w:pStyle w:val="26"/>
        <w:rPr>
          <w:color w:val="auto"/>
        </w:rPr>
      </w:pPr>
      <w:r>
        <w:rPr>
          <w:rFonts w:hint="eastAsia"/>
          <w:color w:val="auto"/>
        </w:rPr>
        <w:t>图</w:t>
      </w:r>
      <w:r>
        <w:rPr>
          <w:rFonts w:hint="eastAsia"/>
          <w:b/>
          <w:color w:val="auto"/>
        </w:rPr>
        <w:t>6</w:t>
      </w:r>
      <w:r>
        <w:rPr>
          <w:rFonts w:ascii="宋体" w:hAnsi="宋体"/>
          <w:b/>
          <w:color w:val="auto"/>
        </w:rPr>
        <w:t>.</w:t>
      </w:r>
      <w:r>
        <w:rPr>
          <w:rFonts w:hint="eastAsia"/>
          <w:b/>
          <w:color w:val="auto"/>
        </w:rPr>
        <w:t>2</w:t>
      </w:r>
      <w:r>
        <w:rPr>
          <w:rFonts w:ascii="宋体" w:hAnsi="宋体"/>
          <w:b/>
          <w:color w:val="auto"/>
        </w:rPr>
        <w:t>.</w:t>
      </w:r>
      <w:r>
        <w:rPr>
          <w:rFonts w:hint="eastAsia"/>
          <w:b/>
          <w:color w:val="auto"/>
        </w:rPr>
        <w:t xml:space="preserve">8  </w:t>
      </w:r>
      <w:r>
        <w:rPr>
          <w:rFonts w:hint="eastAsia"/>
          <w:color w:val="auto"/>
        </w:rPr>
        <w:t>模块化预制剪力墙结构示意图</w:t>
      </w:r>
    </w:p>
    <w:p w14:paraId="50ED6803">
      <w:pPr>
        <w:pStyle w:val="26"/>
        <w:rPr>
          <w:color w:val="auto"/>
        </w:rPr>
      </w:pPr>
      <w:r>
        <w:rPr>
          <w:rFonts w:hint="eastAsia"/>
          <w:color w:val="auto"/>
        </w:rPr>
        <w:t>1—左方预制剪力墙式模块单元；2—右方预制剪力墙式模块单元；3—预制剪力墙；</w:t>
      </w:r>
    </w:p>
    <w:p w14:paraId="578D1611">
      <w:pPr>
        <w:pStyle w:val="26"/>
        <w:rPr>
          <w:color w:val="auto"/>
        </w:rPr>
      </w:pPr>
      <w:r>
        <w:rPr>
          <w:rFonts w:hint="eastAsia"/>
          <w:color w:val="auto"/>
        </w:rPr>
        <w:t>4—左方预制剪力墙式模块单元墙模；5—叠合顶板；6—装饰底板；7—模块单元拼缝；</w:t>
      </w:r>
    </w:p>
    <w:p w14:paraId="710763AD">
      <w:pPr>
        <w:numPr>
          <w:ilvl w:val="0"/>
          <w:numId w:val="13"/>
        </w:numPr>
        <w:spacing w:line="312" w:lineRule="auto"/>
        <w:rPr>
          <w:bCs/>
          <w:color w:val="auto"/>
        </w:rPr>
      </w:pPr>
      <w:r>
        <w:rPr>
          <w:rFonts w:hint="eastAsia"/>
          <w:bCs/>
          <w:color w:val="auto"/>
        </w:rPr>
        <w:t>高层模块化预制剪力墙结构底部加强部位的剪力墙宜采用现浇混凝土。</w:t>
      </w:r>
    </w:p>
    <w:p w14:paraId="5847C795">
      <w:pPr>
        <w:numPr>
          <w:ilvl w:val="0"/>
          <w:numId w:val="13"/>
        </w:numPr>
        <w:spacing w:line="312" w:lineRule="auto"/>
        <w:rPr>
          <w:bCs/>
          <w:color w:val="auto"/>
        </w:rPr>
      </w:pPr>
      <w:r>
        <w:rPr>
          <w:rFonts w:hint="eastAsia"/>
          <w:bCs/>
          <w:color w:val="auto"/>
        </w:rPr>
        <w:t>模块化预制剪力墙结构中的预制剪力墙可采用一字形、L形和T形截面，剪力墙端部应与隔墙采用柔性材料分隔。</w:t>
      </w:r>
    </w:p>
    <w:p w14:paraId="100D1128">
      <w:pPr>
        <w:numPr>
          <w:ilvl w:val="0"/>
          <w:numId w:val="13"/>
        </w:numPr>
        <w:spacing w:line="312" w:lineRule="auto"/>
        <w:rPr>
          <w:bCs/>
          <w:color w:val="auto"/>
        </w:rPr>
      </w:pPr>
      <w:r>
        <w:rPr>
          <w:rFonts w:hint="eastAsia"/>
          <w:bCs/>
          <w:color w:val="auto"/>
        </w:rPr>
        <w:t>模块化预制剪力墙结构中模块单元与梁、剪力墙和楼板的连接构造应符合下列规定：</w:t>
      </w:r>
    </w:p>
    <w:p w14:paraId="1EB9F800">
      <w:pPr>
        <w:adjustRightInd w:val="0"/>
        <w:snapToGrid w:val="0"/>
        <w:spacing w:line="312" w:lineRule="auto"/>
        <w:ind w:firstLine="422" w:firstLineChars="200"/>
        <w:rPr>
          <w:color w:val="auto"/>
        </w:rPr>
      </w:pPr>
      <w:r>
        <w:rPr>
          <w:b/>
          <w:color w:val="auto"/>
        </w:rPr>
        <w:t xml:space="preserve">1  </w:t>
      </w:r>
      <w:r>
        <w:rPr>
          <w:rFonts w:hint="eastAsia"/>
          <w:color w:val="auto"/>
        </w:rPr>
        <w:t>后浇混凝土梁底与梁模之间应设置柔性层；</w:t>
      </w:r>
    </w:p>
    <w:p w14:paraId="75390005">
      <w:pPr>
        <w:adjustRightInd w:val="0"/>
        <w:snapToGrid w:val="0"/>
        <w:spacing w:line="312" w:lineRule="auto"/>
        <w:ind w:firstLine="422" w:firstLineChars="200"/>
        <w:rPr>
          <w:color w:val="auto"/>
        </w:rPr>
      </w:pPr>
      <w:r>
        <w:rPr>
          <w:b/>
          <w:color w:val="auto"/>
        </w:rPr>
        <w:t xml:space="preserve">2  </w:t>
      </w:r>
      <w:r>
        <w:rPr>
          <w:rFonts w:hint="eastAsia"/>
          <w:color w:val="auto"/>
        </w:rPr>
        <w:t>预制剪力墙</w:t>
      </w:r>
      <w:r>
        <w:rPr>
          <w:rFonts w:hint="eastAsia"/>
          <w:bCs/>
          <w:color w:val="auto"/>
        </w:rPr>
        <w:t>、墙模底与结构板之间采用座浆时，座浆料强度等级不宜小于</w:t>
      </w:r>
      <w:r>
        <w:rPr>
          <w:bCs/>
          <w:color w:val="auto"/>
        </w:rPr>
        <w:t>C60</w:t>
      </w:r>
      <w:r>
        <w:rPr>
          <w:rFonts w:hint="eastAsia"/>
          <w:bCs/>
          <w:color w:val="auto"/>
        </w:rPr>
        <w:t>，且不应小于墙、柱强度等级</w:t>
      </w:r>
      <w:r>
        <w:rPr>
          <w:bCs/>
          <w:color w:val="auto"/>
        </w:rPr>
        <w:t>，</w:t>
      </w:r>
      <w:r>
        <w:rPr>
          <w:rFonts w:hint="eastAsia"/>
          <w:color w:val="auto"/>
        </w:rPr>
        <w:t>座浆厚度宜取1</w:t>
      </w:r>
      <w:r>
        <w:rPr>
          <w:color w:val="auto"/>
        </w:rPr>
        <w:t>0mm~</w:t>
      </w:r>
      <w:r>
        <w:rPr>
          <w:rFonts w:hint="eastAsia"/>
          <w:color w:val="auto"/>
        </w:rPr>
        <w:t>2</w:t>
      </w:r>
      <w:r>
        <w:rPr>
          <w:color w:val="auto"/>
        </w:rPr>
        <w:t>0</w:t>
      </w:r>
      <w:r>
        <w:rPr>
          <w:rFonts w:hint="eastAsia"/>
          <w:color w:val="auto"/>
        </w:rPr>
        <w:t>mm；</w:t>
      </w:r>
    </w:p>
    <w:p w14:paraId="2587056D">
      <w:pPr>
        <w:rPr>
          <w:bCs/>
          <w:color w:val="auto"/>
        </w:rPr>
      </w:pPr>
      <w:r>
        <w:rPr>
          <w:b/>
          <w:color w:val="auto"/>
        </w:rPr>
        <w:t>3</w:t>
      </w:r>
      <w:r>
        <w:rPr>
          <w:rFonts w:hint="eastAsia"/>
          <w:bCs/>
          <w:color w:val="auto"/>
        </w:rPr>
        <w:t xml:space="preserve">  若采用套筒灌浆连接，应符合现行行业标准《钢筋套筒灌浆连接应用技术规程》JGJ 355的规定。</w:t>
      </w:r>
    </w:p>
    <w:p w14:paraId="6F9F4BB5">
      <w:pPr>
        <w:widowControl/>
        <w:spacing w:line="312" w:lineRule="auto"/>
        <w:ind w:firstLine="420" w:firstLineChars="200"/>
        <w:rPr>
          <w:color w:val="auto"/>
        </w:rPr>
      </w:pPr>
      <w:r>
        <w:rPr>
          <w:rFonts w:eastAsia="楷体"/>
          <w:color w:val="auto"/>
        </w:rPr>
        <w:t>【条文说明】</w:t>
      </w:r>
      <w:r>
        <w:rPr>
          <w:rFonts w:hint="eastAsia" w:eastAsia="楷体"/>
          <w:color w:val="auto"/>
        </w:rPr>
        <w:t>模块化预制剪力墙结构竖向连接节点示意如图12所示。</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7DC4F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14:paraId="02CE9E06">
            <w:pPr>
              <w:adjustRightInd w:val="0"/>
              <w:snapToGrid w:val="0"/>
              <w:jc w:val="center"/>
              <w:rPr>
                <w:color w:val="auto"/>
              </w:rPr>
            </w:pPr>
            <w:r>
              <w:rPr>
                <w:color w:val="auto"/>
              </w:rPr>
              <w:drawing>
                <wp:inline distT="0" distB="0" distL="114300" distR="114300">
                  <wp:extent cx="2106295" cy="1800225"/>
                  <wp:effectExtent l="0" t="0" r="12065" b="13335"/>
                  <wp:docPr id="7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30"/>
                          <pic:cNvPicPr>
                            <a:picLocks noChangeAspect="1"/>
                          </pic:cNvPicPr>
                        </pic:nvPicPr>
                        <pic:blipFill>
                          <a:blip r:embed="rId40"/>
                          <a:stretch>
                            <a:fillRect/>
                          </a:stretch>
                        </pic:blipFill>
                        <pic:spPr>
                          <a:xfrm>
                            <a:off x="0" y="0"/>
                            <a:ext cx="2106295" cy="1800225"/>
                          </a:xfrm>
                          <a:prstGeom prst="rect">
                            <a:avLst/>
                          </a:prstGeom>
                          <a:noFill/>
                          <a:ln>
                            <a:noFill/>
                          </a:ln>
                        </pic:spPr>
                      </pic:pic>
                    </a:graphicData>
                  </a:graphic>
                </wp:inline>
              </w:drawing>
            </w:r>
          </w:p>
        </w:tc>
        <w:tc>
          <w:tcPr>
            <w:tcW w:w="4261" w:type="dxa"/>
          </w:tcPr>
          <w:p w14:paraId="5555756E">
            <w:pPr>
              <w:adjustRightInd w:val="0"/>
              <w:snapToGrid w:val="0"/>
              <w:jc w:val="center"/>
              <w:rPr>
                <w:color w:val="auto"/>
              </w:rPr>
            </w:pPr>
            <w:r>
              <w:rPr>
                <w:color w:val="auto"/>
              </w:rPr>
              <w:drawing>
                <wp:inline distT="0" distB="0" distL="114300" distR="114300">
                  <wp:extent cx="1977390" cy="1800225"/>
                  <wp:effectExtent l="0" t="0" r="3810" b="13335"/>
                  <wp:docPr id="7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1"/>
                          <pic:cNvPicPr>
                            <a:picLocks noChangeAspect="1"/>
                          </pic:cNvPicPr>
                        </pic:nvPicPr>
                        <pic:blipFill>
                          <a:blip r:embed="rId41"/>
                          <a:stretch>
                            <a:fillRect/>
                          </a:stretch>
                        </pic:blipFill>
                        <pic:spPr>
                          <a:xfrm>
                            <a:off x="0" y="0"/>
                            <a:ext cx="1977390" cy="1800225"/>
                          </a:xfrm>
                          <a:prstGeom prst="rect">
                            <a:avLst/>
                          </a:prstGeom>
                          <a:noFill/>
                          <a:ln>
                            <a:noFill/>
                          </a:ln>
                        </pic:spPr>
                      </pic:pic>
                    </a:graphicData>
                  </a:graphic>
                </wp:inline>
              </w:drawing>
            </w:r>
          </w:p>
        </w:tc>
      </w:tr>
      <w:tr w14:paraId="36449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vAlign w:val="center"/>
          </w:tcPr>
          <w:p w14:paraId="535B7730">
            <w:pPr>
              <w:widowControl/>
              <w:numPr>
                <w:ilvl w:val="255"/>
                <w:numId w:val="0"/>
              </w:numPr>
              <w:tabs>
                <w:tab w:val="left" w:pos="0"/>
              </w:tabs>
              <w:spacing w:line="312" w:lineRule="auto"/>
              <w:jc w:val="center"/>
              <w:rPr>
                <w:rFonts w:eastAsia="楷体"/>
                <w:bCs/>
                <w:color w:val="auto"/>
                <w:szCs w:val="21"/>
              </w:rPr>
            </w:pPr>
            <w:r>
              <w:rPr>
                <w:rFonts w:eastAsia="楷体"/>
                <w:bCs/>
                <w:color w:val="auto"/>
                <w:szCs w:val="21"/>
              </w:rPr>
              <w:t>(a)  预制剪力墙式模块与剪力墙、楼板连接节点</w:t>
            </w:r>
          </w:p>
        </w:tc>
        <w:tc>
          <w:tcPr>
            <w:tcW w:w="4261" w:type="dxa"/>
            <w:vAlign w:val="center"/>
          </w:tcPr>
          <w:p w14:paraId="1EC02EA8">
            <w:pPr>
              <w:widowControl/>
              <w:numPr>
                <w:ilvl w:val="255"/>
                <w:numId w:val="0"/>
              </w:numPr>
              <w:tabs>
                <w:tab w:val="left" w:pos="0"/>
              </w:tabs>
              <w:spacing w:line="312" w:lineRule="auto"/>
              <w:jc w:val="center"/>
              <w:rPr>
                <w:rFonts w:eastAsia="楷体"/>
                <w:bCs/>
                <w:color w:val="auto"/>
                <w:szCs w:val="21"/>
              </w:rPr>
            </w:pPr>
            <w:r>
              <w:rPr>
                <w:rFonts w:eastAsia="楷体"/>
                <w:bCs/>
                <w:color w:val="auto"/>
                <w:szCs w:val="21"/>
              </w:rPr>
              <w:t xml:space="preserve">(b)  </w:t>
            </w:r>
            <w:r>
              <w:rPr>
                <w:rFonts w:hint="eastAsia" w:eastAsia="楷体"/>
                <w:bCs/>
                <w:color w:val="auto"/>
                <w:szCs w:val="21"/>
              </w:rPr>
              <w:t>模块单元隔墙</w:t>
            </w:r>
            <w:r>
              <w:rPr>
                <w:rFonts w:eastAsia="楷体"/>
                <w:bCs/>
                <w:color w:val="auto"/>
                <w:szCs w:val="21"/>
              </w:rPr>
              <w:t>与梁、楼板连接节点</w:t>
            </w:r>
          </w:p>
        </w:tc>
      </w:tr>
    </w:tbl>
    <w:p w14:paraId="44CE9545">
      <w:pPr>
        <w:widowControl/>
        <w:tabs>
          <w:tab w:val="left" w:pos="0"/>
        </w:tabs>
        <w:spacing w:line="312" w:lineRule="auto"/>
        <w:jc w:val="center"/>
        <w:rPr>
          <w:rFonts w:eastAsia="楷体"/>
          <w:bCs/>
          <w:color w:val="auto"/>
          <w:szCs w:val="21"/>
        </w:rPr>
      </w:pPr>
      <w:r>
        <w:rPr>
          <w:rFonts w:eastAsia="楷体"/>
          <w:bCs/>
          <w:color w:val="auto"/>
          <w:szCs w:val="21"/>
        </w:rPr>
        <w:t>图12  模块化预制剪力墙结构竖向连接节点示意</w:t>
      </w:r>
    </w:p>
    <w:p w14:paraId="51A3C2B2">
      <w:pPr>
        <w:widowControl/>
        <w:tabs>
          <w:tab w:val="left" w:pos="0"/>
        </w:tabs>
        <w:spacing w:line="312" w:lineRule="auto"/>
        <w:jc w:val="center"/>
        <w:rPr>
          <w:rFonts w:eastAsia="楷体"/>
          <w:bCs/>
          <w:color w:val="auto"/>
          <w:szCs w:val="21"/>
        </w:rPr>
      </w:pPr>
      <w:r>
        <w:rPr>
          <w:rFonts w:eastAsia="楷体"/>
          <w:bCs/>
          <w:color w:val="auto"/>
          <w:szCs w:val="21"/>
        </w:rPr>
        <w:t>1—预制剪力墙；2—左方全预制剪力墙式模块单元隔墙；3—模块单元拼缝；</w:t>
      </w:r>
    </w:p>
    <w:p w14:paraId="4013C7F3">
      <w:pPr>
        <w:widowControl/>
        <w:tabs>
          <w:tab w:val="left" w:pos="0"/>
        </w:tabs>
        <w:spacing w:line="312" w:lineRule="auto"/>
        <w:jc w:val="center"/>
        <w:rPr>
          <w:rFonts w:eastAsia="楷体"/>
          <w:bCs/>
          <w:color w:val="auto"/>
          <w:szCs w:val="21"/>
        </w:rPr>
      </w:pPr>
      <w:r>
        <w:rPr>
          <w:rFonts w:eastAsia="楷体"/>
          <w:bCs/>
          <w:color w:val="auto"/>
          <w:szCs w:val="21"/>
        </w:rPr>
        <w:t>4—叠合板后浇混凝土；5—装饰底板；6—叠合楼板预制部分；7—座浆层；</w:t>
      </w:r>
    </w:p>
    <w:p w14:paraId="509388AB">
      <w:pPr>
        <w:widowControl/>
        <w:tabs>
          <w:tab w:val="left" w:pos="0"/>
        </w:tabs>
        <w:spacing w:line="312" w:lineRule="auto"/>
        <w:jc w:val="center"/>
        <w:rPr>
          <w:rFonts w:eastAsia="楷体"/>
          <w:bCs/>
          <w:color w:val="auto"/>
          <w:szCs w:val="21"/>
        </w:rPr>
      </w:pPr>
      <w:r>
        <w:rPr>
          <w:rFonts w:eastAsia="楷体"/>
          <w:bCs/>
          <w:color w:val="auto"/>
          <w:szCs w:val="21"/>
        </w:rPr>
        <w:t>8—封堵材料；9—柔性层；10—模块单元隔墙；11—梁壳</w:t>
      </w:r>
    </w:p>
    <w:p w14:paraId="0565E58D">
      <w:pPr>
        <w:pStyle w:val="5"/>
        <w:rPr>
          <w:rFonts w:eastAsia="仿宋" w:cs="Times New Roman"/>
          <w:color w:val="auto"/>
        </w:rPr>
      </w:pPr>
      <w:r>
        <w:rPr>
          <w:rFonts w:hint="eastAsia" w:eastAsia="仿宋" w:cs="Times New Roman"/>
          <w:b/>
          <w:bCs w:val="0"/>
          <w:color w:val="auto"/>
        </w:rPr>
        <w:t>（</w:t>
      </w:r>
      <w:r>
        <w:rPr>
          <w:rFonts w:eastAsia="仿宋" w:cs="Times New Roman"/>
          <w:color w:val="auto"/>
        </w:rPr>
        <w:t>Ⅲ</w:t>
      </w:r>
      <w:r>
        <w:rPr>
          <w:rFonts w:hint="eastAsia" w:eastAsia="仿宋" w:cs="Times New Roman"/>
          <w:b/>
          <w:bCs w:val="0"/>
          <w:color w:val="auto"/>
        </w:rPr>
        <w:t>）</w:t>
      </w:r>
      <w:r>
        <w:rPr>
          <w:rFonts w:eastAsia="仿宋" w:cs="Times New Roman"/>
          <w:color w:val="auto"/>
        </w:rPr>
        <w:t>模块化叠合剪力墙结构</w:t>
      </w:r>
    </w:p>
    <w:p w14:paraId="45FC3076">
      <w:pPr>
        <w:numPr>
          <w:ilvl w:val="0"/>
          <w:numId w:val="13"/>
        </w:numPr>
        <w:spacing w:line="312" w:lineRule="auto"/>
        <w:rPr>
          <w:bCs/>
          <w:color w:val="auto"/>
        </w:rPr>
      </w:pPr>
      <w:r>
        <w:rPr>
          <w:rFonts w:hint="eastAsia"/>
          <w:bCs/>
          <w:color w:val="auto"/>
        </w:rPr>
        <w:t>模块化叠合剪力墙结构体系的分析模型等同于叠合剪力墙结构（图6.2.12）。其结构计算分析应符合我省现行地方标准</w:t>
      </w:r>
      <w:r>
        <w:rPr>
          <w:bCs/>
          <w:color w:val="auto"/>
        </w:rPr>
        <w:t>《装配整体式叠合剪力墙结构技术规程》DBJ/T 15-210</w:t>
      </w:r>
      <w:r>
        <w:rPr>
          <w:rFonts w:hint="eastAsia"/>
          <w:bCs/>
          <w:color w:val="auto"/>
        </w:rPr>
        <w:t>。</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23F4D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tcPr>
          <w:p w14:paraId="63076160">
            <w:pPr>
              <w:adjustRightInd w:val="0"/>
              <w:snapToGrid w:val="0"/>
              <w:jc w:val="center"/>
              <w:rPr>
                <w:color w:val="auto"/>
              </w:rPr>
            </w:pPr>
            <w:r>
              <w:rPr>
                <w:rFonts w:hint="eastAsia"/>
                <w:color w:val="auto"/>
              </w:rPr>
              <w:drawing>
                <wp:inline distT="0" distB="0" distL="114300" distR="114300">
                  <wp:extent cx="2762250" cy="1800225"/>
                  <wp:effectExtent l="0" t="0" r="0" b="9525"/>
                  <wp:docPr id="10" name="图片 10" descr="北京混凝土模块化建筑导则-2024.3.2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北京混凝土模块化建筑导则-2024.3.21_00"/>
                          <pic:cNvPicPr>
                            <a:picLocks noChangeAspect="1"/>
                          </pic:cNvPicPr>
                        </pic:nvPicPr>
                        <pic:blipFill>
                          <a:blip r:embed="rId42"/>
                          <a:srcRect t="2338" b="5440"/>
                          <a:stretch>
                            <a:fillRect/>
                          </a:stretch>
                        </pic:blipFill>
                        <pic:spPr>
                          <a:xfrm>
                            <a:off x="0" y="0"/>
                            <a:ext cx="2762250" cy="1800225"/>
                          </a:xfrm>
                          <a:prstGeom prst="rect">
                            <a:avLst/>
                          </a:prstGeom>
                        </pic:spPr>
                      </pic:pic>
                    </a:graphicData>
                  </a:graphic>
                </wp:inline>
              </w:drawing>
            </w:r>
          </w:p>
        </w:tc>
      </w:tr>
    </w:tbl>
    <w:p w14:paraId="47947FB5">
      <w:pPr>
        <w:pStyle w:val="26"/>
        <w:rPr>
          <w:color w:val="auto"/>
        </w:rPr>
      </w:pPr>
      <w:r>
        <w:rPr>
          <w:rFonts w:hint="eastAsia"/>
          <w:color w:val="auto"/>
        </w:rPr>
        <w:t>图</w:t>
      </w:r>
      <w:r>
        <w:rPr>
          <w:rFonts w:hint="eastAsia"/>
          <w:b/>
          <w:color w:val="auto"/>
        </w:rPr>
        <w:t xml:space="preserve">6.2.12 </w:t>
      </w:r>
      <w:r>
        <w:rPr>
          <w:color w:val="auto"/>
        </w:rPr>
        <w:t xml:space="preserve"> </w:t>
      </w:r>
      <w:r>
        <w:rPr>
          <w:rFonts w:hint="eastAsia"/>
          <w:color w:val="auto"/>
        </w:rPr>
        <w:t>模块化叠合剪力墙结构示意图</w:t>
      </w:r>
    </w:p>
    <w:p w14:paraId="3DD17B4B">
      <w:pPr>
        <w:pStyle w:val="26"/>
        <w:rPr>
          <w:color w:val="auto"/>
        </w:rPr>
      </w:pPr>
      <w:r>
        <w:rPr>
          <w:color w:val="auto"/>
        </w:rPr>
        <w:t>1</w:t>
      </w:r>
      <w:r>
        <w:rPr>
          <w:rFonts w:hint="eastAsia"/>
          <w:color w:val="auto"/>
        </w:rPr>
        <w:t>—叠合剪力墙式模块单元</w:t>
      </w:r>
      <w:r>
        <w:rPr>
          <w:color w:val="auto"/>
        </w:rPr>
        <w:t>；2</w:t>
      </w:r>
      <w:r>
        <w:rPr>
          <w:rFonts w:hint="eastAsia"/>
          <w:color w:val="auto"/>
        </w:rPr>
        <w:t>—叠合剪力墙现浇部分</w:t>
      </w:r>
      <w:r>
        <w:rPr>
          <w:color w:val="auto"/>
        </w:rPr>
        <w:t>；3</w:t>
      </w:r>
      <w:r>
        <w:rPr>
          <w:rFonts w:hint="eastAsia"/>
          <w:color w:val="auto"/>
        </w:rPr>
        <w:t>—叠合楼板；</w:t>
      </w:r>
    </w:p>
    <w:p w14:paraId="4ED693B6">
      <w:pPr>
        <w:pStyle w:val="26"/>
        <w:rPr>
          <w:rFonts w:eastAsia="宋体"/>
          <w:bCs/>
          <w:color w:val="auto"/>
        </w:rPr>
      </w:pPr>
      <w:r>
        <w:rPr>
          <w:color w:val="auto"/>
        </w:rPr>
        <w:t>4</w:t>
      </w:r>
      <w:r>
        <w:rPr>
          <w:rFonts w:hint="eastAsia"/>
          <w:color w:val="auto"/>
        </w:rPr>
        <w:t>—叠合剪力墙预制墙板；5—墙模</w:t>
      </w:r>
      <w:r>
        <w:rPr>
          <w:color w:val="auto"/>
        </w:rPr>
        <w:t>；</w:t>
      </w:r>
      <w:r>
        <w:rPr>
          <w:rFonts w:hint="eastAsia"/>
          <w:color w:val="auto"/>
        </w:rPr>
        <w:t>6—装饰底板。</w:t>
      </w:r>
    </w:p>
    <w:p w14:paraId="0C3891A8">
      <w:pPr>
        <w:numPr>
          <w:ilvl w:val="0"/>
          <w:numId w:val="13"/>
        </w:numPr>
        <w:spacing w:line="312" w:lineRule="auto"/>
        <w:rPr>
          <w:bCs/>
          <w:color w:val="auto"/>
        </w:rPr>
      </w:pPr>
      <w:r>
        <w:rPr>
          <w:rFonts w:hint="eastAsia"/>
          <w:bCs/>
          <w:color w:val="auto"/>
        </w:rPr>
        <w:t>高层建筑模块化叠合剪力墙结构底部加强部位的剪力墙宜采用现浇混凝土。</w:t>
      </w:r>
    </w:p>
    <w:p w14:paraId="0C139A01">
      <w:pPr>
        <w:numPr>
          <w:ilvl w:val="0"/>
          <w:numId w:val="13"/>
        </w:numPr>
        <w:spacing w:line="312" w:lineRule="auto"/>
        <w:rPr>
          <w:bCs/>
          <w:color w:val="auto"/>
        </w:rPr>
      </w:pPr>
      <w:r>
        <w:rPr>
          <w:rFonts w:hint="eastAsia"/>
          <w:bCs/>
          <w:color w:val="auto"/>
        </w:rPr>
        <w:t>模块化叠合剪力墙结构的构造边缘构件宜采用叠合或现浇混凝土。</w:t>
      </w:r>
    </w:p>
    <w:p w14:paraId="51FF05BE">
      <w:pPr>
        <w:numPr>
          <w:ilvl w:val="0"/>
          <w:numId w:val="13"/>
        </w:numPr>
        <w:spacing w:line="312" w:lineRule="auto"/>
        <w:rPr>
          <w:bCs/>
          <w:color w:val="auto"/>
        </w:rPr>
      </w:pPr>
      <w:r>
        <w:rPr>
          <w:rFonts w:hint="eastAsia"/>
          <w:bCs/>
          <w:color w:val="auto"/>
        </w:rPr>
        <w:t>模块化叠合剪力墙结构中的剪力墙可采用一字形、L形和T形截面，剪力墙端部应与墙模采用柔性材料分隔。</w:t>
      </w:r>
    </w:p>
    <w:p w14:paraId="0C062D87">
      <w:pPr>
        <w:spacing w:line="312" w:lineRule="auto"/>
        <w:ind w:firstLine="420" w:firstLineChars="200"/>
        <w:rPr>
          <w:bCs/>
          <w:color w:val="auto"/>
        </w:rPr>
      </w:pPr>
      <w:r>
        <w:rPr>
          <w:rFonts w:eastAsia="楷体"/>
          <w:color w:val="auto"/>
        </w:rPr>
        <w:t>【条文说明】</w:t>
      </w:r>
      <w:r>
        <w:rPr>
          <w:rFonts w:hint="eastAsia" w:eastAsia="楷体"/>
          <w:color w:val="auto"/>
        </w:rPr>
        <w:t>构造边缘构件叠合剪力墙式模块单元与后浇部分的水平布置</w:t>
      </w:r>
      <w:r>
        <w:rPr>
          <w:rFonts w:eastAsia="楷体"/>
          <w:color w:val="auto"/>
        </w:rPr>
        <w:t>示意</w:t>
      </w:r>
      <w:r>
        <w:rPr>
          <w:rFonts w:hint="eastAsia" w:eastAsia="楷体"/>
          <w:color w:val="auto"/>
        </w:rPr>
        <w:t>如图13所示。</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0"/>
        <w:gridCol w:w="2841"/>
        <w:gridCol w:w="2841"/>
      </w:tblGrid>
      <w:tr w14:paraId="0879C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840" w:type="dxa"/>
          </w:tcPr>
          <w:p w14:paraId="759FADA2">
            <w:pPr>
              <w:adjustRightInd w:val="0"/>
              <w:snapToGrid w:val="0"/>
              <w:jc w:val="center"/>
              <w:rPr>
                <w:color w:val="auto"/>
              </w:rPr>
            </w:pPr>
            <w:r>
              <w:rPr>
                <w:color w:val="auto"/>
              </w:rPr>
              <w:drawing>
                <wp:inline distT="0" distB="0" distL="114300" distR="114300">
                  <wp:extent cx="923290" cy="1979930"/>
                  <wp:effectExtent l="0" t="0" r="10160" b="127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43"/>
                          <a:stretch>
                            <a:fillRect/>
                          </a:stretch>
                        </pic:blipFill>
                        <pic:spPr>
                          <a:xfrm>
                            <a:off x="0" y="0"/>
                            <a:ext cx="923290" cy="1979930"/>
                          </a:xfrm>
                          <a:prstGeom prst="rect">
                            <a:avLst/>
                          </a:prstGeom>
                          <a:noFill/>
                          <a:ln>
                            <a:noFill/>
                          </a:ln>
                        </pic:spPr>
                      </pic:pic>
                    </a:graphicData>
                  </a:graphic>
                </wp:inline>
              </w:drawing>
            </w:r>
          </w:p>
        </w:tc>
        <w:tc>
          <w:tcPr>
            <w:tcW w:w="2841" w:type="dxa"/>
          </w:tcPr>
          <w:p w14:paraId="008E1E0D">
            <w:pPr>
              <w:adjustRightInd w:val="0"/>
              <w:snapToGrid w:val="0"/>
              <w:jc w:val="center"/>
              <w:rPr>
                <w:color w:val="auto"/>
              </w:rPr>
            </w:pPr>
            <w:r>
              <w:rPr>
                <w:color w:val="auto"/>
              </w:rPr>
              <w:drawing>
                <wp:inline distT="0" distB="0" distL="114300" distR="114300">
                  <wp:extent cx="986790" cy="1979930"/>
                  <wp:effectExtent l="0" t="0" r="3810" b="1270"/>
                  <wp:docPr id="3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1"/>
                          <pic:cNvPicPr>
                            <a:picLocks noChangeAspect="1"/>
                          </pic:cNvPicPr>
                        </pic:nvPicPr>
                        <pic:blipFill>
                          <a:blip r:embed="rId44"/>
                          <a:stretch>
                            <a:fillRect/>
                          </a:stretch>
                        </pic:blipFill>
                        <pic:spPr>
                          <a:xfrm>
                            <a:off x="0" y="0"/>
                            <a:ext cx="986790" cy="1979930"/>
                          </a:xfrm>
                          <a:prstGeom prst="rect">
                            <a:avLst/>
                          </a:prstGeom>
                          <a:noFill/>
                          <a:ln>
                            <a:noFill/>
                          </a:ln>
                        </pic:spPr>
                      </pic:pic>
                    </a:graphicData>
                  </a:graphic>
                </wp:inline>
              </w:drawing>
            </w:r>
          </w:p>
        </w:tc>
        <w:tc>
          <w:tcPr>
            <w:tcW w:w="2841" w:type="dxa"/>
          </w:tcPr>
          <w:p w14:paraId="12DDDBCD">
            <w:pPr>
              <w:adjustRightInd w:val="0"/>
              <w:snapToGrid w:val="0"/>
              <w:jc w:val="center"/>
              <w:rPr>
                <w:color w:val="auto"/>
              </w:rPr>
            </w:pPr>
            <w:r>
              <w:rPr>
                <w:color w:val="auto"/>
              </w:rPr>
              <w:drawing>
                <wp:inline distT="0" distB="0" distL="114300" distR="114300">
                  <wp:extent cx="1192530" cy="1979930"/>
                  <wp:effectExtent l="0" t="0" r="7620" b="1270"/>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45"/>
                          <a:stretch>
                            <a:fillRect/>
                          </a:stretch>
                        </pic:blipFill>
                        <pic:spPr>
                          <a:xfrm>
                            <a:off x="0" y="0"/>
                            <a:ext cx="1192530" cy="1979930"/>
                          </a:xfrm>
                          <a:prstGeom prst="rect">
                            <a:avLst/>
                          </a:prstGeom>
                          <a:noFill/>
                          <a:ln>
                            <a:noFill/>
                          </a:ln>
                        </pic:spPr>
                      </pic:pic>
                    </a:graphicData>
                  </a:graphic>
                </wp:inline>
              </w:drawing>
            </w:r>
          </w:p>
        </w:tc>
      </w:tr>
      <w:tr w14:paraId="5FE3A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840" w:type="dxa"/>
            <w:vAlign w:val="center"/>
          </w:tcPr>
          <w:p w14:paraId="79836154">
            <w:pPr>
              <w:widowControl/>
              <w:tabs>
                <w:tab w:val="left" w:pos="0"/>
              </w:tabs>
              <w:spacing w:line="312" w:lineRule="auto"/>
              <w:jc w:val="center"/>
              <w:rPr>
                <w:rFonts w:eastAsia="楷体"/>
                <w:bCs/>
                <w:color w:val="auto"/>
                <w:szCs w:val="21"/>
              </w:rPr>
            </w:pPr>
            <w:r>
              <w:rPr>
                <w:rFonts w:eastAsia="楷体"/>
                <w:bCs/>
                <w:color w:val="auto"/>
                <w:szCs w:val="21"/>
              </w:rPr>
              <w:t>（a）一字形墙</w:t>
            </w:r>
          </w:p>
        </w:tc>
        <w:tc>
          <w:tcPr>
            <w:tcW w:w="2841" w:type="dxa"/>
            <w:vAlign w:val="center"/>
          </w:tcPr>
          <w:p w14:paraId="4FAF02E6">
            <w:pPr>
              <w:widowControl/>
              <w:tabs>
                <w:tab w:val="left" w:pos="0"/>
              </w:tabs>
              <w:spacing w:line="312" w:lineRule="auto"/>
              <w:jc w:val="center"/>
              <w:rPr>
                <w:rFonts w:eastAsia="楷体"/>
                <w:bCs/>
                <w:color w:val="auto"/>
                <w:szCs w:val="21"/>
              </w:rPr>
            </w:pPr>
            <w:r>
              <w:rPr>
                <w:rFonts w:eastAsia="楷体"/>
                <w:bCs/>
                <w:color w:val="auto"/>
                <w:szCs w:val="21"/>
              </w:rPr>
              <w:t>（b）L形墙</w:t>
            </w:r>
          </w:p>
        </w:tc>
        <w:tc>
          <w:tcPr>
            <w:tcW w:w="2841" w:type="dxa"/>
            <w:vAlign w:val="center"/>
          </w:tcPr>
          <w:p w14:paraId="5833376E">
            <w:pPr>
              <w:widowControl/>
              <w:tabs>
                <w:tab w:val="left" w:pos="0"/>
              </w:tabs>
              <w:spacing w:line="312" w:lineRule="auto"/>
              <w:jc w:val="center"/>
              <w:rPr>
                <w:rFonts w:eastAsia="楷体"/>
                <w:bCs/>
                <w:color w:val="auto"/>
                <w:szCs w:val="21"/>
              </w:rPr>
            </w:pPr>
            <w:r>
              <w:rPr>
                <w:rFonts w:eastAsia="楷体"/>
                <w:bCs/>
                <w:color w:val="auto"/>
                <w:szCs w:val="21"/>
              </w:rPr>
              <w:t>（c）T字形墙</w:t>
            </w:r>
          </w:p>
        </w:tc>
      </w:tr>
    </w:tbl>
    <w:p w14:paraId="63981077">
      <w:pPr>
        <w:widowControl/>
        <w:tabs>
          <w:tab w:val="left" w:pos="0"/>
        </w:tabs>
        <w:spacing w:line="312" w:lineRule="auto"/>
        <w:jc w:val="center"/>
        <w:rPr>
          <w:rFonts w:eastAsia="楷体"/>
          <w:bCs/>
          <w:color w:val="auto"/>
          <w:szCs w:val="21"/>
        </w:rPr>
      </w:pPr>
      <w:r>
        <w:rPr>
          <w:rFonts w:eastAsia="楷体"/>
          <w:bCs/>
          <w:color w:val="auto"/>
          <w:szCs w:val="21"/>
        </w:rPr>
        <w:t>图13  叠合剪力墙式模块与现浇部分的水平布置示意图</w:t>
      </w:r>
    </w:p>
    <w:p w14:paraId="552E29D1">
      <w:pPr>
        <w:widowControl/>
        <w:tabs>
          <w:tab w:val="left" w:pos="0"/>
        </w:tabs>
        <w:spacing w:line="312" w:lineRule="auto"/>
        <w:jc w:val="center"/>
        <w:rPr>
          <w:rFonts w:eastAsia="楷体"/>
          <w:bCs/>
          <w:color w:val="auto"/>
          <w:szCs w:val="21"/>
        </w:rPr>
      </w:pPr>
      <w:r>
        <w:rPr>
          <w:rFonts w:eastAsia="楷体"/>
          <w:bCs/>
          <w:color w:val="auto"/>
          <w:szCs w:val="21"/>
        </w:rPr>
        <w:t>1—叠合剪力墙后浇部分；2—叠合剪力墙预制墙板；</w:t>
      </w:r>
    </w:p>
    <w:p w14:paraId="52EF5D97">
      <w:pPr>
        <w:widowControl/>
        <w:tabs>
          <w:tab w:val="left" w:pos="0"/>
        </w:tabs>
        <w:spacing w:line="312" w:lineRule="auto"/>
        <w:jc w:val="center"/>
        <w:rPr>
          <w:rFonts w:eastAsia="楷体"/>
          <w:bCs/>
          <w:color w:val="auto"/>
          <w:szCs w:val="21"/>
        </w:rPr>
      </w:pPr>
      <w:r>
        <w:rPr>
          <w:rFonts w:eastAsia="楷体"/>
          <w:bCs/>
          <w:color w:val="auto"/>
          <w:szCs w:val="21"/>
        </w:rPr>
        <w:t>3—左方叠合剪力墙式模块单元墙模；4—模块单元接缝；5—浇筑剪力墙时用模板；</w:t>
      </w:r>
    </w:p>
    <w:p w14:paraId="14796066">
      <w:pPr>
        <w:widowControl/>
        <w:tabs>
          <w:tab w:val="left" w:pos="0"/>
        </w:tabs>
        <w:spacing w:line="312" w:lineRule="auto"/>
        <w:jc w:val="center"/>
        <w:rPr>
          <w:rFonts w:eastAsia="楷体"/>
          <w:bCs/>
          <w:color w:val="auto"/>
          <w:szCs w:val="21"/>
        </w:rPr>
      </w:pPr>
      <w:r>
        <w:rPr>
          <w:rFonts w:eastAsia="楷体"/>
          <w:bCs/>
          <w:color w:val="auto"/>
          <w:szCs w:val="21"/>
        </w:rPr>
        <w:t>6—柔性层；7—封堵材料；8—模块单元隔墙</w:t>
      </w:r>
    </w:p>
    <w:p w14:paraId="3838CAEB">
      <w:pPr>
        <w:numPr>
          <w:ilvl w:val="0"/>
          <w:numId w:val="13"/>
        </w:numPr>
        <w:spacing w:line="312" w:lineRule="auto"/>
        <w:rPr>
          <w:bCs/>
          <w:color w:val="auto"/>
        </w:rPr>
      </w:pPr>
      <w:r>
        <w:rPr>
          <w:rFonts w:hint="eastAsia"/>
          <w:bCs/>
          <w:color w:val="auto"/>
        </w:rPr>
        <w:t>模块化叠合剪力墙结构中模块单元与梁、剪力墙和楼板的连接构造应符合下列规定：</w:t>
      </w:r>
    </w:p>
    <w:p w14:paraId="55AD452C">
      <w:pPr>
        <w:adjustRightInd w:val="0"/>
        <w:snapToGrid w:val="0"/>
        <w:spacing w:line="360" w:lineRule="auto"/>
        <w:ind w:firstLine="422" w:firstLineChars="200"/>
        <w:rPr>
          <w:color w:val="auto"/>
        </w:rPr>
      </w:pPr>
      <w:r>
        <w:rPr>
          <w:b/>
          <w:color w:val="auto"/>
        </w:rPr>
        <w:t xml:space="preserve">1  </w:t>
      </w:r>
      <w:r>
        <w:rPr>
          <w:color w:val="auto"/>
        </w:rPr>
        <w:t>现浇混凝土梁</w:t>
      </w:r>
      <w:r>
        <w:rPr>
          <w:rFonts w:hint="eastAsia"/>
          <w:color w:val="auto"/>
        </w:rPr>
        <w:t>底与梁模之间应</w:t>
      </w:r>
      <w:r>
        <w:rPr>
          <w:color w:val="auto"/>
        </w:rPr>
        <w:t>设置</w:t>
      </w:r>
      <w:r>
        <w:rPr>
          <w:rFonts w:hint="eastAsia"/>
          <w:color w:val="auto"/>
        </w:rPr>
        <w:t>柔性层</w:t>
      </w:r>
      <w:r>
        <w:rPr>
          <w:color w:val="auto"/>
        </w:rPr>
        <w:t>；</w:t>
      </w:r>
    </w:p>
    <w:p w14:paraId="15E6807A">
      <w:pPr>
        <w:adjustRightInd w:val="0"/>
        <w:snapToGrid w:val="0"/>
        <w:spacing w:line="360" w:lineRule="auto"/>
        <w:ind w:firstLine="422" w:firstLineChars="200"/>
        <w:rPr>
          <w:color w:val="auto"/>
        </w:rPr>
      </w:pPr>
      <w:r>
        <w:rPr>
          <w:b/>
          <w:color w:val="auto"/>
        </w:rPr>
        <w:t xml:space="preserve">2  </w:t>
      </w:r>
      <w:r>
        <w:rPr>
          <w:rFonts w:hint="eastAsia"/>
          <w:color w:val="auto"/>
        </w:rPr>
        <w:t>叠合剪力墙叶板</w:t>
      </w:r>
      <w:r>
        <w:rPr>
          <w:rFonts w:hint="eastAsia"/>
          <w:bCs/>
          <w:color w:val="auto"/>
        </w:rPr>
        <w:t>、模壳板底与结构板之间采用座浆时，座浆料强度等级不应小于</w:t>
      </w:r>
      <w:r>
        <w:rPr>
          <w:bCs/>
          <w:color w:val="auto"/>
        </w:rPr>
        <w:t>C60</w:t>
      </w:r>
      <w:r>
        <w:rPr>
          <w:rFonts w:hint="eastAsia"/>
          <w:bCs/>
          <w:color w:val="auto"/>
        </w:rPr>
        <w:t>，且不应小于墙、柱强度等级</w:t>
      </w:r>
      <w:r>
        <w:rPr>
          <w:bCs/>
          <w:color w:val="auto"/>
        </w:rPr>
        <w:t>，</w:t>
      </w:r>
      <w:r>
        <w:rPr>
          <w:rFonts w:hint="eastAsia"/>
          <w:color w:val="auto"/>
        </w:rPr>
        <w:t>座浆层厚度宜取1</w:t>
      </w:r>
      <w:r>
        <w:rPr>
          <w:color w:val="auto"/>
        </w:rPr>
        <w:t>0mm~</w:t>
      </w:r>
      <w:r>
        <w:rPr>
          <w:rFonts w:hint="eastAsia"/>
          <w:color w:val="auto"/>
        </w:rPr>
        <w:t>2</w:t>
      </w:r>
      <w:r>
        <w:rPr>
          <w:color w:val="auto"/>
        </w:rPr>
        <w:t>0</w:t>
      </w:r>
      <w:r>
        <w:rPr>
          <w:rFonts w:hint="eastAsia"/>
          <w:color w:val="auto"/>
        </w:rPr>
        <w:t>mm</w:t>
      </w:r>
      <w:r>
        <w:rPr>
          <w:color w:val="auto"/>
        </w:rPr>
        <w:t>。</w:t>
      </w:r>
    </w:p>
    <w:p w14:paraId="4AC9FB4A">
      <w:pPr>
        <w:ind w:firstLine="420" w:firstLineChars="200"/>
        <w:rPr>
          <w:bCs/>
          <w:color w:val="auto"/>
        </w:rPr>
      </w:pPr>
      <w:r>
        <w:rPr>
          <w:rFonts w:eastAsia="楷体"/>
          <w:color w:val="auto"/>
        </w:rPr>
        <w:t>【条文说明】</w:t>
      </w:r>
      <w:r>
        <w:rPr>
          <w:rFonts w:hint="eastAsia" w:eastAsia="楷体"/>
          <w:color w:val="auto"/>
        </w:rPr>
        <w:t>模块化叠合剪力墙结构竖向连接节点示意如图14所示。</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2C0DA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14:paraId="60C0B4F5">
            <w:pPr>
              <w:adjustRightInd w:val="0"/>
              <w:snapToGrid w:val="0"/>
              <w:jc w:val="center"/>
              <w:rPr>
                <w:color w:val="auto"/>
              </w:rPr>
            </w:pPr>
            <w:r>
              <w:rPr>
                <w:rFonts w:hint="eastAsia"/>
                <w:color w:val="auto"/>
              </w:rPr>
              <w:drawing>
                <wp:inline distT="0" distB="0" distL="114300" distR="114300">
                  <wp:extent cx="1691005" cy="1619885"/>
                  <wp:effectExtent l="0" t="0" r="4445" b="18415"/>
                  <wp:docPr id="15" name="图片 15" descr="北京混凝土模块化建筑导则-2024.3.21_00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北京混凝土模块化建筑导则-2024.3.21_00 - 副本"/>
                          <pic:cNvPicPr>
                            <a:picLocks noChangeAspect="1"/>
                          </pic:cNvPicPr>
                        </pic:nvPicPr>
                        <pic:blipFill>
                          <a:blip r:embed="rId46"/>
                          <a:stretch>
                            <a:fillRect/>
                          </a:stretch>
                        </pic:blipFill>
                        <pic:spPr>
                          <a:xfrm>
                            <a:off x="0" y="0"/>
                            <a:ext cx="1691005" cy="1619885"/>
                          </a:xfrm>
                          <a:prstGeom prst="rect">
                            <a:avLst/>
                          </a:prstGeom>
                        </pic:spPr>
                      </pic:pic>
                    </a:graphicData>
                  </a:graphic>
                </wp:inline>
              </w:drawing>
            </w:r>
          </w:p>
        </w:tc>
        <w:tc>
          <w:tcPr>
            <w:tcW w:w="4261" w:type="dxa"/>
          </w:tcPr>
          <w:p w14:paraId="53DCEF57">
            <w:pPr>
              <w:adjustRightInd w:val="0"/>
              <w:snapToGrid w:val="0"/>
              <w:jc w:val="center"/>
              <w:rPr>
                <w:color w:val="auto"/>
              </w:rPr>
            </w:pPr>
            <w:r>
              <w:rPr>
                <w:rFonts w:hint="eastAsia"/>
                <w:color w:val="auto"/>
              </w:rPr>
              <w:drawing>
                <wp:inline distT="0" distB="0" distL="114300" distR="114300">
                  <wp:extent cx="1780540" cy="1619885"/>
                  <wp:effectExtent l="0" t="0" r="10160" b="18415"/>
                  <wp:docPr id="17" name="图片 17" descr="北京混凝土模块化建筑导则-2024.3.2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北京混凝土模块化建筑导则-2024.3.21_00"/>
                          <pic:cNvPicPr>
                            <a:picLocks noChangeAspect="1"/>
                          </pic:cNvPicPr>
                        </pic:nvPicPr>
                        <pic:blipFill>
                          <a:blip r:embed="rId47"/>
                          <a:stretch>
                            <a:fillRect/>
                          </a:stretch>
                        </pic:blipFill>
                        <pic:spPr>
                          <a:xfrm>
                            <a:off x="0" y="0"/>
                            <a:ext cx="1780540" cy="1619885"/>
                          </a:xfrm>
                          <a:prstGeom prst="rect">
                            <a:avLst/>
                          </a:prstGeom>
                        </pic:spPr>
                      </pic:pic>
                    </a:graphicData>
                  </a:graphic>
                </wp:inline>
              </w:drawing>
            </w:r>
          </w:p>
        </w:tc>
      </w:tr>
      <w:tr w14:paraId="3E028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14:paraId="459E511E">
            <w:pPr>
              <w:widowControl/>
              <w:tabs>
                <w:tab w:val="left" w:pos="0"/>
              </w:tabs>
              <w:spacing w:line="312" w:lineRule="auto"/>
              <w:jc w:val="center"/>
              <w:rPr>
                <w:rFonts w:eastAsia="楷体"/>
                <w:bCs/>
                <w:color w:val="auto"/>
                <w:szCs w:val="21"/>
              </w:rPr>
            </w:pPr>
            <w:r>
              <w:rPr>
                <w:rFonts w:hint="eastAsia" w:eastAsia="楷体"/>
                <w:bCs/>
                <w:color w:val="auto"/>
                <w:szCs w:val="21"/>
              </w:rPr>
              <w:t>（a）叠合剪力墙式模块与剪力墙、楼板连接节点</w:t>
            </w:r>
          </w:p>
        </w:tc>
        <w:tc>
          <w:tcPr>
            <w:tcW w:w="4261" w:type="dxa"/>
          </w:tcPr>
          <w:p w14:paraId="18623589">
            <w:pPr>
              <w:widowControl/>
              <w:tabs>
                <w:tab w:val="left" w:pos="0"/>
              </w:tabs>
              <w:spacing w:line="312" w:lineRule="auto"/>
              <w:jc w:val="center"/>
              <w:rPr>
                <w:rFonts w:eastAsia="楷体"/>
                <w:bCs/>
                <w:color w:val="auto"/>
                <w:szCs w:val="21"/>
              </w:rPr>
            </w:pPr>
            <w:r>
              <w:rPr>
                <w:rFonts w:hint="eastAsia" w:eastAsia="楷体"/>
                <w:bCs/>
                <w:color w:val="auto"/>
                <w:szCs w:val="21"/>
              </w:rPr>
              <w:t>（b）</w:t>
            </w:r>
            <w:r>
              <w:rPr>
                <w:rFonts w:eastAsia="楷体"/>
                <w:bCs/>
                <w:color w:val="auto"/>
                <w:szCs w:val="21"/>
              </w:rPr>
              <w:t>模块单元隔墙</w:t>
            </w:r>
            <w:r>
              <w:rPr>
                <w:rFonts w:hint="eastAsia" w:eastAsia="楷体"/>
                <w:bCs/>
                <w:color w:val="auto"/>
                <w:szCs w:val="21"/>
              </w:rPr>
              <w:t>与梁、楼板连接节点</w:t>
            </w:r>
          </w:p>
        </w:tc>
      </w:tr>
    </w:tbl>
    <w:p w14:paraId="196BFF33">
      <w:pPr>
        <w:widowControl/>
        <w:tabs>
          <w:tab w:val="left" w:pos="0"/>
        </w:tabs>
        <w:jc w:val="center"/>
        <w:rPr>
          <w:rFonts w:eastAsia="楷体"/>
          <w:bCs/>
          <w:color w:val="auto"/>
          <w:szCs w:val="21"/>
        </w:rPr>
      </w:pPr>
      <w:r>
        <w:rPr>
          <w:rFonts w:eastAsia="楷体"/>
          <w:bCs/>
          <w:color w:val="auto"/>
          <w:szCs w:val="21"/>
        </w:rPr>
        <w:t>图14  模块化叠合剪力墙结构竖向连接节点示意</w:t>
      </w:r>
    </w:p>
    <w:p w14:paraId="2B093D99">
      <w:pPr>
        <w:widowControl/>
        <w:tabs>
          <w:tab w:val="left" w:pos="0"/>
        </w:tabs>
        <w:spacing w:line="312" w:lineRule="auto"/>
        <w:jc w:val="center"/>
        <w:rPr>
          <w:rFonts w:eastAsia="楷体"/>
          <w:bCs/>
          <w:color w:val="auto"/>
          <w:szCs w:val="21"/>
        </w:rPr>
      </w:pPr>
      <w:r>
        <w:rPr>
          <w:rFonts w:eastAsia="楷体"/>
          <w:bCs/>
          <w:color w:val="auto"/>
          <w:szCs w:val="21"/>
        </w:rPr>
        <w:t>1—叠合剪力墙现浇部分；2—装饰底板；3—叠合顶板；4—墙模；5—叠合剪力墙叶板；</w:t>
      </w:r>
    </w:p>
    <w:p w14:paraId="0D9DF309">
      <w:pPr>
        <w:widowControl/>
        <w:tabs>
          <w:tab w:val="left" w:pos="0"/>
        </w:tabs>
        <w:spacing w:line="312" w:lineRule="auto"/>
        <w:jc w:val="center"/>
        <w:rPr>
          <w:rFonts w:eastAsia="楷体"/>
          <w:bCs/>
          <w:color w:val="auto"/>
          <w:szCs w:val="21"/>
        </w:rPr>
      </w:pPr>
      <w:r>
        <w:rPr>
          <w:rFonts w:eastAsia="楷体"/>
          <w:bCs/>
          <w:color w:val="auto"/>
          <w:szCs w:val="21"/>
        </w:rPr>
        <w:t>6—座浆层；7—叠合板后浇混凝土；8—叠合梁预制梁板；9—现浇混凝土梁；10—柔性层；</w:t>
      </w:r>
    </w:p>
    <w:p w14:paraId="1D294F84">
      <w:pPr>
        <w:widowControl/>
        <w:tabs>
          <w:tab w:val="left" w:pos="0"/>
        </w:tabs>
        <w:spacing w:line="312" w:lineRule="auto"/>
        <w:jc w:val="center"/>
        <w:rPr>
          <w:rFonts w:eastAsia="楷体"/>
          <w:bCs/>
          <w:color w:val="auto"/>
          <w:szCs w:val="21"/>
        </w:rPr>
      </w:pPr>
      <w:r>
        <w:rPr>
          <w:rFonts w:eastAsia="楷体"/>
          <w:bCs/>
          <w:color w:val="auto"/>
          <w:szCs w:val="21"/>
        </w:rPr>
        <w:t>11—封堵材料；12—模块单元隔墙；13—模块单元接缝</w:t>
      </w:r>
    </w:p>
    <w:p w14:paraId="6653D95B">
      <w:pPr>
        <w:numPr>
          <w:ilvl w:val="0"/>
          <w:numId w:val="13"/>
        </w:numPr>
        <w:spacing w:line="312" w:lineRule="auto"/>
        <w:rPr>
          <w:bCs/>
          <w:color w:val="auto"/>
        </w:rPr>
      </w:pPr>
      <w:r>
        <w:rPr>
          <w:rFonts w:hint="eastAsia"/>
          <w:bCs/>
          <w:color w:val="auto"/>
        </w:rPr>
        <w:t>模块化叠合剪力墙用模块单元中的非承重墙体与现浇部分之间宜采用柔性连接。非承重墙体的抗震设计应符合现行国家标准《建筑抗震设计标准》GB/T 50011的规定。</w:t>
      </w:r>
    </w:p>
    <w:p w14:paraId="738EC667">
      <w:pPr>
        <w:pStyle w:val="5"/>
        <w:rPr>
          <w:rFonts w:eastAsia="仿宋" w:cs="Times New Roman"/>
          <w:color w:val="auto"/>
        </w:rPr>
      </w:pPr>
      <w:r>
        <w:rPr>
          <w:rFonts w:hint="eastAsia" w:eastAsia="仿宋" w:cs="Times New Roman"/>
          <w:b/>
          <w:bCs w:val="0"/>
          <w:color w:val="auto"/>
        </w:rPr>
        <w:t>（</w:t>
      </w:r>
      <w:r>
        <w:rPr>
          <w:rFonts w:eastAsia="仿宋" w:cs="Times New Roman"/>
          <w:color w:val="auto"/>
        </w:rPr>
        <w:t>Ⅳ</w:t>
      </w:r>
      <w:r>
        <w:rPr>
          <w:rFonts w:hint="eastAsia" w:eastAsia="仿宋" w:cs="Times New Roman"/>
          <w:b/>
          <w:bCs w:val="0"/>
          <w:color w:val="auto"/>
        </w:rPr>
        <w:t>）</w:t>
      </w:r>
      <w:r>
        <w:rPr>
          <w:rFonts w:eastAsia="仿宋" w:cs="Times New Roman"/>
          <w:color w:val="auto"/>
        </w:rPr>
        <w:t>模块化现浇结构</w:t>
      </w:r>
    </w:p>
    <w:p w14:paraId="0D2DD297">
      <w:pPr>
        <w:numPr>
          <w:ilvl w:val="0"/>
          <w:numId w:val="13"/>
        </w:numPr>
        <w:spacing w:line="312" w:lineRule="auto"/>
        <w:rPr>
          <w:bCs/>
          <w:color w:val="auto"/>
        </w:rPr>
      </w:pPr>
      <w:r>
        <w:rPr>
          <w:rFonts w:hint="eastAsia"/>
          <w:bCs/>
          <w:color w:val="auto"/>
        </w:rPr>
        <w:t>模块化现浇结构体系应符合下列规定：</w:t>
      </w:r>
    </w:p>
    <w:p w14:paraId="592140B4">
      <w:pPr>
        <w:spacing w:line="312" w:lineRule="auto"/>
        <w:ind w:firstLine="422" w:firstLineChars="200"/>
        <w:rPr>
          <w:color w:val="auto"/>
        </w:rPr>
      </w:pPr>
      <w:r>
        <w:rPr>
          <w:b/>
          <w:color w:val="auto"/>
        </w:rPr>
        <w:t xml:space="preserve">1  </w:t>
      </w:r>
      <w:r>
        <w:rPr>
          <w:rFonts w:hint="eastAsia"/>
          <w:color w:val="auto"/>
        </w:rPr>
        <w:t>可采用框架结构、框架-剪力墙结构、剪力墙结构或其他结构体系（图6.2.18）；</w:t>
      </w:r>
    </w:p>
    <w:p w14:paraId="44ACBBA6">
      <w:pPr>
        <w:spacing w:line="312" w:lineRule="auto"/>
        <w:ind w:firstLine="422" w:firstLineChars="200"/>
        <w:rPr>
          <w:color w:val="auto"/>
        </w:rPr>
      </w:pPr>
      <w:r>
        <w:rPr>
          <w:rFonts w:hint="eastAsia"/>
          <w:b/>
          <w:color w:val="auto"/>
        </w:rPr>
        <w:t>2</w:t>
      </w:r>
      <w:r>
        <w:rPr>
          <w:color w:val="auto"/>
        </w:rPr>
        <w:t xml:space="preserve">  </w:t>
      </w:r>
      <w:r>
        <w:rPr>
          <w:rFonts w:hint="eastAsia"/>
          <w:color w:val="auto"/>
        </w:rPr>
        <w:t>传力路径宜与相应现浇结构体系一致；</w:t>
      </w:r>
    </w:p>
    <w:p w14:paraId="2E800057">
      <w:pPr>
        <w:spacing w:line="312" w:lineRule="auto"/>
        <w:ind w:firstLine="422" w:firstLineChars="200"/>
        <w:rPr>
          <w:color w:val="auto"/>
        </w:rPr>
      </w:pPr>
      <w:r>
        <w:rPr>
          <w:b/>
          <w:color w:val="auto"/>
        </w:rPr>
        <w:t>3</w:t>
      </w:r>
      <w:r>
        <w:rPr>
          <w:rFonts w:hint="eastAsia"/>
          <w:color w:val="auto"/>
        </w:rPr>
        <w:t xml:space="preserve"> </w:t>
      </w:r>
      <w:r>
        <w:rPr>
          <w:color w:val="auto"/>
        </w:rPr>
        <w:t xml:space="preserve"> </w:t>
      </w:r>
      <w:r>
        <w:rPr>
          <w:rFonts w:hint="eastAsia"/>
          <w:color w:val="auto"/>
        </w:rPr>
        <w:t>隔墙的设置不应影响结构的整体受力性能。</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33C21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center"/>
          </w:tcPr>
          <w:p w14:paraId="12C42CB9">
            <w:pPr>
              <w:adjustRightInd w:val="0"/>
              <w:snapToGrid w:val="0"/>
              <w:jc w:val="center"/>
              <w:rPr>
                <w:color w:val="auto"/>
              </w:rPr>
            </w:pPr>
            <w:r>
              <w:rPr>
                <w:color w:val="auto"/>
              </w:rPr>
              <w:object>
                <v:shape id="_x0000_i1027" o:spt="75" type="#_x0000_t75" style="height:141.75pt;width:207pt;" o:ole="t" filled="f" o:preferrelative="t" stroked="f" coordsize="21600,21600">
                  <v:path/>
                  <v:fill on="f" focussize="0,0"/>
                  <v:stroke on="f" joinstyle="miter"/>
                  <v:imagedata r:id="rId49" o:title=""/>
                  <o:lock v:ext="edit" aspectratio="t"/>
                  <w10:wrap type="none"/>
                  <w10:anchorlock/>
                </v:shape>
                <o:OLEObject Type="Embed" ProgID="Visio.Drawing.15" ShapeID="_x0000_i1027" DrawAspect="Content" ObjectID="_1468075727" r:id="rId48">
                  <o:LockedField>false</o:LockedField>
                </o:OLEObject>
              </w:object>
            </w:r>
          </w:p>
        </w:tc>
      </w:tr>
    </w:tbl>
    <w:p w14:paraId="4447643F">
      <w:pPr>
        <w:pStyle w:val="26"/>
        <w:rPr>
          <w:color w:val="auto"/>
        </w:rPr>
      </w:pPr>
      <w:r>
        <w:rPr>
          <w:rFonts w:hint="eastAsia"/>
          <w:color w:val="auto"/>
        </w:rPr>
        <w:t>图</w:t>
      </w:r>
      <w:r>
        <w:rPr>
          <w:b/>
          <w:color w:val="auto"/>
        </w:rPr>
        <w:t>6</w:t>
      </w:r>
      <w:r>
        <w:rPr>
          <w:rFonts w:ascii="宋体" w:hAnsi="宋体"/>
          <w:b/>
          <w:color w:val="auto"/>
        </w:rPr>
        <w:t>.</w:t>
      </w:r>
      <w:r>
        <w:rPr>
          <w:b/>
          <w:color w:val="auto"/>
        </w:rPr>
        <w:t>2</w:t>
      </w:r>
      <w:r>
        <w:rPr>
          <w:rFonts w:ascii="宋体" w:hAnsi="宋体"/>
          <w:b/>
          <w:color w:val="auto"/>
        </w:rPr>
        <w:t>.</w:t>
      </w:r>
      <w:r>
        <w:rPr>
          <w:rFonts w:hint="eastAsia"/>
          <w:b/>
          <w:color w:val="auto"/>
        </w:rPr>
        <w:t>18</w:t>
      </w:r>
      <w:r>
        <w:rPr>
          <w:b/>
          <w:color w:val="auto"/>
        </w:rPr>
        <w:t xml:space="preserve"> </w:t>
      </w:r>
      <w:r>
        <w:rPr>
          <w:color w:val="auto"/>
        </w:rPr>
        <w:t xml:space="preserve"> </w:t>
      </w:r>
      <w:r>
        <w:rPr>
          <w:rFonts w:hint="eastAsia"/>
          <w:color w:val="auto"/>
        </w:rPr>
        <w:t>模块化现浇结构示意图</w:t>
      </w:r>
    </w:p>
    <w:p w14:paraId="1E9EFC78">
      <w:pPr>
        <w:pStyle w:val="26"/>
        <w:rPr>
          <w:color w:val="auto"/>
        </w:rPr>
      </w:pPr>
      <w:r>
        <w:rPr>
          <w:color w:val="auto"/>
        </w:rPr>
        <w:t>1</w:t>
      </w:r>
      <w:r>
        <w:rPr>
          <w:rFonts w:hint="eastAsia"/>
          <w:color w:val="auto"/>
        </w:rPr>
        <w:t>—箱模式模块单元</w:t>
      </w:r>
      <w:r>
        <w:rPr>
          <w:color w:val="auto"/>
        </w:rPr>
        <w:t>；2</w:t>
      </w:r>
      <w:r>
        <w:rPr>
          <w:rFonts w:hint="eastAsia"/>
          <w:color w:val="auto"/>
        </w:rPr>
        <w:t>—现浇结构柱/剪力墙</w:t>
      </w:r>
      <w:r>
        <w:rPr>
          <w:color w:val="auto"/>
        </w:rPr>
        <w:t>；</w:t>
      </w:r>
    </w:p>
    <w:p w14:paraId="3F473B14">
      <w:pPr>
        <w:pStyle w:val="26"/>
        <w:rPr>
          <w:color w:val="auto"/>
        </w:rPr>
      </w:pPr>
      <w:r>
        <w:rPr>
          <w:color w:val="auto"/>
        </w:rPr>
        <w:t>3</w:t>
      </w:r>
      <w:r>
        <w:rPr>
          <w:rFonts w:hint="eastAsia"/>
          <w:color w:val="auto"/>
        </w:rPr>
        <w:t>—现浇梁</w:t>
      </w:r>
      <w:r>
        <w:rPr>
          <w:color w:val="auto"/>
        </w:rPr>
        <w:t>；4</w:t>
      </w:r>
      <w:r>
        <w:rPr>
          <w:rFonts w:hint="eastAsia"/>
          <w:color w:val="auto"/>
        </w:rPr>
        <w:t>—叠合楼盖</w:t>
      </w:r>
      <w:r>
        <w:rPr>
          <w:color w:val="auto"/>
        </w:rPr>
        <w:t>；</w:t>
      </w:r>
    </w:p>
    <w:p w14:paraId="508C3AAB">
      <w:pPr>
        <w:numPr>
          <w:ilvl w:val="0"/>
          <w:numId w:val="13"/>
        </w:numPr>
        <w:spacing w:line="312" w:lineRule="auto"/>
        <w:rPr>
          <w:bCs/>
          <w:color w:val="auto"/>
        </w:rPr>
      </w:pPr>
      <w:r>
        <w:rPr>
          <w:rFonts w:hint="eastAsia"/>
          <w:bCs/>
          <w:color w:val="auto"/>
        </w:rPr>
        <w:t>箱模式模块中的非承重墙体与现浇构件之间宜采用柔性连接，非承重墙体的抗震设计应符合现行国家标准《建筑抗震设计标准》GB/T 50011的规定。</w:t>
      </w:r>
    </w:p>
    <w:p w14:paraId="4B0980D9">
      <w:pPr>
        <w:numPr>
          <w:ilvl w:val="0"/>
          <w:numId w:val="13"/>
        </w:numPr>
        <w:spacing w:line="312" w:lineRule="auto"/>
        <w:rPr>
          <w:bCs/>
          <w:color w:val="auto"/>
        </w:rPr>
      </w:pPr>
      <w:r>
        <w:rPr>
          <w:rFonts w:hint="eastAsia"/>
          <w:bCs/>
          <w:color w:val="auto"/>
        </w:rPr>
        <w:t>模块化现浇结构中框架柱的形状宜简单、规则、便于施工，其与柱模之间应采用柔性材料进行分隔。</w:t>
      </w:r>
    </w:p>
    <w:p w14:paraId="28907A91">
      <w:pPr>
        <w:tabs>
          <w:tab w:val="left" w:pos="0"/>
        </w:tabs>
        <w:spacing w:line="312" w:lineRule="auto"/>
        <w:ind w:firstLine="420" w:firstLineChars="200"/>
        <w:rPr>
          <w:bCs/>
          <w:color w:val="auto"/>
        </w:rPr>
      </w:pPr>
      <w:r>
        <w:rPr>
          <w:rFonts w:hint="eastAsia" w:eastAsia="楷体"/>
          <w:color w:val="auto"/>
          <w:szCs w:val="21"/>
        </w:rPr>
        <w:t>【条文说明】箱模式模块与现浇混凝土柱的水平布置示意如图15所示。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0"/>
        <w:gridCol w:w="2841"/>
        <w:gridCol w:w="2841"/>
      </w:tblGrid>
      <w:tr w14:paraId="757AF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0" w:type="dxa"/>
            <w:vAlign w:val="center"/>
          </w:tcPr>
          <w:p w14:paraId="3D31E34B">
            <w:pPr>
              <w:adjustRightInd w:val="0"/>
              <w:snapToGrid w:val="0"/>
              <w:jc w:val="center"/>
              <w:rPr>
                <w:color w:val="auto"/>
              </w:rPr>
            </w:pPr>
            <w:r>
              <w:rPr>
                <w:color w:val="auto"/>
              </w:rPr>
              <w:object>
                <v:shape id="_x0000_i1028" o:spt="75" type="#_x0000_t75" style="height:127.5pt;width:92.25pt;" o:ole="t" filled="f" o:preferrelative="t" stroked="f" coordsize="21600,21600">
                  <v:path/>
                  <v:fill on="f" focussize="0,0"/>
                  <v:stroke on="f" joinstyle="miter"/>
                  <v:imagedata r:id="rId51" o:title=""/>
                  <o:lock v:ext="edit" aspectratio="t"/>
                  <w10:wrap type="none"/>
                  <w10:anchorlock/>
                </v:shape>
                <o:OLEObject Type="Embed" ProgID="Visio.Drawing.15" ShapeID="_x0000_i1028" DrawAspect="Content" ObjectID="_1468075728" r:id="rId50">
                  <o:LockedField>false</o:LockedField>
                </o:OLEObject>
              </w:object>
            </w:r>
          </w:p>
        </w:tc>
        <w:tc>
          <w:tcPr>
            <w:tcW w:w="2841" w:type="dxa"/>
            <w:vAlign w:val="center"/>
          </w:tcPr>
          <w:p w14:paraId="50728C5A">
            <w:pPr>
              <w:adjustRightInd w:val="0"/>
              <w:snapToGrid w:val="0"/>
              <w:jc w:val="center"/>
              <w:rPr>
                <w:color w:val="auto"/>
              </w:rPr>
            </w:pPr>
            <w:r>
              <w:rPr>
                <w:color w:val="auto"/>
              </w:rPr>
              <w:object>
                <v:shape id="_x0000_i1029" o:spt="75" type="#_x0000_t75" style="height:127.5pt;width:72.75pt;" o:ole="t" filled="f" o:preferrelative="t" stroked="f" coordsize="21600,21600">
                  <v:path/>
                  <v:fill on="f" focussize="0,0"/>
                  <v:stroke on="f" joinstyle="miter"/>
                  <v:imagedata r:id="rId53" o:title=""/>
                  <o:lock v:ext="edit" aspectratio="t"/>
                  <w10:wrap type="none"/>
                  <w10:anchorlock/>
                </v:shape>
                <o:OLEObject Type="Embed" ProgID="Visio.Drawing.15" ShapeID="_x0000_i1029" DrawAspect="Content" ObjectID="_1468075729" r:id="rId52">
                  <o:LockedField>false</o:LockedField>
                </o:OLEObject>
              </w:object>
            </w:r>
          </w:p>
        </w:tc>
        <w:tc>
          <w:tcPr>
            <w:tcW w:w="2841" w:type="dxa"/>
            <w:vAlign w:val="center"/>
          </w:tcPr>
          <w:p w14:paraId="395F00BE">
            <w:pPr>
              <w:adjustRightInd w:val="0"/>
              <w:snapToGrid w:val="0"/>
              <w:jc w:val="center"/>
              <w:rPr>
                <w:color w:val="auto"/>
              </w:rPr>
            </w:pPr>
            <w:r>
              <w:rPr>
                <w:color w:val="auto"/>
              </w:rPr>
              <w:object>
                <v:shape id="_x0000_i1030" o:spt="75" type="#_x0000_t75" style="height:127.5pt;width:115.5pt;" o:ole="t" filled="f" o:preferrelative="t" stroked="f" coordsize="21600,21600">
                  <v:path/>
                  <v:fill on="f" focussize="0,0"/>
                  <v:stroke on="f" joinstyle="miter"/>
                  <v:imagedata r:id="rId55" o:title=""/>
                  <o:lock v:ext="edit" aspectratio="t"/>
                  <w10:wrap type="none"/>
                  <w10:anchorlock/>
                </v:shape>
                <o:OLEObject Type="Embed" ProgID="Visio.Drawing.15" ShapeID="_x0000_i1030" DrawAspect="Content" ObjectID="_1468075730" r:id="rId54">
                  <o:LockedField>false</o:LockedField>
                </o:OLEObject>
              </w:object>
            </w:r>
          </w:p>
        </w:tc>
      </w:tr>
      <w:tr w14:paraId="63448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0" w:type="dxa"/>
            <w:vAlign w:val="center"/>
          </w:tcPr>
          <w:p w14:paraId="335F8614">
            <w:pPr>
              <w:widowControl/>
              <w:tabs>
                <w:tab w:val="left" w:pos="0"/>
              </w:tabs>
              <w:spacing w:line="312" w:lineRule="auto"/>
              <w:jc w:val="center"/>
              <w:rPr>
                <w:rFonts w:eastAsia="楷体"/>
                <w:bCs/>
                <w:color w:val="auto"/>
                <w:szCs w:val="21"/>
              </w:rPr>
            </w:pPr>
            <w:r>
              <w:rPr>
                <w:rFonts w:eastAsia="楷体"/>
                <w:bCs/>
                <w:color w:val="auto"/>
                <w:szCs w:val="21"/>
              </w:rPr>
              <w:t>(a) 中柱</w:t>
            </w:r>
          </w:p>
        </w:tc>
        <w:tc>
          <w:tcPr>
            <w:tcW w:w="2841" w:type="dxa"/>
            <w:vAlign w:val="center"/>
          </w:tcPr>
          <w:p w14:paraId="2375F181">
            <w:pPr>
              <w:widowControl/>
              <w:tabs>
                <w:tab w:val="left" w:pos="0"/>
              </w:tabs>
              <w:spacing w:line="312" w:lineRule="auto"/>
              <w:jc w:val="center"/>
              <w:rPr>
                <w:rFonts w:eastAsia="楷体"/>
                <w:bCs/>
                <w:color w:val="auto"/>
                <w:szCs w:val="21"/>
              </w:rPr>
            </w:pPr>
            <w:r>
              <w:rPr>
                <w:rFonts w:eastAsia="楷体"/>
                <w:bCs/>
                <w:color w:val="auto"/>
                <w:szCs w:val="21"/>
              </w:rPr>
              <w:t>(b) 边柱</w:t>
            </w:r>
          </w:p>
        </w:tc>
        <w:tc>
          <w:tcPr>
            <w:tcW w:w="2841" w:type="dxa"/>
            <w:vAlign w:val="center"/>
          </w:tcPr>
          <w:p w14:paraId="3266BA7E">
            <w:pPr>
              <w:widowControl/>
              <w:tabs>
                <w:tab w:val="left" w:pos="0"/>
              </w:tabs>
              <w:spacing w:line="312" w:lineRule="auto"/>
              <w:jc w:val="center"/>
              <w:rPr>
                <w:rFonts w:eastAsia="楷体"/>
                <w:bCs/>
                <w:color w:val="auto"/>
                <w:szCs w:val="21"/>
              </w:rPr>
            </w:pPr>
            <w:r>
              <w:rPr>
                <w:rFonts w:eastAsia="楷体"/>
                <w:bCs/>
                <w:color w:val="auto"/>
                <w:szCs w:val="21"/>
              </w:rPr>
              <w:t>(c) 角柱</w:t>
            </w:r>
          </w:p>
        </w:tc>
      </w:tr>
    </w:tbl>
    <w:p w14:paraId="7B1945B4">
      <w:pPr>
        <w:widowControl/>
        <w:tabs>
          <w:tab w:val="left" w:pos="0"/>
        </w:tabs>
        <w:spacing w:line="312" w:lineRule="auto"/>
        <w:jc w:val="center"/>
        <w:rPr>
          <w:rFonts w:eastAsia="楷体"/>
          <w:bCs/>
          <w:color w:val="auto"/>
          <w:szCs w:val="21"/>
        </w:rPr>
      </w:pPr>
      <w:r>
        <w:rPr>
          <w:rFonts w:eastAsia="楷体"/>
          <w:bCs/>
          <w:color w:val="auto"/>
          <w:szCs w:val="21"/>
        </w:rPr>
        <w:t>图15  箱模式模块与现浇混凝土柱的水平布置示意</w:t>
      </w:r>
    </w:p>
    <w:p w14:paraId="589B0B93">
      <w:pPr>
        <w:widowControl/>
        <w:tabs>
          <w:tab w:val="left" w:pos="0"/>
        </w:tabs>
        <w:spacing w:line="312" w:lineRule="auto"/>
        <w:jc w:val="center"/>
        <w:rPr>
          <w:rFonts w:eastAsia="楷体"/>
          <w:bCs/>
          <w:color w:val="auto"/>
          <w:szCs w:val="21"/>
        </w:rPr>
      </w:pPr>
      <w:r>
        <w:rPr>
          <w:rFonts w:eastAsia="楷体"/>
          <w:bCs/>
          <w:color w:val="auto"/>
          <w:szCs w:val="21"/>
        </w:rPr>
        <w:t>1—现浇混凝土矩形柱；2—右箱模式模块单元；3—左箱模式模块单元；</w:t>
      </w:r>
    </w:p>
    <w:p w14:paraId="7B6117C7">
      <w:pPr>
        <w:widowControl/>
        <w:tabs>
          <w:tab w:val="left" w:pos="0"/>
        </w:tabs>
        <w:spacing w:line="312" w:lineRule="auto"/>
        <w:jc w:val="center"/>
        <w:rPr>
          <w:rFonts w:eastAsia="楷体"/>
          <w:bCs/>
          <w:color w:val="auto"/>
          <w:szCs w:val="21"/>
        </w:rPr>
      </w:pPr>
      <w:r>
        <w:rPr>
          <w:rFonts w:eastAsia="楷体"/>
          <w:bCs/>
          <w:color w:val="auto"/>
          <w:szCs w:val="21"/>
        </w:rPr>
        <w:t>4—模块单元接缝；5—现场浇筑柱时临时用模板；6—柔性层；7—防水胶条</w:t>
      </w:r>
    </w:p>
    <w:p w14:paraId="55072D6F">
      <w:pPr>
        <w:numPr>
          <w:ilvl w:val="0"/>
          <w:numId w:val="13"/>
        </w:numPr>
        <w:spacing w:line="312" w:lineRule="auto"/>
        <w:rPr>
          <w:bCs/>
          <w:color w:val="auto"/>
        </w:rPr>
      </w:pPr>
      <w:r>
        <w:rPr>
          <w:rFonts w:hint="eastAsia"/>
          <w:bCs/>
          <w:color w:val="auto"/>
        </w:rPr>
        <w:t>模块化现浇结构中的剪力墙可采用一字形、L形和T形截面，剪力墙端部应与墙模采用柔性材料分隔。</w:t>
      </w:r>
    </w:p>
    <w:p w14:paraId="45F46857">
      <w:pPr>
        <w:spacing w:line="312" w:lineRule="auto"/>
        <w:ind w:firstLine="420" w:firstLineChars="200"/>
        <w:rPr>
          <w:bCs/>
          <w:color w:val="auto"/>
        </w:rPr>
      </w:pPr>
      <w:r>
        <w:rPr>
          <w:rFonts w:eastAsia="楷体"/>
          <w:color w:val="auto"/>
        </w:rPr>
        <w:t>【条文说明】</w:t>
      </w:r>
      <w:r>
        <w:rPr>
          <w:rFonts w:hint="eastAsia" w:eastAsia="楷体"/>
          <w:color w:val="auto"/>
        </w:rPr>
        <w:t>箱模式模块与现浇剪力墙的水平布置示意如图16所示。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4"/>
        <w:gridCol w:w="2830"/>
        <w:gridCol w:w="2888"/>
      </w:tblGrid>
      <w:tr w14:paraId="129AF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0" w:type="dxa"/>
            <w:vAlign w:val="center"/>
          </w:tcPr>
          <w:p w14:paraId="6DD087AC">
            <w:pPr>
              <w:adjustRightInd w:val="0"/>
              <w:snapToGrid w:val="0"/>
              <w:jc w:val="center"/>
              <w:rPr>
                <w:color w:val="auto"/>
              </w:rPr>
            </w:pPr>
            <w:r>
              <w:rPr>
                <w:color w:val="auto"/>
                <w:szCs w:val="21"/>
              </w:rPr>
              <w:drawing>
                <wp:inline distT="0" distB="0" distL="0" distR="0">
                  <wp:extent cx="696595" cy="1619885"/>
                  <wp:effectExtent l="0" t="0" r="0" b="0"/>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
                          <pic:cNvPicPr>
                            <a:picLocks noChangeAspect="1" noChangeArrowheads="1"/>
                          </pic:cNvPicPr>
                        </pic:nvPicPr>
                        <pic:blipFill>
                          <a:blip r:embed="rId56" cstate="print">
                            <a:extLst>
                              <a:ext uri="{28A0092B-C50C-407E-A947-70E740481C1C}">
                                <a14:useLocalDpi xmlns:a14="http://schemas.microsoft.com/office/drawing/2010/main" val="0"/>
                              </a:ext>
                            </a:extLst>
                          </a:blip>
                          <a:srcRect l="42892" t="18864" r="46271" b="23083"/>
                          <a:stretch>
                            <a:fillRect/>
                          </a:stretch>
                        </pic:blipFill>
                        <pic:spPr>
                          <a:xfrm>
                            <a:off x="0" y="0"/>
                            <a:ext cx="696595" cy="1619885"/>
                          </a:xfrm>
                          <a:prstGeom prst="rect">
                            <a:avLst/>
                          </a:prstGeom>
                          <a:noFill/>
                          <a:ln>
                            <a:noFill/>
                          </a:ln>
                        </pic:spPr>
                      </pic:pic>
                    </a:graphicData>
                  </a:graphic>
                </wp:inline>
              </w:drawing>
            </w:r>
          </w:p>
        </w:tc>
        <w:tc>
          <w:tcPr>
            <w:tcW w:w="2841" w:type="dxa"/>
            <w:vAlign w:val="center"/>
          </w:tcPr>
          <w:p w14:paraId="6AE83F9E">
            <w:pPr>
              <w:adjustRightInd w:val="0"/>
              <w:snapToGrid w:val="0"/>
              <w:jc w:val="center"/>
              <w:rPr>
                <w:color w:val="auto"/>
              </w:rPr>
            </w:pPr>
            <w:r>
              <w:rPr>
                <w:rFonts w:hint="eastAsia"/>
                <w:color w:val="auto"/>
                <w:szCs w:val="21"/>
              </w:rPr>
              <w:drawing>
                <wp:inline distT="0" distB="0" distL="0" distR="0">
                  <wp:extent cx="1374775" cy="1619885"/>
                  <wp:effectExtent l="0" t="0" r="0" b="18415"/>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pic:cNvPicPr>
                            <a:picLocks noChangeAspect="1" noChangeArrowheads="1"/>
                          </pic:cNvPicPr>
                        </pic:nvPicPr>
                        <pic:blipFill>
                          <a:blip r:embed="rId57" cstate="print">
                            <a:extLst>
                              <a:ext uri="{28A0092B-C50C-407E-A947-70E740481C1C}">
                                <a14:useLocalDpi xmlns:a14="http://schemas.microsoft.com/office/drawing/2010/main" val="0"/>
                              </a:ext>
                            </a:extLst>
                          </a:blip>
                          <a:srcRect l="55534" t="7671" r="21075" b="33034"/>
                          <a:stretch>
                            <a:fillRect/>
                          </a:stretch>
                        </pic:blipFill>
                        <pic:spPr>
                          <a:xfrm>
                            <a:off x="0" y="0"/>
                            <a:ext cx="1374775" cy="1619885"/>
                          </a:xfrm>
                          <a:prstGeom prst="rect">
                            <a:avLst/>
                          </a:prstGeom>
                          <a:noFill/>
                          <a:ln>
                            <a:noFill/>
                          </a:ln>
                        </pic:spPr>
                      </pic:pic>
                    </a:graphicData>
                  </a:graphic>
                </wp:inline>
              </w:drawing>
            </w:r>
          </w:p>
        </w:tc>
        <w:tc>
          <w:tcPr>
            <w:tcW w:w="2841" w:type="dxa"/>
            <w:vAlign w:val="center"/>
          </w:tcPr>
          <w:p w14:paraId="45D47DD2">
            <w:pPr>
              <w:adjustRightInd w:val="0"/>
              <w:snapToGrid w:val="0"/>
              <w:jc w:val="center"/>
              <w:rPr>
                <w:color w:val="auto"/>
              </w:rPr>
            </w:pPr>
            <w:r>
              <w:rPr>
                <w:color w:val="auto"/>
                <w:szCs w:val="21"/>
              </w:rPr>
              <w:drawing>
                <wp:inline distT="0" distB="0" distL="0" distR="0">
                  <wp:extent cx="1696720" cy="1619885"/>
                  <wp:effectExtent l="0" t="0" r="0" b="18415"/>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
                          <pic:cNvPicPr>
                            <a:picLocks noChangeAspect="1" noChangeArrowheads="1"/>
                          </pic:cNvPicPr>
                        </pic:nvPicPr>
                        <pic:blipFill>
                          <a:blip r:embed="rId58">
                            <a:extLst>
                              <a:ext uri="{28A0092B-C50C-407E-A947-70E740481C1C}">
                                <a14:useLocalDpi xmlns:a14="http://schemas.microsoft.com/office/drawing/2010/main" val="0"/>
                              </a:ext>
                            </a:extLst>
                          </a:blip>
                          <a:srcRect l="37474" t="36276" r="42746" b="26401"/>
                          <a:stretch>
                            <a:fillRect/>
                          </a:stretch>
                        </pic:blipFill>
                        <pic:spPr>
                          <a:xfrm>
                            <a:off x="0" y="0"/>
                            <a:ext cx="1696720" cy="1619885"/>
                          </a:xfrm>
                          <a:prstGeom prst="rect">
                            <a:avLst/>
                          </a:prstGeom>
                          <a:noFill/>
                          <a:ln>
                            <a:noFill/>
                          </a:ln>
                        </pic:spPr>
                      </pic:pic>
                    </a:graphicData>
                  </a:graphic>
                </wp:inline>
              </w:drawing>
            </w:r>
          </w:p>
        </w:tc>
      </w:tr>
      <w:tr w14:paraId="2E9A6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0" w:type="dxa"/>
            <w:vAlign w:val="center"/>
          </w:tcPr>
          <w:p w14:paraId="372A0453">
            <w:pPr>
              <w:tabs>
                <w:tab w:val="left" w:pos="0"/>
              </w:tabs>
              <w:spacing w:line="312" w:lineRule="auto"/>
              <w:jc w:val="center"/>
              <w:rPr>
                <w:rFonts w:eastAsia="楷体"/>
                <w:bCs/>
                <w:color w:val="auto"/>
                <w:szCs w:val="21"/>
              </w:rPr>
            </w:pPr>
            <w:r>
              <w:rPr>
                <w:rFonts w:hint="eastAsia" w:eastAsia="楷体"/>
                <w:bCs/>
                <w:color w:val="auto"/>
                <w:szCs w:val="21"/>
              </w:rPr>
              <w:t>(a) 一字形墙</w:t>
            </w:r>
          </w:p>
        </w:tc>
        <w:tc>
          <w:tcPr>
            <w:tcW w:w="2841" w:type="dxa"/>
            <w:vAlign w:val="center"/>
          </w:tcPr>
          <w:p w14:paraId="5762F6C0">
            <w:pPr>
              <w:tabs>
                <w:tab w:val="left" w:pos="0"/>
              </w:tabs>
              <w:spacing w:line="312" w:lineRule="auto"/>
              <w:jc w:val="center"/>
              <w:rPr>
                <w:rFonts w:eastAsia="楷体"/>
                <w:bCs/>
                <w:color w:val="auto"/>
                <w:szCs w:val="21"/>
              </w:rPr>
            </w:pPr>
            <w:r>
              <w:rPr>
                <w:rFonts w:eastAsia="楷体"/>
                <w:bCs/>
                <w:color w:val="auto"/>
                <w:szCs w:val="21"/>
              </w:rPr>
              <w:t>(b)</w:t>
            </w:r>
            <w:r>
              <w:rPr>
                <w:rFonts w:hint="eastAsia" w:eastAsia="楷体"/>
                <w:bCs/>
                <w:color w:val="auto"/>
                <w:szCs w:val="21"/>
              </w:rPr>
              <w:t xml:space="preserve"> L形墙</w:t>
            </w:r>
          </w:p>
        </w:tc>
        <w:tc>
          <w:tcPr>
            <w:tcW w:w="2841" w:type="dxa"/>
            <w:vAlign w:val="center"/>
          </w:tcPr>
          <w:p w14:paraId="6522B704">
            <w:pPr>
              <w:tabs>
                <w:tab w:val="left" w:pos="0"/>
              </w:tabs>
              <w:spacing w:line="312" w:lineRule="auto"/>
              <w:jc w:val="center"/>
              <w:rPr>
                <w:rFonts w:eastAsia="楷体"/>
                <w:bCs/>
                <w:color w:val="auto"/>
                <w:szCs w:val="21"/>
              </w:rPr>
            </w:pPr>
            <w:r>
              <w:rPr>
                <w:rFonts w:eastAsia="楷体"/>
                <w:bCs/>
                <w:color w:val="auto"/>
                <w:szCs w:val="21"/>
              </w:rPr>
              <w:t>(c)</w:t>
            </w:r>
            <w:r>
              <w:rPr>
                <w:rFonts w:hint="eastAsia" w:eastAsia="楷体"/>
                <w:bCs/>
                <w:color w:val="auto"/>
                <w:szCs w:val="21"/>
              </w:rPr>
              <w:t xml:space="preserve"> T字形墙</w:t>
            </w:r>
          </w:p>
        </w:tc>
      </w:tr>
    </w:tbl>
    <w:p w14:paraId="4687CC3D">
      <w:pPr>
        <w:pStyle w:val="26"/>
        <w:spacing w:line="312" w:lineRule="auto"/>
        <w:rPr>
          <w:rFonts w:eastAsia="楷体"/>
          <w:color w:val="auto"/>
          <w:sz w:val="21"/>
        </w:rPr>
      </w:pPr>
      <w:r>
        <w:rPr>
          <w:rFonts w:eastAsia="楷体"/>
          <w:color w:val="auto"/>
          <w:sz w:val="21"/>
        </w:rPr>
        <w:t>图</w:t>
      </w:r>
      <w:r>
        <w:rPr>
          <w:rFonts w:hint="eastAsia" w:eastAsia="楷体"/>
          <w:color w:val="auto"/>
          <w:sz w:val="21"/>
        </w:rPr>
        <w:t>16</w:t>
      </w:r>
      <w:r>
        <w:rPr>
          <w:rFonts w:eastAsia="楷体"/>
          <w:color w:val="auto"/>
          <w:sz w:val="21"/>
        </w:rPr>
        <w:t xml:space="preserve">  箱模式模块与现浇剪力墙的水平布置示意</w:t>
      </w:r>
    </w:p>
    <w:p w14:paraId="4B6B47AE">
      <w:pPr>
        <w:adjustRightInd w:val="0"/>
        <w:spacing w:line="312" w:lineRule="auto"/>
        <w:jc w:val="center"/>
        <w:rPr>
          <w:rFonts w:eastAsia="楷体"/>
          <w:color w:val="auto"/>
          <w:szCs w:val="21"/>
        </w:rPr>
      </w:pPr>
      <w:r>
        <w:rPr>
          <w:rFonts w:eastAsia="楷体"/>
          <w:color w:val="auto"/>
          <w:szCs w:val="21"/>
        </w:rPr>
        <w:t>1—现浇混凝土剪力墙；2—右方箱模式模块单元；3—左方箱模式模块单元；</w:t>
      </w:r>
    </w:p>
    <w:p w14:paraId="4EDE2A67">
      <w:pPr>
        <w:adjustRightInd w:val="0"/>
        <w:spacing w:line="312" w:lineRule="auto"/>
        <w:jc w:val="center"/>
        <w:rPr>
          <w:rFonts w:eastAsia="楷体"/>
          <w:color w:val="auto"/>
          <w:szCs w:val="21"/>
        </w:rPr>
      </w:pPr>
      <w:r>
        <w:rPr>
          <w:rFonts w:eastAsia="楷体"/>
          <w:color w:val="auto"/>
          <w:szCs w:val="21"/>
        </w:rPr>
        <w:t>4—模块单元接缝；5—浇筑剪力墙时用模板；6—柔性层；7—防水胶条</w:t>
      </w:r>
    </w:p>
    <w:p w14:paraId="610A9411">
      <w:pPr>
        <w:pStyle w:val="33"/>
        <w:rPr>
          <w:color w:val="auto"/>
        </w:rPr>
      </w:pPr>
      <w:r>
        <w:rPr>
          <w:rFonts w:hint="eastAsia"/>
          <w:color w:val="auto"/>
        </w:rPr>
        <w:t>为保证结构受力合理，箱模式模块与竖向构件的平面布置应简单、规则；根据哈尔滨工业大学（深圳）的试验结论，在模块单元隔墙与剪力墙或柱接触部位设置柔性分隔，可有效降低模块单元隔墙对结构抗侧刚度的影响，柔性材料可为EPS（模塑聚苯板）或XPS（挤塑聚苯板），见图17。</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2774A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58966379">
            <w:pPr>
              <w:adjustRightInd w:val="0"/>
              <w:snapToGrid w:val="0"/>
              <w:jc w:val="center"/>
              <w:rPr>
                <w:color w:val="auto"/>
              </w:rPr>
            </w:pPr>
            <w:r>
              <w:rPr>
                <w:color w:val="auto"/>
              </w:rPr>
              <w:drawing>
                <wp:inline distT="0" distB="0" distL="0" distR="0">
                  <wp:extent cx="1958975" cy="1656080"/>
                  <wp:effectExtent l="0" t="0" r="6985" b="508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59"/>
                          <a:stretch>
                            <a:fillRect/>
                          </a:stretch>
                        </pic:blipFill>
                        <pic:spPr>
                          <a:xfrm>
                            <a:off x="0" y="0"/>
                            <a:ext cx="1958975" cy="1656080"/>
                          </a:xfrm>
                          <a:prstGeom prst="rect">
                            <a:avLst/>
                          </a:prstGeom>
                        </pic:spPr>
                      </pic:pic>
                    </a:graphicData>
                  </a:graphic>
                </wp:inline>
              </w:drawing>
            </w:r>
          </w:p>
        </w:tc>
        <w:tc>
          <w:tcPr>
            <w:tcW w:w="4261" w:type="dxa"/>
            <w:vAlign w:val="center"/>
          </w:tcPr>
          <w:p w14:paraId="30C6CDB7">
            <w:pPr>
              <w:adjustRightInd w:val="0"/>
              <w:snapToGrid w:val="0"/>
              <w:jc w:val="center"/>
              <w:rPr>
                <w:color w:val="auto"/>
              </w:rPr>
            </w:pPr>
            <w:r>
              <w:rPr>
                <w:color w:val="auto"/>
              </w:rPr>
              <w:drawing>
                <wp:inline distT="0" distB="0" distL="0" distR="0">
                  <wp:extent cx="1903095" cy="1656080"/>
                  <wp:effectExtent l="0" t="0" r="1905" b="508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60"/>
                          <a:stretch>
                            <a:fillRect/>
                          </a:stretch>
                        </pic:blipFill>
                        <pic:spPr>
                          <a:xfrm>
                            <a:off x="0" y="0"/>
                            <a:ext cx="1903095" cy="1656080"/>
                          </a:xfrm>
                          <a:prstGeom prst="rect">
                            <a:avLst/>
                          </a:prstGeom>
                        </pic:spPr>
                      </pic:pic>
                    </a:graphicData>
                  </a:graphic>
                </wp:inline>
              </w:drawing>
            </w:r>
          </w:p>
        </w:tc>
      </w:tr>
      <w:tr w14:paraId="25F46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38B27D31">
            <w:pPr>
              <w:tabs>
                <w:tab w:val="left" w:pos="0"/>
              </w:tabs>
              <w:spacing w:line="312" w:lineRule="auto"/>
              <w:jc w:val="center"/>
              <w:rPr>
                <w:rFonts w:eastAsia="楷体"/>
                <w:bCs/>
                <w:color w:val="auto"/>
                <w:szCs w:val="21"/>
              </w:rPr>
            </w:pPr>
            <w:r>
              <w:rPr>
                <w:rFonts w:hint="eastAsia" w:eastAsia="楷体"/>
                <w:bCs/>
                <w:color w:val="auto"/>
                <w:szCs w:val="21"/>
              </w:rPr>
              <w:t>(a)  剪力墙设置柔性分隔</w:t>
            </w:r>
          </w:p>
        </w:tc>
        <w:tc>
          <w:tcPr>
            <w:tcW w:w="4261" w:type="dxa"/>
            <w:vAlign w:val="center"/>
          </w:tcPr>
          <w:p w14:paraId="13D98D97">
            <w:pPr>
              <w:tabs>
                <w:tab w:val="left" w:pos="0"/>
              </w:tabs>
              <w:spacing w:line="312" w:lineRule="auto"/>
              <w:jc w:val="center"/>
              <w:rPr>
                <w:rFonts w:eastAsia="楷体"/>
                <w:bCs/>
                <w:color w:val="auto"/>
                <w:szCs w:val="21"/>
              </w:rPr>
            </w:pPr>
            <w:r>
              <w:rPr>
                <w:rFonts w:hint="eastAsia" w:eastAsia="楷体"/>
                <w:bCs/>
                <w:color w:val="auto"/>
                <w:szCs w:val="21"/>
              </w:rPr>
              <w:t>(b)  剪力墙未设置柔性分隔</w:t>
            </w:r>
          </w:p>
        </w:tc>
      </w:tr>
    </w:tbl>
    <w:p w14:paraId="57DF2892">
      <w:pPr>
        <w:tabs>
          <w:tab w:val="left" w:pos="0"/>
        </w:tabs>
        <w:spacing w:line="312" w:lineRule="auto"/>
        <w:jc w:val="center"/>
        <w:rPr>
          <w:rFonts w:eastAsia="楷体"/>
          <w:bCs/>
          <w:color w:val="auto"/>
          <w:szCs w:val="21"/>
        </w:rPr>
      </w:pPr>
      <w:r>
        <w:rPr>
          <w:rFonts w:hint="eastAsia" w:eastAsia="楷体"/>
          <w:bCs/>
          <w:color w:val="auto"/>
          <w:szCs w:val="21"/>
        </w:rPr>
        <w:t>图17  墙模联肢剪力墙抗震性能试验</w:t>
      </w:r>
    </w:p>
    <w:p w14:paraId="62EA4931">
      <w:pPr>
        <w:numPr>
          <w:ilvl w:val="0"/>
          <w:numId w:val="13"/>
        </w:numPr>
        <w:spacing w:line="312" w:lineRule="auto"/>
        <w:rPr>
          <w:bCs/>
          <w:color w:val="auto"/>
        </w:rPr>
      </w:pPr>
      <w:r>
        <w:rPr>
          <w:rFonts w:hint="eastAsia"/>
          <w:bCs/>
          <w:color w:val="auto"/>
        </w:rPr>
        <w:t>模块化现浇结构中模块单元与现浇梁、柱、剪力墙和楼板的连接构造应符合下列规定：</w:t>
      </w:r>
    </w:p>
    <w:p w14:paraId="59172DC4">
      <w:pPr>
        <w:spacing w:line="312" w:lineRule="auto"/>
        <w:ind w:firstLine="422" w:firstLineChars="200"/>
        <w:rPr>
          <w:color w:val="auto"/>
        </w:rPr>
      </w:pPr>
      <w:r>
        <w:rPr>
          <w:b/>
          <w:color w:val="auto"/>
        </w:rPr>
        <w:t xml:space="preserve">1  </w:t>
      </w:r>
      <w:r>
        <w:rPr>
          <w:color w:val="auto"/>
        </w:rPr>
        <w:t>现浇混凝土梁</w:t>
      </w:r>
      <w:r>
        <w:rPr>
          <w:rFonts w:hint="eastAsia"/>
          <w:color w:val="auto"/>
        </w:rPr>
        <w:t>底与梁模之间应</w:t>
      </w:r>
      <w:r>
        <w:rPr>
          <w:color w:val="auto"/>
        </w:rPr>
        <w:t>设置</w:t>
      </w:r>
      <w:r>
        <w:rPr>
          <w:rFonts w:hint="eastAsia"/>
          <w:color w:val="auto"/>
        </w:rPr>
        <w:t>柔性层</w:t>
      </w:r>
      <w:r>
        <w:rPr>
          <w:color w:val="auto"/>
        </w:rPr>
        <w:t>；</w:t>
      </w:r>
    </w:p>
    <w:p w14:paraId="7A8B05BD">
      <w:pPr>
        <w:spacing w:line="312" w:lineRule="auto"/>
        <w:ind w:firstLine="422" w:firstLineChars="200"/>
        <w:rPr>
          <w:color w:val="auto"/>
        </w:rPr>
      </w:pPr>
      <w:r>
        <w:rPr>
          <w:b/>
          <w:color w:val="auto"/>
        </w:rPr>
        <w:t xml:space="preserve">2  </w:t>
      </w:r>
      <w:r>
        <w:rPr>
          <w:rFonts w:hint="eastAsia"/>
          <w:bCs/>
          <w:color w:val="auto"/>
        </w:rPr>
        <w:t>墙模、柱模底与结构板之间采用座浆时，座浆料强度等级不应小于</w:t>
      </w:r>
      <w:r>
        <w:rPr>
          <w:bCs/>
          <w:color w:val="auto"/>
        </w:rPr>
        <w:t>C60</w:t>
      </w:r>
      <w:r>
        <w:rPr>
          <w:rFonts w:hint="eastAsia"/>
          <w:bCs/>
          <w:color w:val="auto"/>
        </w:rPr>
        <w:t>，且不应小于墙、柱强度等级</w:t>
      </w:r>
      <w:r>
        <w:rPr>
          <w:bCs/>
          <w:color w:val="auto"/>
        </w:rPr>
        <w:t>，</w:t>
      </w:r>
      <w:r>
        <w:rPr>
          <w:rFonts w:hint="eastAsia"/>
          <w:color w:val="auto"/>
        </w:rPr>
        <w:t>座浆厚度宜取1</w:t>
      </w:r>
      <w:r>
        <w:rPr>
          <w:color w:val="auto"/>
        </w:rPr>
        <w:t>0mm</w:t>
      </w:r>
      <w:r>
        <w:rPr>
          <w:rFonts w:hint="eastAsia"/>
          <w:color w:val="auto"/>
        </w:rPr>
        <w:t>～2</w:t>
      </w:r>
      <w:r>
        <w:rPr>
          <w:color w:val="auto"/>
        </w:rPr>
        <w:t>0</w:t>
      </w:r>
      <w:r>
        <w:rPr>
          <w:rFonts w:hint="eastAsia"/>
          <w:color w:val="auto"/>
        </w:rPr>
        <w:t>mm</w:t>
      </w:r>
      <w:r>
        <w:rPr>
          <w:color w:val="auto"/>
        </w:rPr>
        <w:t>。</w:t>
      </w:r>
    </w:p>
    <w:p w14:paraId="17F024A1">
      <w:pPr>
        <w:spacing w:line="312" w:lineRule="auto"/>
        <w:ind w:firstLine="420" w:firstLineChars="200"/>
        <w:rPr>
          <w:rFonts w:eastAsia="楷体"/>
          <w:color w:val="auto"/>
          <w:szCs w:val="21"/>
        </w:rPr>
      </w:pPr>
      <w:r>
        <w:rPr>
          <w:rFonts w:eastAsia="楷体"/>
          <w:color w:val="auto"/>
          <w:szCs w:val="21"/>
        </w:rPr>
        <w:t>【条文说明】模块化现浇结构竖向连接节点示意如图18所示。</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7200F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16A3D535">
            <w:pPr>
              <w:adjustRightInd w:val="0"/>
              <w:snapToGrid w:val="0"/>
              <w:jc w:val="center"/>
              <w:rPr>
                <w:color w:val="auto"/>
              </w:rPr>
            </w:pPr>
            <w:r>
              <w:rPr>
                <w:color w:val="auto"/>
                <w:szCs w:val="21"/>
              </w:rPr>
              <w:drawing>
                <wp:inline distT="0" distB="0" distL="0" distR="0">
                  <wp:extent cx="1777365" cy="1800225"/>
                  <wp:effectExtent l="0" t="0" r="1333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1"/>
                          <a:srcRect t="1958" b="4406"/>
                          <a:stretch>
                            <a:fillRect/>
                          </a:stretch>
                        </pic:blipFill>
                        <pic:spPr>
                          <a:xfrm>
                            <a:off x="0" y="0"/>
                            <a:ext cx="1777365" cy="1800225"/>
                          </a:xfrm>
                          <a:prstGeom prst="rect">
                            <a:avLst/>
                          </a:prstGeom>
                        </pic:spPr>
                      </pic:pic>
                    </a:graphicData>
                  </a:graphic>
                </wp:inline>
              </w:drawing>
            </w:r>
          </w:p>
        </w:tc>
        <w:tc>
          <w:tcPr>
            <w:tcW w:w="4261" w:type="dxa"/>
            <w:vAlign w:val="center"/>
          </w:tcPr>
          <w:p w14:paraId="786FEB44">
            <w:pPr>
              <w:adjustRightInd w:val="0"/>
              <w:snapToGrid w:val="0"/>
              <w:jc w:val="center"/>
              <w:rPr>
                <w:color w:val="auto"/>
              </w:rPr>
            </w:pPr>
            <w:r>
              <w:rPr>
                <w:color w:val="auto"/>
                <w:szCs w:val="21"/>
              </w:rPr>
              <w:drawing>
                <wp:inline distT="0" distB="0" distL="0" distR="0">
                  <wp:extent cx="1971675" cy="180022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62"/>
                          <a:srcRect l="3951" t="10131" r="4938" b="6769"/>
                          <a:stretch>
                            <a:fillRect/>
                          </a:stretch>
                        </pic:blipFill>
                        <pic:spPr>
                          <a:xfrm>
                            <a:off x="0" y="0"/>
                            <a:ext cx="1971675" cy="1800225"/>
                          </a:xfrm>
                          <a:prstGeom prst="rect">
                            <a:avLst/>
                          </a:prstGeom>
                        </pic:spPr>
                      </pic:pic>
                    </a:graphicData>
                  </a:graphic>
                </wp:inline>
              </w:drawing>
            </w:r>
          </w:p>
        </w:tc>
      </w:tr>
      <w:tr w14:paraId="26595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6EE75441">
            <w:pPr>
              <w:spacing w:line="312" w:lineRule="auto"/>
              <w:jc w:val="center"/>
              <w:rPr>
                <w:rFonts w:eastAsia="楷体"/>
                <w:color w:val="auto"/>
                <w:szCs w:val="21"/>
              </w:rPr>
            </w:pPr>
            <w:r>
              <w:rPr>
                <w:rFonts w:eastAsia="楷体"/>
                <w:color w:val="auto"/>
                <w:szCs w:val="21"/>
              </w:rPr>
              <w:t>（a）箱模式模块与柱/墙、楼板连接节点</w:t>
            </w:r>
          </w:p>
        </w:tc>
        <w:tc>
          <w:tcPr>
            <w:tcW w:w="4261" w:type="dxa"/>
            <w:vAlign w:val="center"/>
          </w:tcPr>
          <w:p w14:paraId="50534EC8">
            <w:pPr>
              <w:spacing w:line="312" w:lineRule="auto"/>
              <w:jc w:val="center"/>
              <w:rPr>
                <w:rFonts w:eastAsia="楷体"/>
                <w:color w:val="auto"/>
                <w:szCs w:val="21"/>
              </w:rPr>
            </w:pPr>
            <w:r>
              <w:rPr>
                <w:rFonts w:eastAsia="楷体"/>
                <w:color w:val="auto"/>
                <w:szCs w:val="21"/>
              </w:rPr>
              <w:t>（b）箱模式模块与梁、楼板连接节点</w:t>
            </w:r>
          </w:p>
        </w:tc>
      </w:tr>
    </w:tbl>
    <w:p w14:paraId="73BC2CC0">
      <w:pPr>
        <w:spacing w:line="312" w:lineRule="auto"/>
        <w:ind w:firstLine="420" w:firstLineChars="200"/>
        <w:jc w:val="center"/>
        <w:rPr>
          <w:rFonts w:eastAsia="楷体"/>
          <w:color w:val="auto"/>
          <w:szCs w:val="21"/>
        </w:rPr>
      </w:pPr>
      <w:r>
        <w:rPr>
          <w:rFonts w:eastAsia="楷体"/>
          <w:color w:val="auto"/>
          <w:szCs w:val="21"/>
        </w:rPr>
        <w:t>图1</w:t>
      </w:r>
      <w:r>
        <w:rPr>
          <w:rFonts w:hint="eastAsia" w:eastAsia="楷体"/>
          <w:color w:val="auto"/>
          <w:szCs w:val="21"/>
        </w:rPr>
        <w:t xml:space="preserve">8 </w:t>
      </w:r>
      <w:r>
        <w:rPr>
          <w:rFonts w:eastAsia="楷体"/>
          <w:color w:val="auto"/>
          <w:szCs w:val="21"/>
        </w:rPr>
        <w:t xml:space="preserve"> 模块化现浇结构竖向连接节点示意</w:t>
      </w:r>
    </w:p>
    <w:p w14:paraId="132B4196">
      <w:pPr>
        <w:adjustRightInd w:val="0"/>
        <w:spacing w:line="312" w:lineRule="auto"/>
        <w:jc w:val="center"/>
        <w:rPr>
          <w:rFonts w:eastAsia="楷体"/>
          <w:color w:val="auto"/>
          <w:szCs w:val="21"/>
        </w:rPr>
      </w:pPr>
      <w:r>
        <w:rPr>
          <w:rFonts w:eastAsia="楷体"/>
          <w:color w:val="auto"/>
          <w:szCs w:val="21"/>
        </w:rPr>
        <w:t>1—现浇混凝土柱或剪力墙；2—模块</w:t>
      </w:r>
      <w:r>
        <w:rPr>
          <w:rFonts w:hint="eastAsia" w:eastAsia="楷体"/>
          <w:color w:val="auto"/>
          <w:szCs w:val="21"/>
        </w:rPr>
        <w:t>单元</w:t>
      </w:r>
      <w:r>
        <w:rPr>
          <w:rFonts w:eastAsia="楷体"/>
          <w:color w:val="auto"/>
          <w:szCs w:val="21"/>
        </w:rPr>
        <w:t>底板；3—模块</w:t>
      </w:r>
      <w:r>
        <w:rPr>
          <w:rFonts w:hint="eastAsia" w:eastAsia="楷体"/>
          <w:color w:val="auto"/>
          <w:szCs w:val="21"/>
        </w:rPr>
        <w:t>单元</w:t>
      </w:r>
      <w:r>
        <w:rPr>
          <w:rFonts w:eastAsia="楷体"/>
          <w:color w:val="auto"/>
          <w:szCs w:val="21"/>
        </w:rPr>
        <w:t>顶板；4—柱模或墙模；</w:t>
      </w:r>
    </w:p>
    <w:p w14:paraId="28104093">
      <w:pPr>
        <w:adjustRightInd w:val="0"/>
        <w:spacing w:line="312" w:lineRule="auto"/>
        <w:jc w:val="center"/>
        <w:rPr>
          <w:rFonts w:eastAsia="楷体"/>
          <w:color w:val="auto"/>
          <w:szCs w:val="21"/>
        </w:rPr>
      </w:pPr>
      <w:r>
        <w:rPr>
          <w:rFonts w:eastAsia="楷体"/>
          <w:color w:val="auto"/>
          <w:szCs w:val="21"/>
        </w:rPr>
        <w:t>5—叠合板后浇混凝土；6—</w:t>
      </w:r>
      <w:r>
        <w:rPr>
          <w:rFonts w:hint="eastAsia" w:eastAsia="楷体"/>
          <w:color w:val="auto"/>
          <w:szCs w:val="21"/>
        </w:rPr>
        <w:t>座</w:t>
      </w:r>
      <w:r>
        <w:rPr>
          <w:rFonts w:eastAsia="楷体"/>
          <w:color w:val="auto"/>
          <w:szCs w:val="21"/>
        </w:rPr>
        <w:t>浆层；7—现浇混凝土梁；8—防水胶条；</w:t>
      </w:r>
    </w:p>
    <w:p w14:paraId="28243B03">
      <w:pPr>
        <w:adjustRightInd w:val="0"/>
        <w:spacing w:line="312" w:lineRule="auto"/>
        <w:jc w:val="center"/>
        <w:rPr>
          <w:rFonts w:eastAsia="楷体"/>
          <w:color w:val="auto"/>
          <w:szCs w:val="21"/>
        </w:rPr>
      </w:pPr>
      <w:r>
        <w:rPr>
          <w:rFonts w:eastAsia="楷体"/>
          <w:color w:val="auto"/>
          <w:szCs w:val="21"/>
        </w:rPr>
        <w:t>9—模块</w:t>
      </w:r>
      <w:r>
        <w:rPr>
          <w:rFonts w:hint="eastAsia" w:eastAsia="楷体"/>
          <w:color w:val="auto"/>
          <w:szCs w:val="21"/>
        </w:rPr>
        <w:t>单元</w:t>
      </w:r>
      <w:r>
        <w:rPr>
          <w:rFonts w:eastAsia="楷体"/>
          <w:color w:val="auto"/>
          <w:szCs w:val="21"/>
        </w:rPr>
        <w:t>接缝；10—柔性层</w:t>
      </w:r>
    </w:p>
    <w:p w14:paraId="1A935A7C">
      <w:pPr>
        <w:pStyle w:val="33"/>
        <w:rPr>
          <w:color w:val="auto"/>
        </w:rPr>
      </w:pPr>
      <w:r>
        <w:rPr>
          <w:rFonts w:hint="eastAsia"/>
          <w:color w:val="auto"/>
        </w:rPr>
        <w:t>设置柔性分隔还可以防止浇筑过程中混凝土流淌至模块单元间的缝隙，造成梁浇筑不密实。柔性层厚度不宜大于20mm。模块单元安装时为调节模块单元标高，上下模块单元之间应预留20mm调节间隙，该间隙则通过座浆料填充，座浆区域应分布在模块单元底板四周及中间部位且间距不宜过大，保证底板的正常使用。</w:t>
      </w:r>
    </w:p>
    <w:p w14:paraId="206C8F73">
      <w:pPr>
        <w:numPr>
          <w:ilvl w:val="0"/>
          <w:numId w:val="13"/>
        </w:numPr>
        <w:spacing w:line="312" w:lineRule="auto"/>
        <w:rPr>
          <w:bCs/>
          <w:color w:val="auto"/>
        </w:rPr>
      </w:pPr>
      <w:r>
        <w:rPr>
          <w:rFonts w:hint="eastAsia"/>
          <w:bCs/>
          <w:color w:val="auto"/>
        </w:rPr>
        <w:t>模块化现浇结构中模块单元的非承重墙板预制部分与现浇竖向结构构件之间的水平连接，当采用钢筋连接时，直径不宜小于8mm，间距不宜大于500mm。</w:t>
      </w:r>
    </w:p>
    <w:p w14:paraId="4CC9A653">
      <w:pPr>
        <w:pStyle w:val="33"/>
        <w:rPr>
          <w:color w:val="auto"/>
        </w:rPr>
      </w:pPr>
      <w:r>
        <w:rPr>
          <w:rFonts w:hint="eastAsia" w:ascii="楷体" w:hAnsi="楷体" w:cs="楷体"/>
          <w:color w:val="auto"/>
          <w:szCs w:val="21"/>
        </w:rPr>
        <w:t>【条文说明】</w:t>
      </w:r>
      <w:r>
        <w:rPr>
          <w:color w:val="auto"/>
        </w:rPr>
        <w:t>为避免在地震下非结构构件的脱落破坏，模块单元中的隔墙应与现浇结构部分有连接措施，但为减弱隔墙刚度对结构构件的影响，在两者连接处加设柔性材料进行分隔，同时布置钢筋进行连接</w:t>
      </w:r>
      <w:r>
        <w:rPr>
          <w:rFonts w:hint="eastAsia"/>
          <w:color w:val="auto"/>
        </w:rPr>
        <w:t>，见图19</w:t>
      </w:r>
      <w:r>
        <w:rPr>
          <w:color w:val="auto"/>
        </w:rPr>
        <w:t>。</w:t>
      </w:r>
    </w:p>
    <w:p w14:paraId="1920898C">
      <w:pPr>
        <w:snapToGrid w:val="0"/>
        <w:ind w:firstLine="420" w:firstLineChars="200"/>
        <w:jc w:val="center"/>
        <w:rPr>
          <w:color w:val="auto"/>
          <w:szCs w:val="21"/>
        </w:rPr>
      </w:pPr>
      <w:r>
        <w:rPr>
          <w:color w:val="auto"/>
          <w:szCs w:val="21"/>
        </w:rPr>
        <w:drawing>
          <wp:inline distT="0" distB="0" distL="0" distR="0">
            <wp:extent cx="4146550" cy="1804670"/>
            <wp:effectExtent l="0" t="0" r="13970" b="889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63"/>
                    <a:stretch>
                      <a:fillRect/>
                    </a:stretch>
                  </pic:blipFill>
                  <pic:spPr>
                    <a:xfrm>
                      <a:off x="0" y="0"/>
                      <a:ext cx="4152221" cy="1807661"/>
                    </a:xfrm>
                    <a:prstGeom prst="rect">
                      <a:avLst/>
                    </a:prstGeom>
                  </pic:spPr>
                </pic:pic>
              </a:graphicData>
            </a:graphic>
          </wp:inline>
        </w:drawing>
      </w:r>
    </w:p>
    <w:p w14:paraId="2975C8C2">
      <w:pPr>
        <w:spacing w:line="312" w:lineRule="auto"/>
        <w:jc w:val="center"/>
        <w:rPr>
          <w:rFonts w:eastAsia="楷体"/>
          <w:color w:val="auto"/>
        </w:rPr>
      </w:pPr>
      <w:r>
        <w:rPr>
          <w:rFonts w:eastAsia="楷体"/>
          <w:color w:val="auto"/>
        </w:rPr>
        <w:t>图</w:t>
      </w:r>
      <w:r>
        <w:rPr>
          <w:rFonts w:hint="eastAsia" w:eastAsia="楷体"/>
          <w:color w:val="auto"/>
        </w:rPr>
        <w:t>19</w:t>
      </w:r>
      <w:r>
        <w:rPr>
          <w:rFonts w:eastAsia="楷体"/>
          <w:color w:val="auto"/>
        </w:rPr>
        <w:t xml:space="preserve">  模块单元非承重墙板与现浇竖向结构构件连接节点示意</w:t>
      </w:r>
    </w:p>
    <w:p w14:paraId="56591B22">
      <w:pPr>
        <w:numPr>
          <w:ilvl w:val="0"/>
          <w:numId w:val="13"/>
        </w:numPr>
        <w:spacing w:line="312" w:lineRule="auto"/>
        <w:rPr>
          <w:bCs/>
          <w:color w:val="auto"/>
        </w:rPr>
      </w:pPr>
      <w:r>
        <w:rPr>
          <w:rFonts w:hint="eastAsia"/>
          <w:bCs/>
          <w:color w:val="auto"/>
        </w:rPr>
        <w:t>模块化建筑结构楼板采用桁架预制叠合板时，桁架预制叠合板纵向钢筋不伸入支座，应符合下列规定：</w:t>
      </w:r>
    </w:p>
    <w:p w14:paraId="38C44089">
      <w:pPr>
        <w:spacing w:line="312" w:lineRule="auto"/>
        <w:ind w:firstLine="422" w:firstLineChars="200"/>
        <w:rPr>
          <w:color w:val="auto"/>
          <w:szCs w:val="21"/>
        </w:rPr>
      </w:pPr>
      <w:r>
        <w:rPr>
          <w:b/>
          <w:color w:val="auto"/>
          <w:szCs w:val="21"/>
        </w:rPr>
        <w:t xml:space="preserve">1  </w:t>
      </w:r>
      <w:r>
        <w:rPr>
          <w:rFonts w:hint="eastAsia"/>
          <w:color w:val="auto"/>
          <w:szCs w:val="21"/>
        </w:rPr>
        <w:t>后浇混凝土叠合层厚度不宜小于桁架预制板厚度，且不宜小于70mm；</w:t>
      </w:r>
    </w:p>
    <w:p w14:paraId="2E86FD34">
      <w:pPr>
        <w:spacing w:line="312" w:lineRule="auto"/>
        <w:ind w:firstLine="422" w:firstLineChars="200"/>
        <w:rPr>
          <w:color w:val="auto"/>
          <w:szCs w:val="21"/>
        </w:rPr>
      </w:pPr>
      <w:r>
        <w:rPr>
          <w:b/>
          <w:color w:val="auto"/>
          <w:szCs w:val="21"/>
        </w:rPr>
        <w:t xml:space="preserve">2  </w:t>
      </w:r>
      <w:r>
        <w:rPr>
          <w:rFonts w:hint="eastAsia"/>
          <w:color w:val="auto"/>
          <w:szCs w:val="21"/>
        </w:rPr>
        <w:t>支座处应设置垂直于板端的桁架预制板纵筋搭接钢筋，搭接钢筋截面积应符合《混凝土结构设计标准》GB/T 50010的规定，且不应小于桁架预制板内跨中同方向受力钢筋面积的1/3，搭接钢筋直径不宜小于8mm，间距不宜大于250mm；搭接钢筋强度等级不应低于与搭接钢筋平行的桁架预制板内同向受力钢筋的强度等级；</w:t>
      </w:r>
    </w:p>
    <w:p w14:paraId="4A2BC489">
      <w:pPr>
        <w:spacing w:line="312" w:lineRule="auto"/>
        <w:ind w:firstLine="422" w:firstLineChars="200"/>
        <w:rPr>
          <w:color w:val="auto"/>
          <w:szCs w:val="21"/>
        </w:rPr>
      </w:pPr>
      <w:r>
        <w:rPr>
          <w:b/>
          <w:color w:val="auto"/>
          <w:szCs w:val="21"/>
        </w:rPr>
        <w:t xml:space="preserve">3  </w:t>
      </w:r>
      <w:r>
        <w:rPr>
          <w:color w:val="auto"/>
          <w:szCs w:val="21"/>
        </w:rPr>
        <w:t>对于端节点支座，搭接钢筋伸入后浇叠合层锚固长度</w:t>
      </w:r>
      <w:r>
        <w:rPr>
          <w:i/>
          <w:iCs/>
          <w:color w:val="auto"/>
          <w:szCs w:val="21"/>
        </w:rPr>
        <w:t>l</w:t>
      </w:r>
      <w:r>
        <w:rPr>
          <w:i/>
          <w:iCs/>
          <w:color w:val="auto"/>
          <w:szCs w:val="21"/>
          <w:vertAlign w:val="subscript"/>
        </w:rPr>
        <w:t>s</w:t>
      </w:r>
      <w:r>
        <w:rPr>
          <w:color w:val="auto"/>
          <w:szCs w:val="21"/>
        </w:rPr>
        <w:t>不应小于</w:t>
      </w:r>
      <w:r>
        <w:rPr>
          <w:color w:val="auto"/>
        </w:rPr>
        <w:t>1.2</w:t>
      </w:r>
      <w:r>
        <w:rPr>
          <w:i/>
          <w:iCs/>
          <w:color w:val="auto"/>
        </w:rPr>
        <w:t>l</w:t>
      </w:r>
      <w:r>
        <w:rPr>
          <w:i/>
          <w:iCs/>
          <w:color w:val="auto"/>
          <w:vertAlign w:val="subscript"/>
        </w:rPr>
        <w:t>a</w:t>
      </w:r>
      <w:r>
        <w:rPr>
          <w:color w:val="auto"/>
          <w:szCs w:val="21"/>
        </w:rPr>
        <w:t>，并应在支承梁或墙的后浇混凝土中锚固，锚固长度不应小于</w:t>
      </w:r>
      <w:r>
        <w:rPr>
          <w:i/>
          <w:iCs/>
          <w:color w:val="auto"/>
          <w:szCs w:val="21"/>
        </w:rPr>
        <w:t>l</w:t>
      </w:r>
      <w:r>
        <w:rPr>
          <w:rFonts w:ascii="Cambria Math" w:hAnsi="Cambria Math"/>
          <w:i/>
          <w:iCs/>
          <w:color w:val="auto"/>
          <w:szCs w:val="21"/>
        </w:rPr>
        <w:t>’</w:t>
      </w:r>
      <w:r>
        <w:rPr>
          <w:i/>
          <w:iCs/>
          <w:color w:val="auto"/>
          <w:szCs w:val="21"/>
          <w:vertAlign w:val="subscript"/>
        </w:rPr>
        <w:t>s</w:t>
      </w:r>
      <w:r>
        <w:rPr>
          <w:color w:val="auto"/>
          <w:szCs w:val="21"/>
        </w:rPr>
        <w:t>；当板端支座承担负弯矩时，支座内锚固长度</w:t>
      </w:r>
      <w:r>
        <w:rPr>
          <w:i/>
          <w:iCs/>
          <w:color w:val="auto"/>
          <w:szCs w:val="21"/>
        </w:rPr>
        <w:t>l</w:t>
      </w:r>
      <w:r>
        <w:rPr>
          <w:rFonts w:ascii="Cambria Math" w:hAnsi="Cambria Math"/>
          <w:i/>
          <w:iCs/>
          <w:color w:val="auto"/>
          <w:szCs w:val="21"/>
        </w:rPr>
        <w:t>’</w:t>
      </w:r>
      <w:r>
        <w:rPr>
          <w:i/>
          <w:iCs/>
          <w:color w:val="auto"/>
          <w:szCs w:val="21"/>
          <w:vertAlign w:val="subscript"/>
        </w:rPr>
        <w:t>s</w:t>
      </w:r>
      <w:r>
        <w:rPr>
          <w:color w:val="auto"/>
          <w:szCs w:val="21"/>
        </w:rPr>
        <w:t>不应小于15d且宜伸</w:t>
      </w:r>
      <w:r>
        <w:rPr>
          <w:rFonts w:hint="eastAsia"/>
          <w:color w:val="auto"/>
          <w:szCs w:val="21"/>
        </w:rPr>
        <w:t>过</w:t>
      </w:r>
      <w:r>
        <w:rPr>
          <w:color w:val="auto"/>
          <w:szCs w:val="21"/>
        </w:rPr>
        <w:t>支座中心线；当节点区承受正弯矩时，支座内锚固长度</w:t>
      </w:r>
      <w:r>
        <w:rPr>
          <w:i/>
          <w:iCs/>
          <w:color w:val="auto"/>
          <w:szCs w:val="21"/>
        </w:rPr>
        <w:t>l</w:t>
      </w:r>
      <w:r>
        <w:rPr>
          <w:rFonts w:ascii="Cambria Math" w:hAnsi="Cambria Math"/>
          <w:i/>
          <w:iCs/>
          <w:color w:val="auto"/>
          <w:szCs w:val="21"/>
        </w:rPr>
        <w:t>’</w:t>
      </w:r>
      <w:r>
        <w:rPr>
          <w:i/>
          <w:iCs/>
          <w:color w:val="auto"/>
          <w:szCs w:val="21"/>
          <w:vertAlign w:val="subscript"/>
        </w:rPr>
        <w:t>s</w:t>
      </w:r>
      <w:r>
        <w:rPr>
          <w:color w:val="auto"/>
          <w:szCs w:val="21"/>
        </w:rPr>
        <w:t>不应小于受拉钢筋锚固长度</w:t>
      </w:r>
      <w:r>
        <w:rPr>
          <w:i/>
          <w:iCs/>
          <w:color w:val="auto"/>
        </w:rPr>
        <w:t>l</w:t>
      </w:r>
      <w:r>
        <w:rPr>
          <w:i/>
          <w:iCs/>
          <w:color w:val="auto"/>
          <w:vertAlign w:val="subscript"/>
        </w:rPr>
        <w:t>a</w:t>
      </w:r>
      <w:r>
        <w:rPr>
          <w:rFonts w:hint="eastAsia"/>
          <w:color w:val="auto"/>
        </w:rPr>
        <w:t>（</w:t>
      </w:r>
      <w:r>
        <w:rPr>
          <w:color w:val="auto"/>
          <w:szCs w:val="21"/>
        </w:rPr>
        <w:t>图6.2.</w:t>
      </w:r>
      <w:r>
        <w:rPr>
          <w:rFonts w:hint="eastAsia"/>
          <w:color w:val="auto"/>
          <w:szCs w:val="21"/>
        </w:rPr>
        <w:t>24-</w:t>
      </w:r>
      <w:r>
        <w:rPr>
          <w:color w:val="auto"/>
          <w:szCs w:val="21"/>
        </w:rPr>
        <w:t>a</w:t>
      </w:r>
      <w:r>
        <w:rPr>
          <w:rFonts w:hint="eastAsia" w:ascii="宋体" w:hAnsi="宋体" w:cs="宋体"/>
          <w:color w:val="auto"/>
          <w:szCs w:val="21"/>
        </w:rPr>
        <w:t>）</w:t>
      </w:r>
      <w:r>
        <w:rPr>
          <w:color w:val="auto"/>
          <w:szCs w:val="21"/>
        </w:rPr>
        <w:t>。对于中节点支座，搭接钢筋在节点区应贯通，且每侧伸入后浇叠合层锚固长度</w:t>
      </w:r>
      <w:r>
        <w:rPr>
          <w:i/>
          <w:iCs/>
          <w:color w:val="auto"/>
          <w:szCs w:val="21"/>
        </w:rPr>
        <w:t>l</w:t>
      </w:r>
      <w:r>
        <w:rPr>
          <w:i/>
          <w:iCs/>
          <w:color w:val="auto"/>
          <w:szCs w:val="21"/>
          <w:vertAlign w:val="subscript"/>
        </w:rPr>
        <w:t>s</w:t>
      </w:r>
      <w:r>
        <w:rPr>
          <w:color w:val="auto"/>
          <w:szCs w:val="21"/>
        </w:rPr>
        <w:t>不应小于</w:t>
      </w:r>
      <w:r>
        <w:rPr>
          <w:color w:val="auto"/>
        </w:rPr>
        <w:t>1.2</w:t>
      </w:r>
      <w:r>
        <w:rPr>
          <w:i/>
          <w:iCs/>
          <w:color w:val="auto"/>
        </w:rPr>
        <w:t>l</w:t>
      </w:r>
      <w:r>
        <w:rPr>
          <w:i/>
          <w:iCs/>
          <w:color w:val="auto"/>
          <w:vertAlign w:val="subscript"/>
        </w:rPr>
        <w:t>a</w:t>
      </w:r>
      <w:r>
        <w:rPr>
          <w:rFonts w:hint="eastAsia" w:ascii="宋体" w:hAnsi="宋体" w:cs="宋体"/>
          <w:color w:val="auto"/>
          <w:szCs w:val="21"/>
        </w:rPr>
        <w:t>（</w:t>
      </w:r>
      <w:r>
        <w:rPr>
          <w:color w:val="auto"/>
          <w:szCs w:val="21"/>
        </w:rPr>
        <w:t>图6.2.</w:t>
      </w:r>
      <w:r>
        <w:rPr>
          <w:rFonts w:hint="eastAsia"/>
          <w:color w:val="auto"/>
          <w:szCs w:val="21"/>
        </w:rPr>
        <w:t>24-</w:t>
      </w:r>
      <w:r>
        <w:rPr>
          <w:color w:val="auto"/>
          <w:szCs w:val="21"/>
        </w:rPr>
        <w:t>b</w:t>
      </w:r>
      <w:r>
        <w:rPr>
          <w:rFonts w:hint="eastAsia" w:ascii="宋体" w:hAnsi="宋体" w:cs="宋体"/>
          <w:color w:val="auto"/>
          <w:szCs w:val="21"/>
        </w:rPr>
        <w:t>）</w:t>
      </w:r>
      <w:r>
        <w:rPr>
          <w:rFonts w:hint="eastAsia"/>
          <w:color w:val="auto"/>
          <w:szCs w:val="21"/>
        </w:rPr>
        <w:t>；</w:t>
      </w:r>
    </w:p>
    <w:p w14:paraId="45F56849">
      <w:pPr>
        <w:spacing w:line="312" w:lineRule="auto"/>
        <w:ind w:firstLine="422" w:firstLineChars="200"/>
        <w:rPr>
          <w:color w:val="auto"/>
          <w:szCs w:val="21"/>
        </w:rPr>
      </w:pPr>
      <w:r>
        <w:rPr>
          <w:b/>
          <w:color w:val="auto"/>
          <w:szCs w:val="21"/>
        </w:rPr>
        <w:t xml:space="preserve">4  </w:t>
      </w:r>
      <w:r>
        <w:rPr>
          <w:rFonts w:hint="eastAsia"/>
          <w:color w:val="auto"/>
          <w:szCs w:val="21"/>
        </w:rPr>
        <w:t>垂直于搭接钢筋的方向应布置横向分布钢筋，在搭接范围内不宜少于3根，且钢筋直径不宜小于6mm，间距不宜大于250mm；</w:t>
      </w:r>
    </w:p>
    <w:p w14:paraId="6D22C52E">
      <w:pPr>
        <w:spacing w:line="312" w:lineRule="auto"/>
        <w:ind w:firstLine="422" w:firstLineChars="200"/>
        <w:rPr>
          <w:color w:val="auto"/>
          <w:szCs w:val="21"/>
        </w:rPr>
      </w:pPr>
      <w:r>
        <w:rPr>
          <w:b/>
          <w:color w:val="auto"/>
          <w:szCs w:val="21"/>
        </w:rPr>
        <w:t xml:space="preserve">5  </w:t>
      </w:r>
      <w:r>
        <w:rPr>
          <w:rFonts w:hint="eastAsia"/>
          <w:color w:val="auto"/>
          <w:szCs w:val="21"/>
        </w:rPr>
        <w:t>当搭接钢筋紧贴叠合面时，板端顶面应设置倒角，倒角尺寸不宜小于15mm×15mm。</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29D13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261" w:type="dxa"/>
            <w:vAlign w:val="center"/>
          </w:tcPr>
          <w:p w14:paraId="7D0290E7">
            <w:pPr>
              <w:adjustRightInd w:val="0"/>
              <w:snapToGrid w:val="0"/>
              <w:jc w:val="center"/>
              <w:rPr>
                <w:color w:val="auto"/>
                <w:szCs w:val="21"/>
              </w:rPr>
            </w:pPr>
            <w:r>
              <w:rPr>
                <w:color w:val="auto"/>
              </w:rPr>
              <w:drawing>
                <wp:inline distT="0" distB="0" distL="114300" distR="114300">
                  <wp:extent cx="1567815" cy="1440180"/>
                  <wp:effectExtent l="0" t="0" r="1905" b="7620"/>
                  <wp:docPr id="28" name="图片 28" descr="img_v3_02kf_6fb1cc6a-655e-4896-8898-121595350dd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v3_02kf_6fb1cc6a-655e-4896-8898-121595350ddg"/>
                          <pic:cNvPicPr>
                            <a:picLocks noChangeAspect="1"/>
                          </pic:cNvPicPr>
                        </pic:nvPicPr>
                        <pic:blipFill>
                          <a:blip r:embed="rId64"/>
                          <a:stretch>
                            <a:fillRect/>
                          </a:stretch>
                        </pic:blipFill>
                        <pic:spPr>
                          <a:xfrm>
                            <a:off x="0" y="0"/>
                            <a:ext cx="1567815" cy="1440180"/>
                          </a:xfrm>
                          <a:prstGeom prst="rect">
                            <a:avLst/>
                          </a:prstGeom>
                        </pic:spPr>
                      </pic:pic>
                    </a:graphicData>
                  </a:graphic>
                </wp:inline>
              </w:drawing>
            </w:r>
          </w:p>
        </w:tc>
        <w:tc>
          <w:tcPr>
            <w:tcW w:w="4261" w:type="dxa"/>
            <w:vAlign w:val="center"/>
          </w:tcPr>
          <w:p w14:paraId="4A8A51F4">
            <w:pPr>
              <w:adjustRightInd w:val="0"/>
              <w:snapToGrid w:val="0"/>
              <w:jc w:val="center"/>
              <w:rPr>
                <w:color w:val="auto"/>
                <w:szCs w:val="21"/>
              </w:rPr>
            </w:pPr>
            <w:r>
              <w:rPr>
                <w:color w:val="auto"/>
              </w:rPr>
              <w:drawing>
                <wp:inline distT="0" distB="0" distL="114300" distR="114300">
                  <wp:extent cx="2377440" cy="1440180"/>
                  <wp:effectExtent l="0" t="0" r="0" b="7620"/>
                  <wp:docPr id="8" name="图片 8" descr="img_v3_02kf_0e631d52-107c-4b82-b8bd-5be300642b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v3_02kf_0e631d52-107c-4b82-b8bd-5be300642b0g"/>
                          <pic:cNvPicPr>
                            <a:picLocks noChangeAspect="1"/>
                          </pic:cNvPicPr>
                        </pic:nvPicPr>
                        <pic:blipFill>
                          <a:blip r:embed="rId65"/>
                          <a:stretch>
                            <a:fillRect/>
                          </a:stretch>
                        </pic:blipFill>
                        <pic:spPr>
                          <a:xfrm>
                            <a:off x="0" y="0"/>
                            <a:ext cx="2377440" cy="1440180"/>
                          </a:xfrm>
                          <a:prstGeom prst="rect">
                            <a:avLst/>
                          </a:prstGeom>
                        </pic:spPr>
                      </pic:pic>
                    </a:graphicData>
                  </a:graphic>
                </wp:inline>
              </w:drawing>
            </w:r>
          </w:p>
        </w:tc>
      </w:tr>
      <w:tr w14:paraId="65DA1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41161870">
            <w:pPr>
              <w:numPr>
                <w:ilvl w:val="0"/>
                <w:numId w:val="15"/>
              </w:numPr>
              <w:jc w:val="center"/>
              <w:rPr>
                <w:color w:val="auto"/>
                <w:szCs w:val="21"/>
              </w:rPr>
            </w:pPr>
            <w:r>
              <w:rPr>
                <w:rFonts w:hint="eastAsia"/>
                <w:color w:val="auto"/>
              </w:rPr>
              <w:t xml:space="preserve"> </w:t>
            </w:r>
            <w:r>
              <w:rPr>
                <w:rFonts w:hint="eastAsia" w:eastAsia="黑体"/>
                <w:color w:val="auto"/>
                <w:kern w:val="0"/>
                <w:sz w:val="18"/>
                <w:szCs w:val="21"/>
              </w:rPr>
              <w:t>边节点</w:t>
            </w:r>
          </w:p>
        </w:tc>
        <w:tc>
          <w:tcPr>
            <w:tcW w:w="4261" w:type="dxa"/>
            <w:vAlign w:val="center"/>
          </w:tcPr>
          <w:p w14:paraId="62E33A3E">
            <w:pPr>
              <w:numPr>
                <w:ilvl w:val="0"/>
                <w:numId w:val="15"/>
              </w:numPr>
              <w:jc w:val="center"/>
              <w:rPr>
                <w:color w:val="auto"/>
                <w:szCs w:val="21"/>
              </w:rPr>
            </w:pPr>
            <w:r>
              <w:rPr>
                <w:rFonts w:hint="eastAsia"/>
                <w:color w:val="auto"/>
                <w:szCs w:val="21"/>
              </w:rPr>
              <w:t xml:space="preserve"> </w:t>
            </w:r>
            <w:r>
              <w:rPr>
                <w:rFonts w:hint="eastAsia" w:eastAsia="黑体"/>
                <w:color w:val="auto"/>
                <w:kern w:val="0"/>
                <w:sz w:val="18"/>
                <w:szCs w:val="21"/>
              </w:rPr>
              <w:t>中节点</w:t>
            </w:r>
          </w:p>
        </w:tc>
      </w:tr>
    </w:tbl>
    <w:p w14:paraId="6FAF4F5C">
      <w:pPr>
        <w:pStyle w:val="26"/>
        <w:rPr>
          <w:color w:val="auto"/>
        </w:rPr>
      </w:pPr>
      <w:r>
        <w:rPr>
          <w:color w:val="auto"/>
        </w:rPr>
        <w:t>图</w:t>
      </w:r>
      <w:r>
        <w:rPr>
          <w:b/>
          <w:color w:val="auto"/>
        </w:rPr>
        <w:t>6</w:t>
      </w:r>
      <w:r>
        <w:rPr>
          <w:rFonts w:ascii="宋体" w:hAnsi="宋体"/>
          <w:b/>
          <w:color w:val="auto"/>
        </w:rPr>
        <w:t>.</w:t>
      </w:r>
      <w:r>
        <w:rPr>
          <w:b/>
          <w:color w:val="auto"/>
        </w:rPr>
        <w:t>2</w:t>
      </w:r>
      <w:r>
        <w:rPr>
          <w:rFonts w:ascii="宋体" w:hAnsi="宋体"/>
          <w:b/>
          <w:color w:val="auto"/>
        </w:rPr>
        <w:t>.</w:t>
      </w:r>
      <w:r>
        <w:rPr>
          <w:rFonts w:hint="eastAsia"/>
          <w:b/>
          <w:color w:val="auto"/>
        </w:rPr>
        <w:t>24</w:t>
      </w:r>
      <w:r>
        <w:rPr>
          <w:color w:val="auto"/>
        </w:rPr>
        <w:t xml:space="preserve">  无外伸纵筋的板端支座构造示意</w:t>
      </w:r>
    </w:p>
    <w:p w14:paraId="3FB377CC">
      <w:pPr>
        <w:pStyle w:val="26"/>
        <w:rPr>
          <w:color w:val="auto"/>
        </w:rPr>
      </w:pPr>
      <w:r>
        <w:rPr>
          <w:rFonts w:hint="eastAsia"/>
          <w:color w:val="auto"/>
        </w:rPr>
        <w:t>1</w:t>
      </w:r>
      <w:r>
        <w:rPr>
          <w:rFonts w:hint="eastAsia" w:ascii="黑体" w:hAnsi="黑体"/>
          <w:color w:val="auto"/>
        </w:rPr>
        <w:t>—</w:t>
      </w:r>
      <w:r>
        <w:rPr>
          <w:rFonts w:hint="eastAsia"/>
          <w:color w:val="auto"/>
        </w:rPr>
        <w:t>支承梁或墙；2—桁架预制板；3—桁架预制板纵筋；</w:t>
      </w:r>
      <w:r>
        <w:rPr>
          <w:color w:val="auto"/>
        </w:rPr>
        <w:t>4</w:t>
      </w:r>
      <w:r>
        <w:rPr>
          <w:rFonts w:hint="eastAsia"/>
          <w:color w:val="auto"/>
        </w:rPr>
        <w:t>—模壳板/墙板；</w:t>
      </w:r>
      <w:r>
        <w:rPr>
          <w:color w:val="auto"/>
        </w:rPr>
        <w:t>5</w:t>
      </w:r>
      <w:r>
        <w:rPr>
          <w:rFonts w:hint="eastAsia"/>
          <w:color w:val="auto"/>
        </w:rPr>
        <w:t>—桁架钢筋；</w:t>
      </w:r>
    </w:p>
    <w:p w14:paraId="0D1849E8">
      <w:pPr>
        <w:pStyle w:val="26"/>
        <w:rPr>
          <w:color w:val="auto"/>
        </w:rPr>
      </w:pPr>
      <w:r>
        <w:rPr>
          <w:color w:val="auto"/>
        </w:rPr>
        <w:t>6</w:t>
      </w:r>
      <w:r>
        <w:rPr>
          <w:rFonts w:hint="eastAsia"/>
          <w:color w:val="auto"/>
        </w:rPr>
        <w:t>—支座处桁架预制板纵筋搭接钢筋；</w:t>
      </w:r>
      <w:r>
        <w:rPr>
          <w:color w:val="auto"/>
        </w:rPr>
        <w:t>7</w:t>
      </w:r>
      <w:r>
        <w:rPr>
          <w:rFonts w:hint="eastAsia"/>
          <w:color w:val="auto"/>
        </w:rPr>
        <w:t>—横向分布钢筋</w:t>
      </w:r>
    </w:p>
    <w:p w14:paraId="3B596ED9">
      <w:pPr>
        <w:pStyle w:val="33"/>
        <w:rPr>
          <w:color w:val="auto"/>
        </w:rPr>
      </w:pPr>
      <w:r>
        <w:rPr>
          <w:rFonts w:hint="eastAsia" w:ascii="楷体" w:hAnsi="楷体" w:cs="楷体"/>
          <w:color w:val="auto"/>
          <w:szCs w:val="21"/>
        </w:rPr>
        <w:t>【条文说明】</w:t>
      </w:r>
      <w:r>
        <w:rPr>
          <w:rFonts w:hint="eastAsia"/>
          <w:color w:val="auto"/>
        </w:rPr>
        <w:t>本条参考了团体标准《钢筋桁架混凝土叠合板应用技术规程》T/CECS 715，根据清华大学的试验研究表明，板端纵向钢筋不伸入支座并设置搭接钢筋时，在负弯矩作用下，桁架预制板端下部受压，搭接钢筋为受拉状态并能达到屈服，可提高桁架预制板的受弯承载力；在正弯矩作用下，桁架预制板内纵向钢筋受拉，支座接缝处混凝土开裂后承载力下降，此后搭接钢筋开始受拉，截面有效高度变化为搭接钢筋形心至桁架预制板上表面距离。在地震作用下，当结构层间侧移角很大时（如1/50），设置了搭接钢筋的支座节点即使发生了屈服，仍具有足够的变形能力和一定的承载力，可承担竖向荷载而不发生倒塌破坏。</w:t>
      </w:r>
    </w:p>
    <w:p w14:paraId="2B3D2B49">
      <w:pPr>
        <w:numPr>
          <w:ilvl w:val="0"/>
          <w:numId w:val="13"/>
        </w:numPr>
        <w:spacing w:line="312" w:lineRule="auto"/>
        <w:rPr>
          <w:bCs/>
          <w:color w:val="auto"/>
        </w:rPr>
      </w:pPr>
      <w:r>
        <w:rPr>
          <w:rFonts w:hint="eastAsia"/>
          <w:bCs/>
          <w:color w:val="auto"/>
        </w:rPr>
        <w:t>阳台板、空调板等悬挑结构宜与模块单元整体预制。当采用叠合构件时，叠合构件的负弯矩钢筋应在相邻叠合板的后浇混凝土中可靠锚固。</w:t>
      </w:r>
    </w:p>
    <w:p w14:paraId="493DA105">
      <w:pPr>
        <w:pStyle w:val="3"/>
        <w:rPr>
          <w:color w:val="auto"/>
        </w:rPr>
      </w:pPr>
      <w:bookmarkStart w:id="183" w:name="_Toc31765"/>
      <w:bookmarkStart w:id="184" w:name="_Toc391"/>
      <w:bookmarkStart w:id="185" w:name="_Toc31277"/>
      <w:bookmarkStart w:id="186" w:name="_Toc29394"/>
      <w:bookmarkStart w:id="187" w:name="_Toc17150"/>
      <w:bookmarkStart w:id="188" w:name="_Toc11639"/>
      <w:bookmarkStart w:id="189" w:name="_Toc23017"/>
      <w:bookmarkStart w:id="190" w:name="_Toc25477"/>
      <w:bookmarkStart w:id="191" w:name="_Toc20162"/>
      <w:r>
        <w:rPr>
          <w:b/>
          <w:bCs w:val="0"/>
          <w:color w:val="auto"/>
        </w:rPr>
        <w:t>6</w:t>
      </w:r>
      <w:r>
        <w:rPr>
          <w:rFonts w:hint="eastAsia"/>
          <w:b/>
          <w:bCs w:val="0"/>
          <w:color w:val="auto"/>
        </w:rPr>
        <w:t>.</w:t>
      </w:r>
      <w:r>
        <w:rPr>
          <w:b/>
          <w:bCs w:val="0"/>
          <w:color w:val="auto"/>
        </w:rPr>
        <w:t xml:space="preserve">3  </w:t>
      </w:r>
      <w:r>
        <w:rPr>
          <w:color w:val="auto"/>
        </w:rPr>
        <w:t>结构布置</w:t>
      </w:r>
      <w:bookmarkEnd w:id="183"/>
      <w:bookmarkEnd w:id="184"/>
      <w:bookmarkEnd w:id="185"/>
      <w:bookmarkEnd w:id="186"/>
      <w:bookmarkEnd w:id="187"/>
      <w:bookmarkEnd w:id="188"/>
      <w:bookmarkEnd w:id="189"/>
      <w:bookmarkEnd w:id="190"/>
      <w:bookmarkEnd w:id="191"/>
    </w:p>
    <w:p w14:paraId="16F58643">
      <w:pPr>
        <w:numPr>
          <w:ilvl w:val="0"/>
          <w:numId w:val="16"/>
        </w:numPr>
        <w:spacing w:line="312" w:lineRule="auto"/>
        <w:rPr>
          <w:color w:val="auto"/>
          <w:kern w:val="0"/>
          <w:szCs w:val="24"/>
        </w:rPr>
      </w:pPr>
      <w:r>
        <w:rPr>
          <w:rFonts w:hint="eastAsia"/>
          <w:color w:val="auto"/>
          <w:kern w:val="0"/>
          <w:szCs w:val="24"/>
        </w:rPr>
        <w:t>模块化建筑的结构平面布置与竖向布置的规则性除应符合本标准的规定外，尚应符合国家现行标准《建筑抗震设计标准》</w:t>
      </w:r>
      <w:r>
        <w:rPr>
          <w:color w:val="auto"/>
          <w:kern w:val="0"/>
          <w:szCs w:val="24"/>
        </w:rPr>
        <w:t>GB</w:t>
      </w:r>
      <w:r>
        <w:rPr>
          <w:rFonts w:hint="eastAsia"/>
          <w:color w:val="auto"/>
          <w:kern w:val="0"/>
          <w:szCs w:val="24"/>
        </w:rPr>
        <w:t xml:space="preserve">/T </w:t>
      </w:r>
      <w:r>
        <w:rPr>
          <w:color w:val="auto"/>
          <w:kern w:val="0"/>
          <w:szCs w:val="24"/>
        </w:rPr>
        <w:t>50011</w:t>
      </w:r>
      <w:r>
        <w:rPr>
          <w:rFonts w:hint="eastAsia"/>
          <w:color w:val="auto"/>
          <w:kern w:val="0"/>
          <w:szCs w:val="24"/>
        </w:rPr>
        <w:t>和《高层建筑混凝土结构技术规程》JGJ 3的规定。</w:t>
      </w:r>
    </w:p>
    <w:p w14:paraId="6E720508">
      <w:pPr>
        <w:pStyle w:val="33"/>
        <w:rPr>
          <w:color w:val="auto"/>
        </w:rPr>
      </w:pPr>
      <w:r>
        <w:rPr>
          <w:rFonts w:hint="eastAsia" w:ascii="楷体" w:hAnsi="楷体" w:cs="楷体"/>
          <w:color w:val="auto"/>
          <w:szCs w:val="21"/>
        </w:rPr>
        <w:t>【条文说明】</w:t>
      </w:r>
      <w:r>
        <w:rPr>
          <w:rFonts w:hint="eastAsia"/>
          <w:color w:val="auto"/>
        </w:rPr>
        <w:t>在模块化现浇结构中，模块单元作为附加荷载作用于主体结构上，比传统现浇结构更重，结构所承受的地震作用更大，因此需要对结构平面布置和竖向布置的规则性应在两本规范中选取更加严格的要求进行满足。</w:t>
      </w:r>
    </w:p>
    <w:p w14:paraId="776D86BE">
      <w:pPr>
        <w:numPr>
          <w:ilvl w:val="0"/>
          <w:numId w:val="16"/>
        </w:numPr>
        <w:spacing w:line="312" w:lineRule="auto"/>
        <w:rPr>
          <w:color w:val="auto"/>
        </w:rPr>
      </w:pPr>
      <w:r>
        <w:rPr>
          <w:rFonts w:hint="eastAsia"/>
          <w:color w:val="auto"/>
        </w:rPr>
        <w:t>模块化建筑的结构质量、刚度和承载力分布宜均匀，平面布置应符合下列规定：</w:t>
      </w:r>
    </w:p>
    <w:p w14:paraId="12BB1085">
      <w:pPr>
        <w:spacing w:line="312" w:lineRule="auto"/>
        <w:ind w:firstLine="422" w:firstLineChars="200"/>
        <w:rPr>
          <w:color w:val="auto"/>
          <w:szCs w:val="24"/>
        </w:rPr>
      </w:pPr>
      <w:r>
        <w:rPr>
          <w:rFonts w:eastAsia="黑体"/>
          <w:b/>
          <w:color w:val="auto"/>
          <w:szCs w:val="24"/>
        </w:rPr>
        <w:t xml:space="preserve">1  </w:t>
      </w:r>
      <w:r>
        <w:rPr>
          <w:color w:val="auto"/>
          <w:szCs w:val="24"/>
        </w:rPr>
        <w:t>宜简单、规则、对称，减少平面内的偏心；</w:t>
      </w:r>
    </w:p>
    <w:p w14:paraId="7F6833B6">
      <w:pPr>
        <w:spacing w:line="312" w:lineRule="auto"/>
        <w:ind w:firstLine="422" w:firstLineChars="200"/>
        <w:rPr>
          <w:color w:val="auto"/>
          <w:szCs w:val="24"/>
        </w:rPr>
      </w:pPr>
      <w:r>
        <w:rPr>
          <w:rFonts w:hint="eastAsia"/>
          <w:b/>
          <w:color w:val="auto"/>
          <w:szCs w:val="24"/>
        </w:rPr>
        <w:t>2</w:t>
      </w:r>
      <w:r>
        <w:rPr>
          <w:b/>
          <w:color w:val="auto"/>
          <w:szCs w:val="24"/>
        </w:rPr>
        <w:t xml:space="preserve">  </w:t>
      </w:r>
      <w:r>
        <w:rPr>
          <w:rFonts w:hint="eastAsia"/>
          <w:color w:val="auto"/>
          <w:szCs w:val="24"/>
        </w:rPr>
        <w:t>模块化现浇结构平面布置应减少扭转的影响。在考虑偶然偏心影响的规定水平地震力作用下，楼层竖向构件最大的水平位移和层间位移不宜大于该楼层平均值的</w:t>
      </w:r>
      <w:r>
        <w:rPr>
          <w:rFonts w:hint="eastAsia"/>
          <w:color w:val="auto"/>
        </w:rPr>
        <w:t>1.2</w:t>
      </w:r>
      <w:r>
        <w:rPr>
          <w:rFonts w:hint="eastAsia"/>
          <w:color w:val="auto"/>
          <w:szCs w:val="24"/>
        </w:rPr>
        <w:t>倍，不应大于该楼层平均值的</w:t>
      </w:r>
      <w:r>
        <w:rPr>
          <w:rFonts w:hint="eastAsia"/>
          <w:color w:val="auto"/>
        </w:rPr>
        <w:t>1.5</w:t>
      </w:r>
      <w:r>
        <w:rPr>
          <w:rFonts w:hint="eastAsia"/>
          <w:color w:val="auto"/>
          <w:szCs w:val="24"/>
        </w:rPr>
        <w:t>倍；</w:t>
      </w:r>
    </w:p>
    <w:p w14:paraId="2DBC5D0D">
      <w:pPr>
        <w:spacing w:line="312" w:lineRule="auto"/>
        <w:ind w:firstLine="422" w:firstLineChars="200"/>
        <w:rPr>
          <w:color w:val="auto"/>
        </w:rPr>
      </w:pPr>
      <w:r>
        <w:rPr>
          <w:rFonts w:hint="eastAsia"/>
          <w:b/>
          <w:bCs/>
          <w:color w:val="auto"/>
          <w:szCs w:val="24"/>
        </w:rPr>
        <w:t>3</w:t>
      </w:r>
      <w:r>
        <w:rPr>
          <w:b/>
          <w:bCs/>
          <w:color w:val="auto"/>
          <w:szCs w:val="24"/>
        </w:rPr>
        <w:t xml:space="preserve">  </w:t>
      </w:r>
      <w:r>
        <w:rPr>
          <w:color w:val="auto"/>
        </w:rPr>
        <w:t>结构扭转为主的</w:t>
      </w:r>
      <w:r>
        <w:rPr>
          <w:rFonts w:hint="eastAsia"/>
          <w:color w:val="auto"/>
        </w:rPr>
        <w:t>第一自振周期与</w:t>
      </w:r>
      <w:r>
        <w:rPr>
          <w:color w:val="auto"/>
        </w:rPr>
        <w:t>平动为主的第一自振周期之比不应大于0.9。</w:t>
      </w:r>
    </w:p>
    <w:p w14:paraId="33299066">
      <w:pPr>
        <w:numPr>
          <w:ilvl w:val="0"/>
          <w:numId w:val="16"/>
        </w:numPr>
        <w:spacing w:line="312" w:lineRule="auto"/>
        <w:rPr>
          <w:color w:val="auto"/>
        </w:rPr>
      </w:pPr>
      <w:r>
        <w:rPr>
          <w:rFonts w:hint="eastAsia"/>
          <w:color w:val="auto"/>
        </w:rPr>
        <w:t>模块化建筑的结构竖向布置应连续、均匀，构件宜上、下连续贯通，避免抗侧力结构的侧向刚度和受剪承载能力沿竖向突变。</w:t>
      </w:r>
    </w:p>
    <w:p w14:paraId="64243E8E">
      <w:pPr>
        <w:numPr>
          <w:ilvl w:val="0"/>
          <w:numId w:val="16"/>
        </w:numPr>
        <w:spacing w:line="312" w:lineRule="auto"/>
        <w:rPr>
          <w:color w:val="auto"/>
        </w:rPr>
      </w:pPr>
      <w:r>
        <w:rPr>
          <w:rFonts w:hint="eastAsia"/>
          <w:color w:val="auto"/>
        </w:rPr>
        <w:t>模块化框架结构的悬挑应符合下列规定：</w:t>
      </w:r>
    </w:p>
    <w:p w14:paraId="7E9AFD1F">
      <w:pPr>
        <w:spacing w:line="312" w:lineRule="auto"/>
        <w:ind w:firstLine="422" w:firstLineChars="200"/>
        <w:rPr>
          <w:color w:val="auto"/>
        </w:rPr>
      </w:pPr>
      <w:r>
        <w:rPr>
          <w:b/>
          <w:color w:val="auto"/>
        </w:rPr>
        <w:t xml:space="preserve">1  </w:t>
      </w:r>
      <w:r>
        <w:rPr>
          <w:rFonts w:hint="eastAsia"/>
          <w:color w:val="auto"/>
        </w:rPr>
        <w:t>悬挑宜</w:t>
      </w:r>
      <w:r>
        <w:rPr>
          <w:color w:val="auto"/>
        </w:rPr>
        <w:t>在模块</w:t>
      </w:r>
      <w:r>
        <w:rPr>
          <w:rFonts w:hint="eastAsia"/>
          <w:color w:val="auto"/>
        </w:rPr>
        <w:t>单元</w:t>
      </w:r>
      <w:r>
        <w:rPr>
          <w:color w:val="auto"/>
        </w:rPr>
        <w:t>长边方向向外挑出，</w:t>
      </w:r>
      <w:r>
        <w:rPr>
          <w:rFonts w:hint="eastAsia"/>
          <w:color w:val="auto"/>
        </w:rPr>
        <w:t>悬挑</w:t>
      </w:r>
      <w:r>
        <w:rPr>
          <w:color w:val="auto"/>
        </w:rPr>
        <w:t>尺寸不</w:t>
      </w:r>
      <w:r>
        <w:rPr>
          <w:rFonts w:hint="eastAsia"/>
          <w:color w:val="auto"/>
        </w:rPr>
        <w:t>宜</w:t>
      </w:r>
      <w:r>
        <w:rPr>
          <w:color w:val="auto"/>
        </w:rPr>
        <w:t>大于</w:t>
      </w:r>
      <w:r>
        <w:rPr>
          <w:rFonts w:hint="eastAsia"/>
          <w:color w:val="auto"/>
        </w:rPr>
        <w:t>模块单元悬挑方向</w:t>
      </w:r>
      <w:r>
        <w:rPr>
          <w:color w:val="auto"/>
        </w:rPr>
        <w:t>长</w:t>
      </w:r>
      <w:r>
        <w:rPr>
          <w:rFonts w:hint="eastAsia"/>
          <w:color w:val="auto"/>
        </w:rPr>
        <w:t>度</w:t>
      </w:r>
      <w:r>
        <w:rPr>
          <w:color w:val="auto"/>
        </w:rPr>
        <w:t>的1/4，且不</w:t>
      </w:r>
      <w:r>
        <w:rPr>
          <w:rFonts w:hint="eastAsia"/>
          <w:color w:val="auto"/>
        </w:rPr>
        <w:t>宜</w:t>
      </w:r>
      <w:r>
        <w:rPr>
          <w:color w:val="auto"/>
        </w:rPr>
        <w:t>超过2m；</w:t>
      </w:r>
    </w:p>
    <w:p w14:paraId="469B6580">
      <w:pPr>
        <w:spacing w:line="312" w:lineRule="auto"/>
        <w:ind w:firstLine="422" w:firstLineChars="200"/>
        <w:rPr>
          <w:color w:val="auto"/>
        </w:rPr>
      </w:pPr>
      <w:r>
        <w:rPr>
          <w:b/>
          <w:color w:val="auto"/>
        </w:rPr>
        <w:t xml:space="preserve">2  </w:t>
      </w:r>
      <w:r>
        <w:rPr>
          <w:rFonts w:hint="eastAsia"/>
          <w:color w:val="auto"/>
        </w:rPr>
        <w:t>悬挑</w:t>
      </w:r>
      <w:r>
        <w:rPr>
          <w:color w:val="auto"/>
        </w:rPr>
        <w:t>模块</w:t>
      </w:r>
      <w:r>
        <w:rPr>
          <w:rFonts w:hint="eastAsia"/>
          <w:color w:val="auto"/>
        </w:rPr>
        <w:t>单元应</w:t>
      </w:r>
      <w:r>
        <w:rPr>
          <w:color w:val="auto"/>
        </w:rPr>
        <w:t>在悬挑处设置立柱与下</w:t>
      </w:r>
      <w:r>
        <w:rPr>
          <w:rFonts w:hint="eastAsia"/>
          <w:color w:val="auto"/>
        </w:rPr>
        <w:t>部结构</w:t>
      </w:r>
      <w:r>
        <w:rPr>
          <w:color w:val="auto"/>
        </w:rPr>
        <w:t>连接。</w:t>
      </w:r>
    </w:p>
    <w:p w14:paraId="589DC6F4">
      <w:pPr>
        <w:pStyle w:val="33"/>
        <w:rPr>
          <w:color w:val="auto"/>
        </w:rPr>
      </w:pPr>
      <w:r>
        <w:rPr>
          <w:rFonts w:hint="eastAsia" w:ascii="楷体" w:hAnsi="楷体" w:cs="楷体"/>
          <w:color w:val="auto"/>
          <w:szCs w:val="21"/>
        </w:rPr>
        <w:t>【条文说明】</w:t>
      </w:r>
      <w:r>
        <w:rPr>
          <w:rFonts w:hint="eastAsia"/>
          <w:color w:val="auto"/>
        </w:rPr>
        <w:t>模块化框架结构连接受力复杂，应尽量避免模块单元的竖向不规则布置或刚度、质量的突变，以防止连接受力过大失效，因此外挑距离不宜过大，并宜在悬挑处设置立柱保证竖向承重构件的连续性、结构的整体性和结构竖向传力路径的合理性。</w:t>
      </w:r>
    </w:p>
    <w:p w14:paraId="392C7289">
      <w:pPr>
        <w:pStyle w:val="3"/>
        <w:rPr>
          <w:color w:val="auto"/>
        </w:rPr>
      </w:pPr>
      <w:bookmarkStart w:id="192" w:name="_Toc6824"/>
      <w:bookmarkStart w:id="193" w:name="_Toc353"/>
      <w:bookmarkStart w:id="194" w:name="_Toc24354"/>
      <w:bookmarkStart w:id="195" w:name="_Toc6311"/>
      <w:bookmarkStart w:id="196" w:name="_Toc12629"/>
      <w:bookmarkStart w:id="197" w:name="_Toc18845"/>
      <w:bookmarkStart w:id="198" w:name="_Toc7284"/>
      <w:bookmarkStart w:id="199" w:name="_Toc24674"/>
      <w:bookmarkStart w:id="200" w:name="_Toc31357"/>
      <w:r>
        <w:rPr>
          <w:b/>
          <w:bCs w:val="0"/>
          <w:color w:val="auto"/>
        </w:rPr>
        <w:t>6.4</w:t>
      </w:r>
      <w:r>
        <w:rPr>
          <w:color w:val="auto"/>
        </w:rPr>
        <w:t xml:space="preserve">  </w:t>
      </w:r>
      <w:r>
        <w:rPr>
          <w:rFonts w:hint="eastAsia"/>
          <w:color w:val="auto"/>
        </w:rPr>
        <w:t>结构分析</w:t>
      </w:r>
      <w:bookmarkEnd w:id="192"/>
      <w:bookmarkEnd w:id="193"/>
      <w:bookmarkEnd w:id="194"/>
      <w:bookmarkEnd w:id="195"/>
      <w:bookmarkEnd w:id="196"/>
      <w:bookmarkEnd w:id="197"/>
      <w:bookmarkEnd w:id="198"/>
      <w:bookmarkEnd w:id="199"/>
      <w:bookmarkEnd w:id="200"/>
    </w:p>
    <w:p w14:paraId="780877AC">
      <w:pPr>
        <w:numPr>
          <w:ilvl w:val="0"/>
          <w:numId w:val="17"/>
        </w:numPr>
        <w:spacing w:line="312" w:lineRule="auto"/>
        <w:rPr>
          <w:color w:val="auto"/>
        </w:rPr>
      </w:pPr>
      <w:r>
        <w:rPr>
          <w:color w:val="auto"/>
        </w:rPr>
        <w:t>模块化</w:t>
      </w:r>
      <w:r>
        <w:rPr>
          <w:rFonts w:hint="eastAsia"/>
          <w:color w:val="auto"/>
        </w:rPr>
        <w:t>建筑的</w:t>
      </w:r>
      <w:r>
        <w:rPr>
          <w:color w:val="auto"/>
        </w:rPr>
        <w:t>结构</w:t>
      </w:r>
      <w:r>
        <w:rPr>
          <w:rFonts w:hint="eastAsia"/>
          <w:color w:val="auto"/>
        </w:rPr>
        <w:t>体系</w:t>
      </w:r>
      <w:r>
        <w:rPr>
          <w:color w:val="auto"/>
        </w:rPr>
        <w:t>进行计算分析时</w:t>
      </w:r>
      <w:r>
        <w:rPr>
          <w:rFonts w:hint="eastAsia"/>
          <w:color w:val="auto"/>
        </w:rPr>
        <w:t>，</w:t>
      </w:r>
      <w:r>
        <w:rPr>
          <w:color w:val="auto"/>
        </w:rPr>
        <w:t>荷载</w:t>
      </w:r>
      <w:r>
        <w:rPr>
          <w:rFonts w:hint="eastAsia"/>
          <w:color w:val="auto"/>
        </w:rPr>
        <w:t>、</w:t>
      </w:r>
      <w:r>
        <w:rPr>
          <w:color w:val="auto"/>
        </w:rPr>
        <w:t>地震作用以及作用组合应符合国家</w:t>
      </w:r>
      <w:r>
        <w:rPr>
          <w:rFonts w:hint="eastAsia"/>
          <w:color w:val="auto"/>
        </w:rPr>
        <w:t>现行</w:t>
      </w:r>
      <w:r>
        <w:rPr>
          <w:color w:val="auto"/>
        </w:rPr>
        <w:t>标准</w:t>
      </w:r>
      <w:r>
        <w:rPr>
          <w:rFonts w:hint="eastAsia"/>
          <w:color w:val="auto"/>
        </w:rPr>
        <w:t>《混凝土结构通用规范》</w:t>
      </w:r>
      <w:r>
        <w:rPr>
          <w:color w:val="auto"/>
        </w:rPr>
        <w:t>GB 55008、《建筑结构荷载规范》GB 50009、《建筑抗震设计</w:t>
      </w:r>
      <w:r>
        <w:rPr>
          <w:rFonts w:hint="eastAsia"/>
          <w:color w:val="auto"/>
        </w:rPr>
        <w:t>标准</w:t>
      </w:r>
      <w:r>
        <w:rPr>
          <w:color w:val="auto"/>
        </w:rPr>
        <w:t>》GB</w:t>
      </w:r>
      <w:r>
        <w:rPr>
          <w:rFonts w:hint="eastAsia"/>
          <w:color w:val="auto"/>
        </w:rPr>
        <w:t>/T</w:t>
      </w:r>
      <w:r>
        <w:rPr>
          <w:color w:val="auto"/>
        </w:rPr>
        <w:t xml:space="preserve"> 50011</w:t>
      </w:r>
      <w:r>
        <w:rPr>
          <w:rFonts w:hint="eastAsia"/>
          <w:color w:val="auto"/>
        </w:rPr>
        <w:t>、</w:t>
      </w:r>
      <w:r>
        <w:rPr>
          <w:color w:val="auto"/>
        </w:rPr>
        <w:t>《装配式混凝土结构技术规程》JGJ 1</w:t>
      </w:r>
      <w:r>
        <w:rPr>
          <w:rFonts w:hint="eastAsia"/>
          <w:color w:val="auto"/>
        </w:rPr>
        <w:t>、《高层建筑混凝土结构技术规程》JGJ 3和广东省《高层建筑混凝土结构技术规程》</w:t>
      </w:r>
      <w:r>
        <w:rPr>
          <w:color w:val="auto"/>
        </w:rPr>
        <w:t>DBJ 15-92</w:t>
      </w:r>
      <w:r>
        <w:rPr>
          <w:rFonts w:hint="eastAsia"/>
          <w:color w:val="auto"/>
        </w:rPr>
        <w:t>等</w:t>
      </w:r>
      <w:r>
        <w:rPr>
          <w:color w:val="auto"/>
        </w:rPr>
        <w:t>的规定。</w:t>
      </w:r>
    </w:p>
    <w:p w14:paraId="0F6A225A">
      <w:pPr>
        <w:numPr>
          <w:ilvl w:val="0"/>
          <w:numId w:val="17"/>
        </w:numPr>
        <w:spacing w:line="312" w:lineRule="auto"/>
        <w:rPr>
          <w:color w:val="auto"/>
        </w:rPr>
      </w:pPr>
      <w:r>
        <w:rPr>
          <w:color w:val="auto"/>
        </w:rPr>
        <w:t>模块化</w:t>
      </w:r>
      <w:r>
        <w:rPr>
          <w:rFonts w:hint="eastAsia"/>
          <w:color w:val="auto"/>
        </w:rPr>
        <w:t>建筑的</w:t>
      </w:r>
      <w:r>
        <w:rPr>
          <w:color w:val="auto"/>
        </w:rPr>
        <w:t>结构构件应进行正常使用极限状态的验算，结构构件正截面受力裂缝</w:t>
      </w:r>
      <w:r>
        <w:rPr>
          <w:rFonts w:hint="eastAsia"/>
          <w:color w:val="auto"/>
        </w:rPr>
        <w:t>的</w:t>
      </w:r>
      <w:r>
        <w:rPr>
          <w:color w:val="auto"/>
        </w:rPr>
        <w:t>控制和结构中受弯构件的挠度限值应</w:t>
      </w:r>
      <w:r>
        <w:rPr>
          <w:rFonts w:hint="eastAsia"/>
          <w:color w:val="auto"/>
        </w:rPr>
        <w:t>符合</w:t>
      </w:r>
      <w:r>
        <w:rPr>
          <w:color w:val="auto"/>
        </w:rPr>
        <w:t>现行国家标准《混凝土结构设计</w:t>
      </w:r>
      <w:r>
        <w:rPr>
          <w:rFonts w:hint="eastAsia"/>
          <w:color w:val="auto"/>
        </w:rPr>
        <w:t>标准</w:t>
      </w:r>
      <w:r>
        <w:rPr>
          <w:color w:val="auto"/>
        </w:rPr>
        <w:t>》GB</w:t>
      </w:r>
      <w:r>
        <w:rPr>
          <w:rFonts w:hint="eastAsia"/>
          <w:color w:val="auto"/>
        </w:rPr>
        <w:t>/T</w:t>
      </w:r>
      <w:r>
        <w:rPr>
          <w:color w:val="auto"/>
        </w:rPr>
        <w:t xml:space="preserve"> 50010的</w:t>
      </w:r>
      <w:r>
        <w:rPr>
          <w:rFonts w:hint="eastAsia"/>
          <w:color w:val="auto"/>
          <w:kern w:val="0"/>
          <w:szCs w:val="24"/>
        </w:rPr>
        <w:t>规定</w:t>
      </w:r>
      <w:r>
        <w:rPr>
          <w:color w:val="auto"/>
        </w:rPr>
        <w:t>。</w:t>
      </w:r>
    </w:p>
    <w:p w14:paraId="48AFAAE4">
      <w:pPr>
        <w:pStyle w:val="33"/>
        <w:rPr>
          <w:color w:val="auto"/>
        </w:rPr>
      </w:pPr>
      <w:r>
        <w:rPr>
          <w:rFonts w:hint="eastAsia" w:ascii="楷体" w:hAnsi="楷体" w:cs="楷体"/>
          <w:color w:val="auto"/>
          <w:szCs w:val="21"/>
        </w:rPr>
        <w:t>【条文说明】</w:t>
      </w:r>
      <w:r>
        <w:rPr>
          <w:rFonts w:hint="eastAsia"/>
          <w:color w:val="auto"/>
        </w:rPr>
        <w:t>模块化建筑进行正常使用极限状态验算时，荷载和地震作用的取值及其组合均应符合现行国家有关标准的规定。</w:t>
      </w:r>
    </w:p>
    <w:p w14:paraId="0CD3C3E7">
      <w:pPr>
        <w:pStyle w:val="5"/>
        <w:rPr>
          <w:rFonts w:ascii="仿宋" w:hAnsi="仿宋" w:eastAsia="仿宋" w:cs="仿宋"/>
          <w:color w:val="auto"/>
        </w:rPr>
      </w:pPr>
      <w:r>
        <w:rPr>
          <w:rFonts w:hint="eastAsia" w:ascii="仿宋" w:hAnsi="仿宋" w:eastAsia="仿宋" w:cs="仿宋"/>
          <w:color w:val="auto"/>
        </w:rPr>
        <w:t>（</w:t>
      </w:r>
      <w:r>
        <w:rPr>
          <w:rFonts w:eastAsia="仿宋" w:cs="Times New Roman"/>
          <w:color w:val="auto"/>
        </w:rPr>
        <w:t>I</w:t>
      </w:r>
      <w:r>
        <w:rPr>
          <w:rFonts w:hint="eastAsia" w:ascii="仿宋" w:hAnsi="仿宋" w:eastAsia="仿宋" w:cs="仿宋"/>
          <w:color w:val="auto"/>
        </w:rPr>
        <w:t>）模块化框架结构</w:t>
      </w:r>
    </w:p>
    <w:p w14:paraId="789244E2">
      <w:pPr>
        <w:numPr>
          <w:ilvl w:val="0"/>
          <w:numId w:val="17"/>
        </w:numPr>
        <w:spacing w:line="312" w:lineRule="auto"/>
        <w:rPr>
          <w:color w:val="auto"/>
        </w:rPr>
      </w:pPr>
      <w:r>
        <w:rPr>
          <w:color w:val="auto"/>
        </w:rPr>
        <w:t>按弹性方法计算的风荷载或多遇地震标准值作用下，模块化框架结构楼层层间最大水平位移与层高之比</w:t>
      </w:r>
      <w:r>
        <w:rPr>
          <w:rFonts w:hint="eastAsia"/>
          <w:bCs/>
          <w:i/>
          <w:iCs/>
          <w:color w:val="auto"/>
        </w:rPr>
        <w:t>△</w:t>
      </w:r>
      <w:r>
        <w:rPr>
          <w:i/>
          <w:iCs/>
          <w:color w:val="auto"/>
        </w:rPr>
        <w:t>u/h</w:t>
      </w:r>
      <w:r>
        <w:rPr>
          <w:color w:val="auto"/>
        </w:rPr>
        <w:t>不宜大于1/550。</w:t>
      </w:r>
    </w:p>
    <w:p w14:paraId="3B1B7F72">
      <w:pPr>
        <w:numPr>
          <w:ilvl w:val="0"/>
          <w:numId w:val="17"/>
        </w:numPr>
        <w:spacing w:line="312" w:lineRule="auto"/>
        <w:rPr>
          <w:color w:val="auto"/>
        </w:rPr>
      </w:pPr>
      <w:r>
        <w:rPr>
          <w:rFonts w:hint="eastAsia"/>
          <w:color w:val="auto"/>
        </w:rPr>
        <w:t>模块单元之间的连接应进行节点承载力验算，并应符合下列规定：</w:t>
      </w:r>
    </w:p>
    <w:p w14:paraId="69E2A52E">
      <w:pPr>
        <w:spacing w:line="312" w:lineRule="auto"/>
        <w:ind w:firstLine="422" w:firstLineChars="200"/>
        <w:rPr>
          <w:bCs/>
          <w:color w:val="auto"/>
          <w:szCs w:val="21"/>
        </w:rPr>
      </w:pPr>
      <w:r>
        <w:rPr>
          <w:b/>
          <w:bCs/>
          <w:color w:val="auto"/>
          <w:szCs w:val="21"/>
        </w:rPr>
        <w:t>1</w:t>
      </w:r>
      <w:r>
        <w:rPr>
          <w:bCs/>
          <w:color w:val="auto"/>
          <w:szCs w:val="21"/>
        </w:rPr>
        <w:t xml:space="preserve">  </w:t>
      </w:r>
      <w:r>
        <w:rPr>
          <w:rFonts w:hint="eastAsia"/>
          <w:bCs/>
          <w:color w:val="auto"/>
          <w:szCs w:val="21"/>
        </w:rPr>
        <w:t>对于模块单元间水平连接，采用连接钢板时，应对连接钢板在平面内的抗剪、抗拉及抗压承载力进行验算；</w:t>
      </w:r>
    </w:p>
    <w:p w14:paraId="67F07C0B">
      <w:pPr>
        <w:spacing w:line="312" w:lineRule="auto"/>
        <w:ind w:firstLine="422" w:firstLineChars="200"/>
        <w:rPr>
          <w:bCs/>
          <w:color w:val="auto"/>
          <w:szCs w:val="21"/>
        </w:rPr>
      </w:pPr>
      <w:r>
        <w:rPr>
          <w:b/>
          <w:bCs/>
          <w:color w:val="auto"/>
          <w:szCs w:val="21"/>
        </w:rPr>
        <w:t>2</w:t>
      </w:r>
      <w:r>
        <w:rPr>
          <w:color w:val="auto"/>
          <w:szCs w:val="21"/>
        </w:rPr>
        <w:t xml:space="preserve">  </w:t>
      </w:r>
      <w:r>
        <w:rPr>
          <w:rFonts w:hint="eastAsia"/>
          <w:color w:val="auto"/>
          <w:szCs w:val="21"/>
        </w:rPr>
        <w:t>对于模块单元间竖向连接，应根据连接的实际刚度建立结构计算模型，验算连接</w:t>
      </w:r>
      <w:r>
        <w:rPr>
          <w:rFonts w:hint="eastAsia"/>
          <w:bCs/>
          <w:color w:val="auto"/>
          <w:szCs w:val="21"/>
        </w:rPr>
        <w:t>节点的抗拔、抗剪以及孔壁承压等承载力，半刚接节点还应补充验算抗弯承载力。</w:t>
      </w:r>
    </w:p>
    <w:p w14:paraId="5F93A01A">
      <w:pPr>
        <w:numPr>
          <w:ilvl w:val="0"/>
          <w:numId w:val="17"/>
        </w:numPr>
        <w:spacing w:line="312" w:lineRule="auto"/>
        <w:rPr>
          <w:color w:val="auto"/>
        </w:rPr>
      </w:pPr>
      <w:r>
        <w:rPr>
          <w:rFonts w:hint="eastAsia"/>
          <w:color w:val="auto"/>
        </w:rPr>
        <w:t>模块化框架结构的模块单元间为非刚性连接时，应进行性能化设计，并应符合《建筑工程混凝土结构抗震性能设计规程》DBJ/T 15-151的有关规定。</w:t>
      </w:r>
    </w:p>
    <w:p w14:paraId="397662D2">
      <w:pPr>
        <w:pStyle w:val="33"/>
        <w:rPr>
          <w:color w:val="auto"/>
        </w:rPr>
      </w:pPr>
      <w:r>
        <w:rPr>
          <w:rFonts w:hint="eastAsia" w:ascii="楷体" w:hAnsi="楷体" w:cs="楷体"/>
          <w:color w:val="auto"/>
          <w:szCs w:val="21"/>
        </w:rPr>
        <w:t>【条文说明】</w:t>
      </w:r>
      <w:r>
        <w:rPr>
          <w:rFonts w:hint="eastAsia"/>
          <w:color w:val="auto"/>
        </w:rPr>
        <w:t>本条对模块化框架结构在设防地震及罕遇地震作用下的结构性能提出了要求，考虑到模块化框架结构的连接节点为铰接或半刚接时，结构应进行性能化设计。</w:t>
      </w:r>
    </w:p>
    <w:p w14:paraId="3ED43D9D">
      <w:pPr>
        <w:numPr>
          <w:ilvl w:val="0"/>
          <w:numId w:val="17"/>
        </w:numPr>
        <w:spacing w:line="312" w:lineRule="auto"/>
        <w:rPr>
          <w:color w:val="auto"/>
        </w:rPr>
      </w:pPr>
      <w:r>
        <w:rPr>
          <w:rFonts w:hint="eastAsia"/>
          <w:color w:val="auto"/>
        </w:rPr>
        <w:t>模块化框架结构的分析计算，应符合下列规定：</w:t>
      </w:r>
    </w:p>
    <w:p w14:paraId="62DDD51B">
      <w:pPr>
        <w:spacing w:line="312" w:lineRule="auto"/>
        <w:ind w:firstLine="422" w:firstLineChars="200"/>
        <w:rPr>
          <w:color w:val="auto"/>
          <w:szCs w:val="21"/>
        </w:rPr>
      </w:pPr>
      <w:r>
        <w:rPr>
          <w:b/>
          <w:color w:val="auto"/>
          <w:szCs w:val="21"/>
        </w:rPr>
        <w:t>1</w:t>
      </w:r>
      <w:r>
        <w:rPr>
          <w:color w:val="auto"/>
          <w:szCs w:val="21"/>
        </w:rPr>
        <w:t xml:space="preserve">  </w:t>
      </w:r>
      <w:r>
        <w:rPr>
          <w:rFonts w:hint="eastAsia"/>
          <w:color w:val="auto"/>
          <w:szCs w:val="21"/>
        </w:rPr>
        <w:t>模块单元顶板或底板厚度大于100mm时，可在模块单元内部</w:t>
      </w:r>
      <w:r>
        <w:rPr>
          <w:color w:val="auto"/>
          <w:szCs w:val="21"/>
        </w:rPr>
        <w:t>假定为刚性</w:t>
      </w:r>
      <w:r>
        <w:rPr>
          <w:rFonts w:hint="eastAsia"/>
          <w:color w:val="auto"/>
          <w:szCs w:val="21"/>
        </w:rPr>
        <w:t>；</w:t>
      </w:r>
    </w:p>
    <w:p w14:paraId="2A1F8AD7">
      <w:pPr>
        <w:spacing w:line="312" w:lineRule="auto"/>
        <w:ind w:firstLine="422" w:firstLineChars="200"/>
        <w:rPr>
          <w:color w:val="auto"/>
          <w:szCs w:val="21"/>
        </w:rPr>
      </w:pPr>
      <w:r>
        <w:rPr>
          <w:b/>
          <w:color w:val="auto"/>
          <w:szCs w:val="21"/>
        </w:rPr>
        <w:t>2</w:t>
      </w:r>
      <w:r>
        <w:rPr>
          <w:rFonts w:hint="eastAsia"/>
          <w:color w:val="auto"/>
          <w:szCs w:val="21"/>
        </w:rPr>
        <w:t xml:space="preserve">  当</w:t>
      </w:r>
      <w:r>
        <w:rPr>
          <w:color w:val="auto"/>
          <w:szCs w:val="21"/>
        </w:rPr>
        <w:t>模块</w:t>
      </w:r>
      <w:r>
        <w:rPr>
          <w:rFonts w:hint="eastAsia"/>
          <w:color w:val="auto"/>
          <w:szCs w:val="21"/>
        </w:rPr>
        <w:t>单元顶板或底板采用全预制楼板时，</w:t>
      </w:r>
      <w:r>
        <w:rPr>
          <w:color w:val="auto"/>
          <w:szCs w:val="21"/>
        </w:rPr>
        <w:t>不</w:t>
      </w:r>
      <w:r>
        <w:rPr>
          <w:rFonts w:hint="eastAsia"/>
          <w:color w:val="auto"/>
          <w:szCs w:val="21"/>
        </w:rPr>
        <w:t>应</w:t>
      </w:r>
      <w:r>
        <w:rPr>
          <w:color w:val="auto"/>
          <w:szCs w:val="21"/>
        </w:rPr>
        <w:t>将整层楼盖假定为刚性</w:t>
      </w:r>
      <w:r>
        <w:rPr>
          <w:rFonts w:hint="eastAsia"/>
          <w:color w:val="auto"/>
          <w:szCs w:val="21"/>
        </w:rPr>
        <w:t>隔板；</w:t>
      </w:r>
    </w:p>
    <w:p w14:paraId="5227AD32">
      <w:pPr>
        <w:spacing w:line="312" w:lineRule="auto"/>
        <w:ind w:firstLine="422" w:firstLineChars="200"/>
        <w:rPr>
          <w:color w:val="auto"/>
          <w:szCs w:val="21"/>
        </w:rPr>
      </w:pPr>
      <w:r>
        <w:rPr>
          <w:b/>
          <w:color w:val="auto"/>
          <w:szCs w:val="21"/>
        </w:rPr>
        <w:t>3</w:t>
      </w:r>
      <w:r>
        <w:rPr>
          <w:rFonts w:hint="eastAsia"/>
          <w:color w:val="auto"/>
          <w:szCs w:val="21"/>
        </w:rPr>
        <w:t xml:space="preserve">  当</w:t>
      </w:r>
      <w:r>
        <w:rPr>
          <w:color w:val="auto"/>
          <w:szCs w:val="21"/>
        </w:rPr>
        <w:t>模块</w:t>
      </w:r>
      <w:r>
        <w:rPr>
          <w:rFonts w:hint="eastAsia"/>
          <w:color w:val="auto"/>
          <w:szCs w:val="21"/>
        </w:rPr>
        <w:t>单元顶板或底板采用整体或局部叠合楼板时，可根据实际情况进行建模计算。</w:t>
      </w:r>
    </w:p>
    <w:p w14:paraId="2C48C359">
      <w:pPr>
        <w:pStyle w:val="33"/>
        <w:rPr>
          <w:color w:val="auto"/>
        </w:rPr>
      </w:pPr>
      <w:r>
        <w:rPr>
          <w:rFonts w:hint="eastAsia" w:ascii="楷体" w:hAnsi="楷体" w:cs="楷体"/>
          <w:color w:val="auto"/>
          <w:szCs w:val="21"/>
        </w:rPr>
        <w:t>【条文说明】</w:t>
      </w:r>
      <w:r>
        <w:rPr>
          <w:rFonts w:hint="eastAsia"/>
          <w:color w:val="auto"/>
        </w:rPr>
        <w:t>模块化框架结构由框架式模块组合堆叠而成，对于模块单元而言，单元顶、底板为一次浇筑成型，可考虑为刚性楼板。对于模块化框架结构而言，楼盖系统由多个模块单元拼接组合而成，当楼盖系统没有额外的加强连接时，不构成连续的楼板，不能将整层楼盖假定为刚性楼板；当楼盖系统在相邻或上下模块单元板、梁之间增设加强措施，通过试验或理论分析能够使楼板在平面内连续时，可将整层楼盖假定为刚性楼板。</w:t>
      </w:r>
    </w:p>
    <w:p w14:paraId="7B290D49">
      <w:pPr>
        <w:pStyle w:val="5"/>
        <w:rPr>
          <w:rFonts w:eastAsia="仿宋" w:cs="Times New Roman"/>
          <w:color w:val="auto"/>
        </w:rPr>
      </w:pPr>
      <w:r>
        <w:rPr>
          <w:rFonts w:eastAsia="仿宋" w:cs="Times New Roman"/>
          <w:color w:val="auto"/>
        </w:rPr>
        <w:t>（Ⅱ）模块化剪力墙结构</w:t>
      </w:r>
      <w:r>
        <w:rPr>
          <w:rFonts w:hint="eastAsia" w:eastAsia="仿宋" w:cs="Times New Roman"/>
          <w:color w:val="auto"/>
        </w:rPr>
        <w:t>及模块化现浇结构</w:t>
      </w:r>
    </w:p>
    <w:p w14:paraId="778DFA9E">
      <w:pPr>
        <w:numPr>
          <w:ilvl w:val="0"/>
          <w:numId w:val="17"/>
        </w:numPr>
        <w:spacing w:line="312" w:lineRule="auto"/>
        <w:rPr>
          <w:color w:val="auto"/>
        </w:rPr>
      </w:pPr>
      <w:r>
        <w:rPr>
          <w:rFonts w:hint="eastAsia"/>
          <w:color w:val="auto"/>
        </w:rPr>
        <w:t>按弹性方法计算的风荷载或多遇地震标准值作用下的模块化剪力墙结构和模块化现浇结构楼层层间最大水平位移与层高之比</w:t>
      </w:r>
      <w:r>
        <w:rPr>
          <w:rFonts w:hint="eastAsia"/>
          <w:i/>
          <w:iCs/>
          <w:color w:val="auto"/>
        </w:rPr>
        <w:t>△u/h</w:t>
      </w:r>
      <w:r>
        <w:rPr>
          <w:rFonts w:hint="eastAsia"/>
          <w:color w:val="auto"/>
        </w:rPr>
        <w:t>宜符合表6.4.7的规定。</w:t>
      </w:r>
    </w:p>
    <w:p w14:paraId="4B0B11AF">
      <w:pPr>
        <w:pStyle w:val="26"/>
        <w:rPr>
          <w:color w:val="auto"/>
        </w:rPr>
      </w:pPr>
      <w:r>
        <w:rPr>
          <w:color w:val="auto"/>
        </w:rPr>
        <w:t>表</w:t>
      </w:r>
      <w:r>
        <w:rPr>
          <w:rFonts w:hint="eastAsia"/>
          <w:b/>
          <w:color w:val="auto"/>
        </w:rPr>
        <w:t>6</w:t>
      </w:r>
      <w:r>
        <w:rPr>
          <w:rFonts w:ascii="宋体" w:hAnsi="宋体"/>
          <w:b/>
          <w:color w:val="auto"/>
        </w:rPr>
        <w:t>.</w:t>
      </w:r>
      <w:r>
        <w:rPr>
          <w:rFonts w:hint="eastAsia"/>
          <w:b/>
          <w:color w:val="auto"/>
        </w:rPr>
        <w:t>4</w:t>
      </w:r>
      <w:r>
        <w:rPr>
          <w:rFonts w:ascii="宋体" w:hAnsi="宋体"/>
          <w:b/>
          <w:color w:val="auto"/>
        </w:rPr>
        <w:t>.</w:t>
      </w:r>
      <w:r>
        <w:rPr>
          <w:rFonts w:hint="eastAsia"/>
          <w:b/>
          <w:color w:val="auto"/>
        </w:rPr>
        <w:t>7</w:t>
      </w:r>
      <w:r>
        <w:rPr>
          <w:color w:val="auto"/>
        </w:rPr>
        <w:t xml:space="preserve">  模块化剪力墙结构及模块化现浇</w:t>
      </w:r>
      <w:r>
        <w:rPr>
          <w:rFonts w:hint="eastAsia"/>
          <w:color w:val="auto"/>
        </w:rPr>
        <w:t>结构</w:t>
      </w:r>
      <w:r>
        <w:rPr>
          <w:color w:val="auto"/>
        </w:rPr>
        <w:t>楼层层间最大位移与层高之比的限值</w:t>
      </w:r>
    </w:p>
    <w:tbl>
      <w:tblPr>
        <w:tblStyle w:val="1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44"/>
        <w:gridCol w:w="2545"/>
        <w:gridCol w:w="3433"/>
      </w:tblGrid>
      <w:tr w14:paraId="420BF2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985" w:type="pct"/>
            <w:gridSpan w:val="2"/>
            <w:vAlign w:val="center"/>
          </w:tcPr>
          <w:p w14:paraId="1431DCE9">
            <w:pPr>
              <w:pStyle w:val="27"/>
              <w:rPr>
                <w:rFonts w:ascii="宋体" w:hAnsi="宋体" w:cs="宋体"/>
                <w:color w:val="auto"/>
                <w:sz w:val="18"/>
                <w:szCs w:val="18"/>
              </w:rPr>
            </w:pPr>
            <w:r>
              <w:rPr>
                <w:rFonts w:hint="eastAsia" w:ascii="宋体" w:hAnsi="宋体" w:cs="宋体"/>
                <w:color w:val="auto"/>
                <w:sz w:val="18"/>
                <w:szCs w:val="18"/>
              </w:rPr>
              <w:t>结构类型</w:t>
            </w:r>
          </w:p>
        </w:tc>
        <w:tc>
          <w:tcPr>
            <w:tcW w:w="2014" w:type="pct"/>
            <w:vAlign w:val="center"/>
          </w:tcPr>
          <w:p w14:paraId="0F01EED8">
            <w:pPr>
              <w:pStyle w:val="27"/>
              <w:rPr>
                <w:rFonts w:ascii="宋体" w:hAnsi="宋体" w:cs="宋体"/>
                <w:color w:val="auto"/>
                <w:sz w:val="18"/>
                <w:szCs w:val="18"/>
              </w:rPr>
            </w:pPr>
            <w:r>
              <w:rPr>
                <w:i/>
                <w:iCs/>
                <w:color w:val="auto"/>
                <w:sz w:val="18"/>
                <w:szCs w:val="18"/>
              </w:rPr>
              <w:t xml:space="preserve">△u/h </w:t>
            </w:r>
            <w:r>
              <w:rPr>
                <w:rFonts w:hint="eastAsia" w:ascii="宋体" w:hAnsi="宋体" w:cs="宋体"/>
                <w:color w:val="auto"/>
                <w:sz w:val="18"/>
                <w:szCs w:val="18"/>
              </w:rPr>
              <w:t>限值</w:t>
            </w:r>
          </w:p>
        </w:tc>
      </w:tr>
      <w:tr w14:paraId="412C5F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85" w:type="pct"/>
            <w:gridSpan w:val="2"/>
            <w:vAlign w:val="center"/>
          </w:tcPr>
          <w:p w14:paraId="1B2F1AAD">
            <w:pPr>
              <w:pStyle w:val="27"/>
              <w:rPr>
                <w:rFonts w:ascii="宋体" w:hAnsi="宋体" w:cs="宋体"/>
                <w:color w:val="auto"/>
                <w:sz w:val="18"/>
                <w:szCs w:val="18"/>
              </w:rPr>
            </w:pPr>
            <w:r>
              <w:rPr>
                <w:rFonts w:hint="eastAsia" w:ascii="宋体" w:hAnsi="宋体" w:cs="宋体"/>
                <w:color w:val="auto"/>
                <w:sz w:val="18"/>
                <w:szCs w:val="18"/>
              </w:rPr>
              <w:t>模块化预制剪力墙结构</w:t>
            </w:r>
          </w:p>
        </w:tc>
        <w:tc>
          <w:tcPr>
            <w:tcW w:w="2014" w:type="pct"/>
            <w:vAlign w:val="center"/>
          </w:tcPr>
          <w:p w14:paraId="0E113E4D">
            <w:pPr>
              <w:pStyle w:val="27"/>
              <w:rPr>
                <w:color w:val="auto"/>
                <w:sz w:val="18"/>
                <w:szCs w:val="18"/>
              </w:rPr>
            </w:pPr>
            <w:r>
              <w:rPr>
                <w:color w:val="auto"/>
                <w:sz w:val="18"/>
                <w:szCs w:val="18"/>
              </w:rPr>
              <w:t>1/1000</w:t>
            </w:r>
          </w:p>
        </w:tc>
      </w:tr>
      <w:tr w14:paraId="355B43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85" w:type="pct"/>
            <w:gridSpan w:val="2"/>
            <w:vAlign w:val="center"/>
          </w:tcPr>
          <w:p w14:paraId="0C921DE6">
            <w:pPr>
              <w:pStyle w:val="27"/>
              <w:rPr>
                <w:rFonts w:ascii="宋体" w:hAnsi="宋体" w:cs="宋体"/>
                <w:color w:val="auto"/>
                <w:sz w:val="18"/>
                <w:szCs w:val="18"/>
              </w:rPr>
            </w:pPr>
            <w:r>
              <w:rPr>
                <w:rFonts w:hint="eastAsia" w:ascii="宋体" w:hAnsi="宋体" w:cs="宋体"/>
                <w:color w:val="auto"/>
                <w:sz w:val="18"/>
                <w:szCs w:val="18"/>
              </w:rPr>
              <w:t>模块化叠合剪力墙结构</w:t>
            </w:r>
          </w:p>
        </w:tc>
        <w:tc>
          <w:tcPr>
            <w:tcW w:w="2014" w:type="pct"/>
            <w:vAlign w:val="center"/>
          </w:tcPr>
          <w:p w14:paraId="3387FB2B">
            <w:pPr>
              <w:pStyle w:val="27"/>
              <w:rPr>
                <w:color w:val="auto"/>
                <w:sz w:val="18"/>
                <w:szCs w:val="18"/>
              </w:rPr>
            </w:pPr>
            <w:r>
              <w:rPr>
                <w:color w:val="auto"/>
                <w:sz w:val="18"/>
                <w:szCs w:val="18"/>
              </w:rPr>
              <w:t>1/1000</w:t>
            </w:r>
          </w:p>
        </w:tc>
      </w:tr>
      <w:tr w14:paraId="16B7D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pct"/>
            <w:vMerge w:val="restart"/>
            <w:vAlign w:val="center"/>
          </w:tcPr>
          <w:p w14:paraId="1671B61B">
            <w:pPr>
              <w:pStyle w:val="27"/>
              <w:rPr>
                <w:rFonts w:ascii="宋体" w:hAnsi="宋体" w:cs="宋体"/>
                <w:color w:val="auto"/>
                <w:sz w:val="18"/>
                <w:szCs w:val="18"/>
              </w:rPr>
            </w:pPr>
            <w:r>
              <w:rPr>
                <w:rFonts w:hint="eastAsia" w:ascii="宋体" w:hAnsi="宋体" w:cs="宋体"/>
                <w:color w:val="auto"/>
                <w:sz w:val="18"/>
                <w:szCs w:val="18"/>
              </w:rPr>
              <w:t>模块化现浇结构</w:t>
            </w:r>
          </w:p>
        </w:tc>
        <w:tc>
          <w:tcPr>
            <w:tcW w:w="1493" w:type="pct"/>
            <w:vAlign w:val="center"/>
          </w:tcPr>
          <w:p w14:paraId="04DE1CED">
            <w:pPr>
              <w:pStyle w:val="27"/>
              <w:rPr>
                <w:rFonts w:ascii="宋体" w:hAnsi="宋体" w:cs="宋体"/>
                <w:color w:val="auto"/>
                <w:sz w:val="18"/>
                <w:szCs w:val="18"/>
              </w:rPr>
            </w:pPr>
            <w:r>
              <w:rPr>
                <w:rFonts w:hint="eastAsia" w:ascii="宋体" w:hAnsi="宋体" w:cs="宋体"/>
                <w:color w:val="auto"/>
                <w:sz w:val="18"/>
                <w:szCs w:val="18"/>
              </w:rPr>
              <w:t>模块化现浇框架结构</w:t>
            </w:r>
          </w:p>
        </w:tc>
        <w:tc>
          <w:tcPr>
            <w:tcW w:w="2014" w:type="pct"/>
            <w:vAlign w:val="center"/>
          </w:tcPr>
          <w:p w14:paraId="4B6F10D1">
            <w:pPr>
              <w:pStyle w:val="27"/>
              <w:rPr>
                <w:color w:val="auto"/>
                <w:sz w:val="18"/>
                <w:szCs w:val="18"/>
              </w:rPr>
            </w:pPr>
            <w:r>
              <w:rPr>
                <w:color w:val="auto"/>
                <w:sz w:val="18"/>
                <w:szCs w:val="18"/>
              </w:rPr>
              <w:t>1/550</w:t>
            </w:r>
          </w:p>
        </w:tc>
      </w:tr>
      <w:tr w14:paraId="65693E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pct"/>
            <w:vMerge w:val="continue"/>
            <w:vAlign w:val="center"/>
          </w:tcPr>
          <w:p w14:paraId="78A0862F">
            <w:pPr>
              <w:pStyle w:val="27"/>
              <w:rPr>
                <w:rFonts w:ascii="宋体" w:hAnsi="宋体" w:cs="宋体"/>
                <w:color w:val="auto"/>
                <w:sz w:val="18"/>
                <w:szCs w:val="18"/>
              </w:rPr>
            </w:pPr>
          </w:p>
        </w:tc>
        <w:tc>
          <w:tcPr>
            <w:tcW w:w="1493" w:type="pct"/>
            <w:vAlign w:val="center"/>
          </w:tcPr>
          <w:p w14:paraId="517182FA">
            <w:pPr>
              <w:pStyle w:val="27"/>
              <w:snapToGrid w:val="0"/>
              <w:rPr>
                <w:rFonts w:ascii="宋体" w:hAnsi="宋体" w:cs="宋体"/>
                <w:color w:val="auto"/>
                <w:sz w:val="18"/>
                <w:szCs w:val="18"/>
              </w:rPr>
            </w:pPr>
            <w:r>
              <w:rPr>
                <w:rFonts w:hint="eastAsia" w:ascii="宋体" w:hAnsi="宋体" w:cs="宋体"/>
                <w:color w:val="auto"/>
                <w:sz w:val="18"/>
                <w:szCs w:val="18"/>
              </w:rPr>
              <w:t>模块化现浇</w:t>
            </w:r>
          </w:p>
          <w:p w14:paraId="24A0B0E2">
            <w:pPr>
              <w:pStyle w:val="27"/>
              <w:snapToGrid w:val="0"/>
              <w:rPr>
                <w:rFonts w:ascii="宋体" w:hAnsi="宋体" w:cs="宋体"/>
                <w:color w:val="auto"/>
                <w:sz w:val="18"/>
                <w:szCs w:val="18"/>
              </w:rPr>
            </w:pPr>
            <w:r>
              <w:rPr>
                <w:rFonts w:hint="eastAsia" w:ascii="宋体" w:hAnsi="宋体" w:cs="宋体"/>
                <w:color w:val="auto"/>
                <w:sz w:val="18"/>
                <w:szCs w:val="18"/>
              </w:rPr>
              <w:t>框架-剪力墙结构</w:t>
            </w:r>
          </w:p>
        </w:tc>
        <w:tc>
          <w:tcPr>
            <w:tcW w:w="2014" w:type="pct"/>
            <w:vAlign w:val="center"/>
          </w:tcPr>
          <w:p w14:paraId="59075EFF">
            <w:pPr>
              <w:pStyle w:val="27"/>
              <w:rPr>
                <w:color w:val="auto"/>
                <w:sz w:val="18"/>
                <w:szCs w:val="18"/>
              </w:rPr>
            </w:pPr>
            <w:r>
              <w:rPr>
                <w:color w:val="auto"/>
                <w:sz w:val="18"/>
                <w:szCs w:val="18"/>
              </w:rPr>
              <w:t>1/800</w:t>
            </w:r>
          </w:p>
        </w:tc>
      </w:tr>
      <w:tr w14:paraId="22368F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pct"/>
            <w:vMerge w:val="continue"/>
            <w:vAlign w:val="center"/>
          </w:tcPr>
          <w:p w14:paraId="1AF20375">
            <w:pPr>
              <w:pStyle w:val="27"/>
              <w:rPr>
                <w:rFonts w:ascii="宋体" w:hAnsi="宋体" w:cs="宋体"/>
                <w:color w:val="auto"/>
                <w:sz w:val="18"/>
                <w:szCs w:val="18"/>
              </w:rPr>
            </w:pPr>
          </w:p>
        </w:tc>
        <w:tc>
          <w:tcPr>
            <w:tcW w:w="1493" w:type="pct"/>
            <w:vAlign w:val="center"/>
          </w:tcPr>
          <w:p w14:paraId="336E31E0">
            <w:pPr>
              <w:pStyle w:val="27"/>
              <w:rPr>
                <w:rFonts w:ascii="宋体" w:hAnsi="宋体" w:cs="宋体"/>
                <w:color w:val="auto"/>
                <w:sz w:val="18"/>
                <w:szCs w:val="18"/>
              </w:rPr>
            </w:pPr>
            <w:r>
              <w:rPr>
                <w:rFonts w:hint="eastAsia" w:ascii="宋体" w:hAnsi="宋体" w:cs="宋体"/>
                <w:color w:val="auto"/>
                <w:sz w:val="18"/>
                <w:szCs w:val="18"/>
              </w:rPr>
              <w:t>模块化现浇剪力墙结构</w:t>
            </w:r>
          </w:p>
        </w:tc>
        <w:tc>
          <w:tcPr>
            <w:tcW w:w="2014" w:type="pct"/>
            <w:vAlign w:val="center"/>
          </w:tcPr>
          <w:p w14:paraId="72510999">
            <w:pPr>
              <w:pStyle w:val="27"/>
              <w:rPr>
                <w:color w:val="auto"/>
                <w:sz w:val="18"/>
                <w:szCs w:val="18"/>
              </w:rPr>
            </w:pPr>
            <w:r>
              <w:rPr>
                <w:color w:val="auto"/>
                <w:sz w:val="18"/>
                <w:szCs w:val="18"/>
              </w:rPr>
              <w:t>1/1000</w:t>
            </w:r>
          </w:p>
        </w:tc>
      </w:tr>
    </w:tbl>
    <w:p w14:paraId="61F289AB">
      <w:pPr>
        <w:numPr>
          <w:ilvl w:val="0"/>
          <w:numId w:val="17"/>
        </w:numPr>
        <w:spacing w:line="312" w:lineRule="auto"/>
        <w:rPr>
          <w:color w:val="auto"/>
        </w:rPr>
      </w:pPr>
      <w:bookmarkStart w:id="201" w:name="OLE_LINK13"/>
      <w:r>
        <w:rPr>
          <w:rFonts w:hint="eastAsia"/>
          <w:color w:val="auto"/>
        </w:rPr>
        <w:t>按弹塑性方法计算的罕遇地震作用下的模块化剪力墙结构和模块化现浇结构薄弱层（部位）弹塑性层间位移角宜符合表6.4.8的规定。</w:t>
      </w:r>
    </w:p>
    <w:bookmarkEnd w:id="201"/>
    <w:p w14:paraId="7BE0149F">
      <w:pPr>
        <w:pStyle w:val="26"/>
        <w:rPr>
          <w:color w:val="auto"/>
        </w:rPr>
      </w:pPr>
      <w:r>
        <w:rPr>
          <w:color w:val="auto"/>
        </w:rPr>
        <w:t>表</w:t>
      </w:r>
      <w:r>
        <w:rPr>
          <w:rFonts w:hint="eastAsia"/>
          <w:b/>
          <w:color w:val="auto"/>
        </w:rPr>
        <w:t>6</w:t>
      </w:r>
      <w:r>
        <w:rPr>
          <w:rFonts w:ascii="宋体" w:hAnsi="宋体"/>
          <w:b/>
          <w:color w:val="auto"/>
        </w:rPr>
        <w:t>.</w:t>
      </w:r>
      <w:r>
        <w:rPr>
          <w:rFonts w:hint="eastAsia"/>
          <w:b/>
          <w:color w:val="auto"/>
        </w:rPr>
        <w:t>4</w:t>
      </w:r>
      <w:r>
        <w:rPr>
          <w:rFonts w:ascii="宋体" w:hAnsi="宋体"/>
          <w:b/>
          <w:color w:val="auto"/>
        </w:rPr>
        <w:t>.</w:t>
      </w:r>
      <w:r>
        <w:rPr>
          <w:rFonts w:hint="eastAsia"/>
          <w:b/>
          <w:color w:val="auto"/>
        </w:rPr>
        <w:t>8</w:t>
      </w:r>
      <w:r>
        <w:rPr>
          <w:color w:val="auto"/>
        </w:rPr>
        <w:t xml:space="preserve">  模块化剪力墙结构及模块化现浇结构</w:t>
      </w:r>
      <w:r>
        <w:rPr>
          <w:rFonts w:hint="eastAsia"/>
          <w:color w:val="auto"/>
        </w:rPr>
        <w:t>薄弱层（部位）弹塑性层间位移角</w:t>
      </w:r>
      <w:r>
        <w:rPr>
          <w:color w:val="auto"/>
        </w:rPr>
        <w:t>限值</w:t>
      </w:r>
    </w:p>
    <w:tbl>
      <w:tblPr>
        <w:tblStyle w:val="1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44"/>
        <w:gridCol w:w="2545"/>
        <w:gridCol w:w="3433"/>
      </w:tblGrid>
      <w:tr w14:paraId="773A22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985" w:type="pct"/>
            <w:gridSpan w:val="2"/>
            <w:vAlign w:val="center"/>
          </w:tcPr>
          <w:p w14:paraId="580DA396">
            <w:pPr>
              <w:pStyle w:val="27"/>
              <w:rPr>
                <w:color w:val="auto"/>
                <w:sz w:val="18"/>
                <w:szCs w:val="18"/>
              </w:rPr>
            </w:pPr>
            <w:r>
              <w:rPr>
                <w:color w:val="auto"/>
                <w:sz w:val="18"/>
                <w:szCs w:val="18"/>
              </w:rPr>
              <w:t>结构类型</w:t>
            </w:r>
          </w:p>
        </w:tc>
        <w:tc>
          <w:tcPr>
            <w:tcW w:w="2014" w:type="pct"/>
            <w:vAlign w:val="center"/>
          </w:tcPr>
          <w:p w14:paraId="22E5ED8F">
            <w:pPr>
              <w:pStyle w:val="27"/>
              <w:rPr>
                <w:color w:val="auto"/>
                <w:sz w:val="18"/>
                <w:szCs w:val="18"/>
              </w:rPr>
            </w:pPr>
            <w:r>
              <w:rPr>
                <w:i/>
                <w:iCs/>
                <w:color w:val="auto"/>
                <w:sz w:val="18"/>
                <w:szCs w:val="18"/>
              </w:rPr>
              <w:t>△u</w:t>
            </w:r>
            <w:r>
              <w:rPr>
                <w:rFonts w:hint="eastAsia"/>
                <w:i/>
                <w:iCs/>
                <w:color w:val="auto"/>
                <w:sz w:val="18"/>
                <w:szCs w:val="18"/>
                <w:vertAlign w:val="subscript"/>
              </w:rPr>
              <w:t>p</w:t>
            </w:r>
            <w:r>
              <w:rPr>
                <w:i/>
                <w:iCs/>
                <w:color w:val="auto"/>
                <w:sz w:val="18"/>
                <w:szCs w:val="18"/>
              </w:rPr>
              <w:t xml:space="preserve">/h </w:t>
            </w:r>
            <w:r>
              <w:rPr>
                <w:color w:val="auto"/>
                <w:sz w:val="18"/>
                <w:szCs w:val="18"/>
              </w:rPr>
              <w:t>限值</w:t>
            </w:r>
          </w:p>
        </w:tc>
      </w:tr>
      <w:tr w14:paraId="271F1D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85" w:type="pct"/>
            <w:gridSpan w:val="2"/>
            <w:vAlign w:val="center"/>
          </w:tcPr>
          <w:p w14:paraId="15D118E4">
            <w:pPr>
              <w:pStyle w:val="27"/>
              <w:rPr>
                <w:color w:val="auto"/>
                <w:sz w:val="18"/>
                <w:szCs w:val="18"/>
              </w:rPr>
            </w:pPr>
            <w:r>
              <w:rPr>
                <w:color w:val="auto"/>
                <w:sz w:val="18"/>
                <w:szCs w:val="18"/>
              </w:rPr>
              <w:t>模块化全预制剪力墙结构</w:t>
            </w:r>
          </w:p>
        </w:tc>
        <w:tc>
          <w:tcPr>
            <w:tcW w:w="2014" w:type="pct"/>
            <w:vAlign w:val="center"/>
          </w:tcPr>
          <w:p w14:paraId="47ED07A9">
            <w:pPr>
              <w:pStyle w:val="27"/>
              <w:rPr>
                <w:color w:val="auto"/>
                <w:sz w:val="18"/>
                <w:szCs w:val="18"/>
              </w:rPr>
            </w:pPr>
            <w:r>
              <w:rPr>
                <w:color w:val="auto"/>
                <w:sz w:val="18"/>
                <w:szCs w:val="18"/>
              </w:rPr>
              <w:t>1/120</w:t>
            </w:r>
          </w:p>
        </w:tc>
      </w:tr>
      <w:tr w14:paraId="3ABBA7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85" w:type="pct"/>
            <w:gridSpan w:val="2"/>
            <w:vAlign w:val="center"/>
          </w:tcPr>
          <w:p w14:paraId="2C51930E">
            <w:pPr>
              <w:pStyle w:val="27"/>
              <w:rPr>
                <w:color w:val="auto"/>
                <w:sz w:val="18"/>
                <w:szCs w:val="18"/>
              </w:rPr>
            </w:pPr>
            <w:r>
              <w:rPr>
                <w:color w:val="auto"/>
                <w:sz w:val="18"/>
                <w:szCs w:val="18"/>
              </w:rPr>
              <w:t>模块化叠合剪力墙结构</w:t>
            </w:r>
          </w:p>
        </w:tc>
        <w:tc>
          <w:tcPr>
            <w:tcW w:w="2014" w:type="pct"/>
            <w:vAlign w:val="center"/>
          </w:tcPr>
          <w:p w14:paraId="58070B78">
            <w:pPr>
              <w:pStyle w:val="27"/>
              <w:rPr>
                <w:color w:val="auto"/>
                <w:sz w:val="18"/>
                <w:szCs w:val="18"/>
              </w:rPr>
            </w:pPr>
            <w:r>
              <w:rPr>
                <w:color w:val="auto"/>
                <w:sz w:val="18"/>
                <w:szCs w:val="18"/>
              </w:rPr>
              <w:t>1/120</w:t>
            </w:r>
          </w:p>
        </w:tc>
      </w:tr>
      <w:tr w14:paraId="02F9A8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pct"/>
            <w:vMerge w:val="restart"/>
            <w:vAlign w:val="center"/>
          </w:tcPr>
          <w:p w14:paraId="5A37BD1C">
            <w:pPr>
              <w:pStyle w:val="27"/>
              <w:rPr>
                <w:color w:val="auto"/>
                <w:sz w:val="18"/>
                <w:szCs w:val="18"/>
              </w:rPr>
            </w:pPr>
            <w:r>
              <w:rPr>
                <w:color w:val="auto"/>
                <w:sz w:val="18"/>
                <w:szCs w:val="18"/>
              </w:rPr>
              <w:t>模块化现浇结构</w:t>
            </w:r>
          </w:p>
        </w:tc>
        <w:tc>
          <w:tcPr>
            <w:tcW w:w="1493" w:type="pct"/>
            <w:vAlign w:val="center"/>
          </w:tcPr>
          <w:p w14:paraId="1AA65BA1">
            <w:pPr>
              <w:pStyle w:val="27"/>
              <w:rPr>
                <w:color w:val="auto"/>
                <w:sz w:val="18"/>
                <w:szCs w:val="18"/>
              </w:rPr>
            </w:pPr>
            <w:r>
              <w:rPr>
                <w:color w:val="auto"/>
                <w:sz w:val="18"/>
                <w:szCs w:val="18"/>
              </w:rPr>
              <w:t>模块化现浇框架结构</w:t>
            </w:r>
          </w:p>
        </w:tc>
        <w:tc>
          <w:tcPr>
            <w:tcW w:w="2014" w:type="pct"/>
            <w:vAlign w:val="center"/>
          </w:tcPr>
          <w:p w14:paraId="6F4AFF21">
            <w:pPr>
              <w:pStyle w:val="27"/>
              <w:rPr>
                <w:color w:val="auto"/>
                <w:sz w:val="18"/>
                <w:szCs w:val="18"/>
              </w:rPr>
            </w:pPr>
            <w:r>
              <w:rPr>
                <w:color w:val="auto"/>
                <w:sz w:val="18"/>
                <w:szCs w:val="18"/>
              </w:rPr>
              <w:t>1/50</w:t>
            </w:r>
          </w:p>
        </w:tc>
      </w:tr>
      <w:tr w14:paraId="5D0168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pct"/>
            <w:vMerge w:val="continue"/>
            <w:vAlign w:val="center"/>
          </w:tcPr>
          <w:p w14:paraId="72A51078">
            <w:pPr>
              <w:pStyle w:val="27"/>
              <w:rPr>
                <w:color w:val="auto"/>
                <w:sz w:val="18"/>
                <w:szCs w:val="18"/>
              </w:rPr>
            </w:pPr>
          </w:p>
        </w:tc>
        <w:tc>
          <w:tcPr>
            <w:tcW w:w="1493" w:type="pct"/>
            <w:vAlign w:val="center"/>
          </w:tcPr>
          <w:p w14:paraId="2DD063A9">
            <w:pPr>
              <w:pStyle w:val="27"/>
              <w:rPr>
                <w:color w:val="auto"/>
                <w:sz w:val="18"/>
                <w:szCs w:val="18"/>
              </w:rPr>
            </w:pPr>
            <w:r>
              <w:rPr>
                <w:color w:val="auto"/>
                <w:sz w:val="18"/>
                <w:szCs w:val="18"/>
              </w:rPr>
              <w:t>模块化现浇框架-剪力墙结构</w:t>
            </w:r>
          </w:p>
        </w:tc>
        <w:tc>
          <w:tcPr>
            <w:tcW w:w="2014" w:type="pct"/>
            <w:vAlign w:val="center"/>
          </w:tcPr>
          <w:p w14:paraId="0B5920D8">
            <w:pPr>
              <w:pStyle w:val="27"/>
              <w:rPr>
                <w:color w:val="auto"/>
                <w:sz w:val="18"/>
                <w:szCs w:val="18"/>
              </w:rPr>
            </w:pPr>
            <w:r>
              <w:rPr>
                <w:color w:val="auto"/>
                <w:sz w:val="18"/>
                <w:szCs w:val="18"/>
              </w:rPr>
              <w:t>1/100</w:t>
            </w:r>
          </w:p>
        </w:tc>
      </w:tr>
      <w:tr w14:paraId="3FFFE4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92" w:type="pct"/>
            <w:vMerge w:val="continue"/>
            <w:vAlign w:val="center"/>
          </w:tcPr>
          <w:p w14:paraId="3D88BAEA">
            <w:pPr>
              <w:pStyle w:val="27"/>
              <w:rPr>
                <w:color w:val="auto"/>
                <w:sz w:val="18"/>
                <w:szCs w:val="18"/>
              </w:rPr>
            </w:pPr>
          </w:p>
        </w:tc>
        <w:tc>
          <w:tcPr>
            <w:tcW w:w="1493" w:type="pct"/>
            <w:vAlign w:val="center"/>
          </w:tcPr>
          <w:p w14:paraId="7673EDA7">
            <w:pPr>
              <w:pStyle w:val="27"/>
              <w:rPr>
                <w:color w:val="auto"/>
                <w:sz w:val="18"/>
                <w:szCs w:val="18"/>
              </w:rPr>
            </w:pPr>
            <w:r>
              <w:rPr>
                <w:color w:val="auto"/>
                <w:sz w:val="18"/>
                <w:szCs w:val="18"/>
              </w:rPr>
              <w:t>模块化现浇剪力墙结构</w:t>
            </w:r>
          </w:p>
        </w:tc>
        <w:tc>
          <w:tcPr>
            <w:tcW w:w="2014" w:type="pct"/>
            <w:vAlign w:val="center"/>
          </w:tcPr>
          <w:p w14:paraId="57A15A14">
            <w:pPr>
              <w:pStyle w:val="27"/>
              <w:rPr>
                <w:color w:val="auto"/>
                <w:sz w:val="18"/>
                <w:szCs w:val="18"/>
              </w:rPr>
            </w:pPr>
            <w:r>
              <w:rPr>
                <w:color w:val="auto"/>
                <w:sz w:val="18"/>
                <w:szCs w:val="18"/>
              </w:rPr>
              <w:t>1/120</w:t>
            </w:r>
          </w:p>
        </w:tc>
      </w:tr>
    </w:tbl>
    <w:p w14:paraId="6745BCA4">
      <w:pPr>
        <w:numPr>
          <w:ilvl w:val="0"/>
          <w:numId w:val="17"/>
        </w:numPr>
        <w:spacing w:line="312" w:lineRule="auto"/>
        <w:rPr>
          <w:color w:val="auto"/>
        </w:rPr>
      </w:pPr>
      <w:r>
        <w:rPr>
          <w:rFonts w:hint="eastAsia"/>
          <w:color w:val="auto"/>
        </w:rPr>
        <w:t>模块化剪力墙结构和模块化现浇结构在进行地震作用计算时，结构自振周期应根据结构类型予以折减，并应符合下列规定：</w:t>
      </w:r>
    </w:p>
    <w:p w14:paraId="3E414657">
      <w:pPr>
        <w:numPr>
          <w:ilvl w:val="255"/>
          <w:numId w:val="0"/>
        </w:numPr>
        <w:tabs>
          <w:tab w:val="left" w:pos="0"/>
        </w:tabs>
        <w:spacing w:line="312" w:lineRule="auto"/>
        <w:ind w:firstLine="422" w:firstLineChars="200"/>
        <w:rPr>
          <w:color w:val="auto"/>
        </w:rPr>
      </w:pPr>
      <w:bookmarkStart w:id="202" w:name="_Toc6935"/>
      <w:bookmarkStart w:id="203" w:name="_Toc12678"/>
      <w:r>
        <w:rPr>
          <w:rFonts w:hint="eastAsia"/>
          <w:b/>
          <w:bCs/>
          <w:color w:val="auto"/>
        </w:rPr>
        <w:t xml:space="preserve">1 </w:t>
      </w:r>
      <w:r>
        <w:rPr>
          <w:rFonts w:hint="eastAsia"/>
          <w:color w:val="auto"/>
        </w:rPr>
        <w:t xml:space="preserve"> 模块化箱模框架结构的周期折减系数宜取0.6~0.7；</w:t>
      </w:r>
      <w:bookmarkEnd w:id="202"/>
      <w:bookmarkEnd w:id="203"/>
    </w:p>
    <w:p w14:paraId="4A082307">
      <w:pPr>
        <w:numPr>
          <w:ilvl w:val="255"/>
          <w:numId w:val="0"/>
        </w:numPr>
        <w:tabs>
          <w:tab w:val="left" w:pos="0"/>
        </w:tabs>
        <w:spacing w:line="312" w:lineRule="auto"/>
        <w:ind w:firstLine="422" w:firstLineChars="200"/>
        <w:rPr>
          <w:color w:val="auto"/>
        </w:rPr>
      </w:pPr>
      <w:r>
        <w:rPr>
          <w:rFonts w:hint="eastAsia"/>
          <w:b/>
          <w:bCs/>
          <w:color w:val="auto"/>
        </w:rPr>
        <w:t>2</w:t>
      </w:r>
      <w:r>
        <w:rPr>
          <w:rFonts w:hint="eastAsia"/>
          <w:color w:val="auto"/>
        </w:rPr>
        <w:t xml:space="preserve">  模块化箱模框架-剪力墙结构的周期折减系数宜取0.7~0.8；</w:t>
      </w:r>
    </w:p>
    <w:p w14:paraId="13AAA060">
      <w:pPr>
        <w:numPr>
          <w:ilvl w:val="255"/>
          <w:numId w:val="0"/>
        </w:numPr>
        <w:tabs>
          <w:tab w:val="left" w:pos="0"/>
        </w:tabs>
        <w:spacing w:line="312" w:lineRule="auto"/>
        <w:ind w:firstLine="422" w:firstLineChars="200"/>
        <w:rPr>
          <w:color w:val="auto"/>
        </w:rPr>
      </w:pPr>
      <w:bookmarkStart w:id="204" w:name="_Toc3807"/>
      <w:bookmarkStart w:id="205" w:name="_Toc6944"/>
      <w:r>
        <w:rPr>
          <w:b/>
          <w:color w:val="auto"/>
        </w:rPr>
        <w:t xml:space="preserve">3  </w:t>
      </w:r>
      <w:r>
        <w:rPr>
          <w:rFonts w:hint="eastAsia"/>
          <w:color w:val="auto"/>
        </w:rPr>
        <w:t>模块化剪力墙结构及模块化箱模剪力墙结构的周期折减系数宜取</w:t>
      </w:r>
      <w:r>
        <w:rPr>
          <w:color w:val="auto"/>
        </w:rPr>
        <w:t>0.8~</w:t>
      </w:r>
      <w:r>
        <w:rPr>
          <w:rFonts w:hint="eastAsia"/>
          <w:color w:val="auto"/>
        </w:rPr>
        <w:t>0.9。</w:t>
      </w:r>
      <w:bookmarkEnd w:id="204"/>
      <w:bookmarkEnd w:id="205"/>
    </w:p>
    <w:p w14:paraId="67A133D7">
      <w:pPr>
        <w:pStyle w:val="33"/>
        <w:rPr>
          <w:color w:val="auto"/>
        </w:rPr>
      </w:pPr>
      <w:r>
        <w:rPr>
          <w:rFonts w:hint="eastAsia" w:ascii="楷体" w:hAnsi="楷体" w:cs="楷体"/>
          <w:color w:val="auto"/>
          <w:szCs w:val="21"/>
        </w:rPr>
        <w:t>【条文说明】</w:t>
      </w:r>
      <w:r>
        <w:rPr>
          <w:color w:val="auto"/>
        </w:rPr>
        <w:t>在进行结构的整体计算分析时，由于仅考虑了主要承重构件（梁、柱、剪力墙等）的刚度，没有考虑非承重构件刚度，从而导致结构自振周期比实际情况大，使得地震力偏小。对于模块化现浇结构，其非承重墙体大多采用轻质材料，中建海龙科技有限公司及哈尔滨工业大学（深圳）做了一系列的相关实验</w:t>
      </w:r>
      <w:r>
        <w:rPr>
          <w:rFonts w:hint="eastAsia"/>
          <w:color w:val="auto"/>
        </w:rPr>
        <w:t>（图17）</w:t>
      </w:r>
      <w:r>
        <w:rPr>
          <w:color w:val="auto"/>
        </w:rPr>
        <w:t>，实验结果表明隔墙具有一定的刚度，建议模块化现浇框架结构的周期折减系数取0.6~0.7；</w:t>
      </w:r>
      <w:r>
        <w:rPr>
          <w:rFonts w:hint="eastAsia"/>
          <w:color w:val="auto"/>
        </w:rPr>
        <w:t>当剪力墙仅在短边方向设置隔断时（图20-a），</w:t>
      </w:r>
      <w:r>
        <w:rPr>
          <w:color w:val="auto"/>
        </w:rPr>
        <w:t>模块化现浇剪力墙结构的周期折减系数取0.8</w:t>
      </w:r>
      <w:r>
        <w:rPr>
          <w:rFonts w:hint="eastAsia"/>
          <w:color w:val="auto"/>
        </w:rPr>
        <w:t>，当剪力墙在长边及短边方向均设置隔断时（图20-b），</w:t>
      </w:r>
      <w:r>
        <w:rPr>
          <w:color w:val="auto"/>
        </w:rPr>
        <w:t>模块化现浇剪力墙结构的周期折减系数取</w:t>
      </w:r>
      <w:r>
        <w:rPr>
          <w:rFonts w:hint="eastAsia"/>
          <w:color w:val="auto"/>
        </w:rPr>
        <w:t>0.9</w:t>
      </w:r>
      <w:r>
        <w:rPr>
          <w:color w:val="auto"/>
        </w:rPr>
        <w:t>。</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0E26D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24D868C4">
            <w:pPr>
              <w:adjustRightInd w:val="0"/>
              <w:snapToGrid w:val="0"/>
              <w:jc w:val="center"/>
              <w:rPr>
                <w:color w:val="auto"/>
              </w:rPr>
            </w:pPr>
            <w:r>
              <w:rPr>
                <w:color w:val="auto"/>
                <w:szCs w:val="21"/>
              </w:rPr>
              <w:drawing>
                <wp:inline distT="0" distB="0" distL="0" distR="0">
                  <wp:extent cx="1066165" cy="1799590"/>
                  <wp:effectExtent l="0" t="0" r="635" b="1397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66"/>
                          <a:stretch>
                            <a:fillRect/>
                          </a:stretch>
                        </pic:blipFill>
                        <pic:spPr>
                          <a:xfrm>
                            <a:off x="0" y="0"/>
                            <a:ext cx="1066666" cy="1800000"/>
                          </a:xfrm>
                          <a:prstGeom prst="rect">
                            <a:avLst/>
                          </a:prstGeom>
                        </pic:spPr>
                      </pic:pic>
                    </a:graphicData>
                  </a:graphic>
                </wp:inline>
              </w:drawing>
            </w:r>
          </w:p>
        </w:tc>
        <w:tc>
          <w:tcPr>
            <w:tcW w:w="4261" w:type="dxa"/>
            <w:vAlign w:val="center"/>
          </w:tcPr>
          <w:p w14:paraId="460AE514">
            <w:pPr>
              <w:adjustRightInd w:val="0"/>
              <w:snapToGrid w:val="0"/>
              <w:jc w:val="center"/>
              <w:rPr>
                <w:color w:val="auto"/>
              </w:rPr>
            </w:pPr>
            <w:r>
              <w:rPr>
                <w:color w:val="auto"/>
                <w:szCs w:val="21"/>
              </w:rPr>
              <w:drawing>
                <wp:inline distT="0" distB="0" distL="0" distR="0">
                  <wp:extent cx="882650" cy="1799590"/>
                  <wp:effectExtent l="0" t="0" r="1270" b="1397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67"/>
                          <a:stretch>
                            <a:fillRect/>
                          </a:stretch>
                        </pic:blipFill>
                        <pic:spPr>
                          <a:xfrm>
                            <a:off x="0" y="0"/>
                            <a:ext cx="883019" cy="1800000"/>
                          </a:xfrm>
                          <a:prstGeom prst="rect">
                            <a:avLst/>
                          </a:prstGeom>
                        </pic:spPr>
                      </pic:pic>
                    </a:graphicData>
                  </a:graphic>
                </wp:inline>
              </w:drawing>
            </w:r>
          </w:p>
        </w:tc>
      </w:tr>
      <w:tr w14:paraId="0BD1C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vAlign w:val="center"/>
          </w:tcPr>
          <w:p w14:paraId="49AB87AF">
            <w:pPr>
              <w:spacing w:line="312" w:lineRule="auto"/>
              <w:jc w:val="center"/>
              <w:rPr>
                <w:rFonts w:eastAsia="楷体"/>
                <w:color w:val="auto"/>
              </w:rPr>
            </w:pPr>
            <w:r>
              <w:rPr>
                <w:rFonts w:eastAsia="楷体"/>
                <w:color w:val="auto"/>
              </w:rPr>
              <w:t>(a)  端部设置隔断</w:t>
            </w:r>
          </w:p>
        </w:tc>
        <w:tc>
          <w:tcPr>
            <w:tcW w:w="4261" w:type="dxa"/>
            <w:vAlign w:val="center"/>
          </w:tcPr>
          <w:p w14:paraId="75B0F1B0">
            <w:pPr>
              <w:spacing w:line="312" w:lineRule="auto"/>
              <w:jc w:val="center"/>
              <w:rPr>
                <w:rFonts w:eastAsia="楷体"/>
                <w:color w:val="auto"/>
              </w:rPr>
            </w:pPr>
            <w:r>
              <w:rPr>
                <w:rFonts w:eastAsia="楷体"/>
                <w:color w:val="auto"/>
              </w:rPr>
              <w:t>(b)  长、短边均设置隔断</w:t>
            </w:r>
          </w:p>
        </w:tc>
      </w:tr>
    </w:tbl>
    <w:p w14:paraId="6B571A64">
      <w:pPr>
        <w:spacing w:line="312" w:lineRule="auto"/>
        <w:jc w:val="center"/>
        <w:rPr>
          <w:rFonts w:eastAsia="楷体"/>
          <w:color w:val="auto"/>
        </w:rPr>
      </w:pPr>
      <w:r>
        <w:rPr>
          <w:rFonts w:eastAsia="楷体"/>
          <w:color w:val="auto"/>
        </w:rPr>
        <w:t>图20  箱模式模块与现浇剪力墙的水平布置示意</w:t>
      </w:r>
    </w:p>
    <w:p w14:paraId="041250AE">
      <w:pPr>
        <w:spacing w:line="312" w:lineRule="auto"/>
        <w:jc w:val="center"/>
        <w:rPr>
          <w:rFonts w:eastAsia="楷体"/>
          <w:color w:val="auto"/>
        </w:rPr>
      </w:pPr>
      <w:r>
        <w:rPr>
          <w:rFonts w:eastAsia="楷体"/>
          <w:color w:val="auto"/>
        </w:rPr>
        <w:t>1—现浇混凝土剪力墙；2—右方箱模式模块单元；3—左方箱模式模块单元；</w:t>
      </w:r>
    </w:p>
    <w:p w14:paraId="076E0624">
      <w:pPr>
        <w:jc w:val="center"/>
        <w:rPr>
          <w:rFonts w:eastAsia="楷体"/>
          <w:color w:val="auto"/>
        </w:rPr>
      </w:pPr>
      <w:r>
        <w:rPr>
          <w:rFonts w:eastAsia="楷体"/>
          <w:color w:val="auto"/>
        </w:rPr>
        <w:t>4—模块单元接缝；5—浇筑剪力墙时用模板；6—聚苯板；7—防水胶条</w:t>
      </w:r>
    </w:p>
    <w:p w14:paraId="43C79F19">
      <w:pPr>
        <w:numPr>
          <w:ilvl w:val="0"/>
          <w:numId w:val="17"/>
        </w:numPr>
        <w:spacing w:line="312" w:lineRule="auto"/>
        <w:rPr>
          <w:color w:val="auto"/>
        </w:rPr>
      </w:pPr>
      <w:r>
        <w:rPr>
          <w:rFonts w:hint="eastAsia"/>
          <w:color w:val="auto"/>
        </w:rPr>
        <w:t>模块化剪力墙结构及模块化现浇结构的楼、屋盖系统的分析计算和截面设计，应符合现行国家标准《混凝土结构设计标准》GB/T 50010和《建筑抗震设计标准》</w:t>
      </w:r>
      <w:r>
        <w:rPr>
          <w:color w:val="auto"/>
          <w:kern w:val="0"/>
          <w:szCs w:val="24"/>
        </w:rPr>
        <w:t>GB</w:t>
      </w:r>
      <w:r>
        <w:rPr>
          <w:rFonts w:hint="eastAsia"/>
          <w:color w:val="auto"/>
          <w:kern w:val="0"/>
          <w:szCs w:val="24"/>
        </w:rPr>
        <w:t xml:space="preserve">/T </w:t>
      </w:r>
      <w:r>
        <w:rPr>
          <w:color w:val="auto"/>
          <w:kern w:val="0"/>
          <w:szCs w:val="24"/>
        </w:rPr>
        <w:t>50011</w:t>
      </w:r>
      <w:r>
        <w:rPr>
          <w:rFonts w:hint="eastAsia"/>
          <w:color w:val="auto"/>
        </w:rPr>
        <w:t>的规定外，尚应符合下列规定：</w:t>
      </w:r>
    </w:p>
    <w:p w14:paraId="038DCE24">
      <w:pPr>
        <w:spacing w:line="312" w:lineRule="auto"/>
        <w:ind w:firstLine="422" w:firstLineChars="200"/>
        <w:rPr>
          <w:color w:val="auto"/>
          <w:szCs w:val="21"/>
        </w:rPr>
      </w:pPr>
      <w:bookmarkStart w:id="206" w:name="_Toc11617"/>
      <w:bookmarkStart w:id="207" w:name="_Toc10969"/>
      <w:r>
        <w:rPr>
          <w:rFonts w:eastAsia="黑体"/>
          <w:b/>
          <w:color w:val="auto"/>
          <w:szCs w:val="21"/>
        </w:rPr>
        <w:t xml:space="preserve">1  </w:t>
      </w:r>
      <w:r>
        <w:rPr>
          <w:color w:val="auto"/>
          <w:szCs w:val="21"/>
        </w:rPr>
        <w:t>楼</w:t>
      </w:r>
      <w:r>
        <w:rPr>
          <w:rFonts w:hint="eastAsia"/>
          <w:color w:val="auto"/>
          <w:szCs w:val="21"/>
        </w:rPr>
        <w:t>盖、</w:t>
      </w:r>
      <w:r>
        <w:rPr>
          <w:color w:val="auto"/>
          <w:szCs w:val="21"/>
        </w:rPr>
        <w:t>屋盖体系宜选用双向楼盖</w:t>
      </w:r>
      <w:r>
        <w:rPr>
          <w:rFonts w:hint="eastAsia"/>
          <w:color w:val="auto"/>
          <w:szCs w:val="21"/>
        </w:rPr>
        <w:t>；</w:t>
      </w:r>
      <w:bookmarkEnd w:id="206"/>
      <w:bookmarkEnd w:id="207"/>
    </w:p>
    <w:p w14:paraId="53EA965C">
      <w:pPr>
        <w:spacing w:line="312" w:lineRule="auto"/>
        <w:ind w:firstLine="422" w:firstLineChars="200"/>
        <w:rPr>
          <w:color w:val="auto"/>
          <w:szCs w:val="21"/>
        </w:rPr>
      </w:pPr>
      <w:r>
        <w:rPr>
          <w:rFonts w:eastAsia="黑体"/>
          <w:b/>
          <w:bCs/>
          <w:color w:val="auto"/>
          <w:szCs w:val="21"/>
        </w:rPr>
        <w:t xml:space="preserve">2  </w:t>
      </w:r>
      <w:r>
        <w:rPr>
          <w:color w:val="auto"/>
          <w:szCs w:val="21"/>
        </w:rPr>
        <w:t>楼</w:t>
      </w:r>
      <w:r>
        <w:rPr>
          <w:rFonts w:hint="eastAsia"/>
          <w:color w:val="auto"/>
          <w:szCs w:val="21"/>
        </w:rPr>
        <w:t>盖、</w:t>
      </w:r>
      <w:r>
        <w:rPr>
          <w:color w:val="auto"/>
          <w:szCs w:val="21"/>
        </w:rPr>
        <w:t>屋盖体系应与竖向结构构件有可靠的连接，保证结构的整体性。</w:t>
      </w:r>
    </w:p>
    <w:p w14:paraId="03317288">
      <w:pPr>
        <w:numPr>
          <w:ilvl w:val="255"/>
          <w:numId w:val="0"/>
        </w:numPr>
        <w:tabs>
          <w:tab w:val="left" w:pos="0"/>
        </w:tabs>
        <w:spacing w:line="312" w:lineRule="auto"/>
        <w:ind w:firstLine="420" w:firstLineChars="200"/>
        <w:jc w:val="left"/>
        <w:rPr>
          <w:rFonts w:eastAsia="楷体"/>
          <w:color w:val="auto"/>
          <w:szCs w:val="24"/>
        </w:rPr>
      </w:pPr>
      <w:r>
        <w:rPr>
          <w:rFonts w:eastAsia="楷体"/>
          <w:color w:val="auto"/>
          <w:szCs w:val="24"/>
        </w:rPr>
        <w:t>【条文说明】</w:t>
      </w:r>
      <w:r>
        <w:rPr>
          <w:rFonts w:hint="eastAsia" w:eastAsia="楷体"/>
          <w:color w:val="auto"/>
          <w:szCs w:val="24"/>
        </w:rPr>
        <w:t>楼盖体系在结构，特别是装配式结构的传力系统中起着非常重要的作用，国外对楼盖体系的薄膜效应做过长期深入的研究，证实了上述论点。因此，应对楼盖系统与主体结构的连接构造给予特别关注。</w:t>
      </w:r>
    </w:p>
    <w:p w14:paraId="7B59D9D2">
      <w:pPr>
        <w:numPr>
          <w:ilvl w:val="0"/>
          <w:numId w:val="17"/>
        </w:numPr>
        <w:spacing w:line="312" w:lineRule="auto"/>
        <w:rPr>
          <w:color w:val="auto"/>
        </w:rPr>
      </w:pPr>
      <w:r>
        <w:rPr>
          <w:rFonts w:hint="eastAsia"/>
          <w:color w:val="auto"/>
        </w:rPr>
        <w:t>模块化现浇结构中墙模作为剪力墙的保护层参与受力计算时，应符合下列规定：</w:t>
      </w:r>
    </w:p>
    <w:p w14:paraId="61E14E42">
      <w:pPr>
        <w:spacing w:line="312" w:lineRule="auto"/>
        <w:ind w:firstLine="422" w:firstLineChars="200"/>
        <w:rPr>
          <w:color w:val="auto"/>
        </w:rPr>
      </w:pPr>
      <w:r>
        <w:rPr>
          <w:b/>
          <w:color w:val="auto"/>
        </w:rPr>
        <w:t xml:space="preserve">1  </w:t>
      </w:r>
      <w:r>
        <w:rPr>
          <w:color w:val="auto"/>
        </w:rPr>
        <w:t>墙模与现浇混凝土之间</w:t>
      </w:r>
      <w:r>
        <w:rPr>
          <w:rFonts w:hint="eastAsia"/>
          <w:color w:val="auto"/>
        </w:rPr>
        <w:t>应采用钢筋桁架、钢筋锚固及其他可靠方式进行连接，锚固点之间间距不宜大于</w:t>
      </w:r>
      <w:r>
        <w:rPr>
          <w:color w:val="auto"/>
        </w:rPr>
        <w:t>600</w:t>
      </w:r>
      <w:r>
        <w:rPr>
          <w:rFonts w:hint="eastAsia"/>
          <w:color w:val="auto"/>
        </w:rPr>
        <w:t>mm，锚固点到墙端距离不宜大于4</w:t>
      </w:r>
      <w:r>
        <w:rPr>
          <w:color w:val="auto"/>
        </w:rPr>
        <w:t>50</w:t>
      </w:r>
      <w:r>
        <w:rPr>
          <w:rFonts w:hint="eastAsia"/>
          <w:color w:val="auto"/>
        </w:rPr>
        <w:t>mm；</w:t>
      </w:r>
    </w:p>
    <w:p w14:paraId="44DA035F">
      <w:pPr>
        <w:spacing w:line="312" w:lineRule="auto"/>
        <w:ind w:firstLine="422" w:firstLineChars="200"/>
        <w:rPr>
          <w:bCs/>
          <w:color w:val="auto"/>
        </w:rPr>
      </w:pPr>
      <w:r>
        <w:rPr>
          <w:b/>
          <w:color w:val="auto"/>
        </w:rPr>
        <w:t xml:space="preserve">2  </w:t>
      </w:r>
      <w:r>
        <w:rPr>
          <w:rFonts w:hint="eastAsia"/>
          <w:bCs/>
          <w:color w:val="auto"/>
        </w:rPr>
        <w:t>墙模结合面应设置粗糙面，面积不宜小于结合面的80%，凹凸深度不应小于6mm；</w:t>
      </w:r>
    </w:p>
    <w:p w14:paraId="13584907">
      <w:pPr>
        <w:spacing w:line="312" w:lineRule="auto"/>
        <w:ind w:firstLine="422" w:firstLineChars="200"/>
        <w:rPr>
          <w:color w:val="auto"/>
        </w:rPr>
      </w:pPr>
      <w:r>
        <w:rPr>
          <w:rFonts w:hint="eastAsia"/>
          <w:b/>
          <w:color w:val="auto"/>
        </w:rPr>
        <w:t>3</w:t>
      </w:r>
      <w:r>
        <w:rPr>
          <w:b/>
          <w:color w:val="auto"/>
        </w:rPr>
        <w:t xml:space="preserve">  </w:t>
      </w:r>
      <w:r>
        <w:rPr>
          <w:rFonts w:hint="eastAsia"/>
          <w:color w:val="auto"/>
        </w:rPr>
        <w:t>在边缘构件区域箍筋外侧与墙模之间的距离</w:t>
      </w:r>
      <w:r>
        <w:rPr>
          <w:rFonts w:hint="eastAsia"/>
          <w:i/>
          <w:iCs/>
          <w:color w:val="auto"/>
        </w:rPr>
        <w:t>a</w:t>
      </w:r>
      <w:r>
        <w:rPr>
          <w:rFonts w:hint="eastAsia"/>
          <w:color w:val="auto"/>
        </w:rPr>
        <w:t>不应小于1</w:t>
      </w:r>
      <w:r>
        <w:rPr>
          <w:color w:val="auto"/>
        </w:rPr>
        <w:t>0</w:t>
      </w:r>
      <w:r>
        <w:rPr>
          <w:rFonts w:hint="eastAsia"/>
          <w:color w:val="auto"/>
        </w:rPr>
        <w:t>mm，计入保护层的墙模与箍筋外侧间的距离</w:t>
      </w:r>
      <w:r>
        <w:rPr>
          <w:rFonts w:hint="eastAsia"/>
          <w:i/>
          <w:iCs/>
          <w:color w:val="auto"/>
        </w:rPr>
        <w:t>b</w:t>
      </w:r>
      <w:r>
        <w:rPr>
          <w:rFonts w:hint="eastAsia"/>
          <w:color w:val="auto"/>
        </w:rPr>
        <w:t>不应大于3</w:t>
      </w:r>
      <w:r>
        <w:rPr>
          <w:color w:val="auto"/>
        </w:rPr>
        <w:t>0</w:t>
      </w:r>
      <w:r>
        <w:rPr>
          <w:rFonts w:hint="eastAsia"/>
          <w:color w:val="auto"/>
        </w:rPr>
        <w:t>mm，并应按考虑墙模实际厚度进行包络设计；</w:t>
      </w:r>
    </w:p>
    <w:p w14:paraId="60BCA8D0">
      <w:pPr>
        <w:spacing w:line="312" w:lineRule="auto"/>
        <w:ind w:firstLine="422" w:firstLineChars="200"/>
        <w:rPr>
          <w:color w:val="auto"/>
        </w:rPr>
      </w:pPr>
      <w:r>
        <w:rPr>
          <w:rFonts w:hint="eastAsia"/>
          <w:b/>
          <w:color w:val="auto"/>
        </w:rPr>
        <w:t>4</w:t>
      </w:r>
      <w:r>
        <w:rPr>
          <w:b/>
          <w:color w:val="auto"/>
        </w:rPr>
        <w:t xml:space="preserve">  </w:t>
      </w:r>
      <w:r>
        <w:rPr>
          <w:rFonts w:hint="eastAsia"/>
          <w:color w:val="auto"/>
        </w:rPr>
        <w:t>现浇剪力墙截面厚度不应小于1</w:t>
      </w:r>
      <w:r>
        <w:rPr>
          <w:color w:val="auto"/>
        </w:rPr>
        <w:t>60</w:t>
      </w:r>
      <w:r>
        <w:rPr>
          <w:rFonts w:hint="eastAsia"/>
          <w:color w:val="auto"/>
        </w:rPr>
        <w:t>mm；</w:t>
      </w:r>
    </w:p>
    <w:p w14:paraId="2AFE8E47">
      <w:pPr>
        <w:spacing w:line="312" w:lineRule="auto"/>
        <w:ind w:firstLine="422" w:firstLineChars="200"/>
        <w:rPr>
          <w:color w:val="auto"/>
        </w:rPr>
      </w:pPr>
      <w:r>
        <w:rPr>
          <w:rFonts w:hint="eastAsia"/>
          <w:b/>
          <w:color w:val="auto"/>
        </w:rPr>
        <w:t>5</w:t>
      </w:r>
      <w:r>
        <w:rPr>
          <w:b/>
          <w:color w:val="auto"/>
        </w:rPr>
        <w:t xml:space="preserve">  </w:t>
      </w:r>
      <w:r>
        <w:rPr>
          <w:rFonts w:hint="eastAsia"/>
          <w:color w:val="auto"/>
        </w:rPr>
        <w:t>墙模的</w:t>
      </w:r>
      <w:r>
        <w:rPr>
          <w:color w:val="auto"/>
          <w:szCs w:val="21"/>
        </w:rPr>
        <w:t>分布钢筋直径不宜小于6mm，间距不宜大于150mm</w:t>
      </w:r>
      <w:r>
        <w:rPr>
          <w:rFonts w:hint="eastAsia"/>
          <w:color w:val="auto"/>
          <w:szCs w:val="21"/>
        </w:rPr>
        <w:t>，且墙模中的钢筋不应作为剪力墙的受力钢筋考虑；</w:t>
      </w:r>
    </w:p>
    <w:p w14:paraId="77F4B6A9">
      <w:pPr>
        <w:spacing w:line="312" w:lineRule="auto"/>
        <w:ind w:firstLine="422" w:firstLineChars="200"/>
        <w:rPr>
          <w:color w:val="auto"/>
        </w:rPr>
      </w:pPr>
      <w:r>
        <w:rPr>
          <w:rFonts w:hint="eastAsia"/>
          <w:b/>
          <w:color w:val="auto"/>
        </w:rPr>
        <w:t>6</w:t>
      </w:r>
      <w:r>
        <w:rPr>
          <w:b/>
          <w:color w:val="auto"/>
        </w:rPr>
        <w:t xml:space="preserve">  </w:t>
      </w:r>
      <w:r>
        <w:rPr>
          <w:rFonts w:hint="eastAsia"/>
          <w:color w:val="auto"/>
        </w:rPr>
        <w:t>墙模选用的混凝土强度等级不应低于现浇剪力墙的混凝土强度等级，且设计时应按现浇剪力墙的混凝土强度等级取值。</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2FD83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center"/>
          </w:tcPr>
          <w:p w14:paraId="575EE164">
            <w:pPr>
              <w:jc w:val="center"/>
              <w:rPr>
                <w:color w:val="auto"/>
              </w:rPr>
            </w:pPr>
            <w:r>
              <w:rPr>
                <w:color w:val="auto"/>
              </w:rPr>
              <w:drawing>
                <wp:inline distT="0" distB="0" distL="114300" distR="114300">
                  <wp:extent cx="2841625" cy="1440180"/>
                  <wp:effectExtent l="0" t="0" r="8255" b="7620"/>
                  <wp:docPr id="25" name="图片 25" descr="img_v3_02ku_46d406e8-8f81-4ba3-9acd-54ed56dd848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g_v3_02ku_46d406e8-8f81-4ba3-9acd-54ed56dd848g"/>
                          <pic:cNvPicPr>
                            <a:picLocks noChangeAspect="1"/>
                          </pic:cNvPicPr>
                        </pic:nvPicPr>
                        <pic:blipFill>
                          <a:blip r:embed="rId68"/>
                          <a:stretch>
                            <a:fillRect/>
                          </a:stretch>
                        </pic:blipFill>
                        <pic:spPr>
                          <a:xfrm>
                            <a:off x="0" y="0"/>
                            <a:ext cx="2841625" cy="1440180"/>
                          </a:xfrm>
                          <a:prstGeom prst="rect">
                            <a:avLst/>
                          </a:prstGeom>
                        </pic:spPr>
                      </pic:pic>
                    </a:graphicData>
                  </a:graphic>
                </wp:inline>
              </w:drawing>
            </w:r>
          </w:p>
        </w:tc>
      </w:tr>
    </w:tbl>
    <w:p w14:paraId="78DE5611">
      <w:pPr>
        <w:pStyle w:val="26"/>
        <w:rPr>
          <w:color w:val="auto"/>
        </w:rPr>
      </w:pPr>
      <w:r>
        <w:rPr>
          <w:color w:val="auto"/>
        </w:rPr>
        <w:t>图</w:t>
      </w:r>
      <w:r>
        <w:rPr>
          <w:b/>
          <w:color w:val="auto"/>
        </w:rPr>
        <w:t>6</w:t>
      </w:r>
      <w:r>
        <w:rPr>
          <w:rFonts w:ascii="宋体" w:hAnsi="宋体"/>
          <w:b/>
          <w:color w:val="auto"/>
        </w:rPr>
        <w:t>.</w:t>
      </w:r>
      <w:r>
        <w:rPr>
          <w:b/>
          <w:color w:val="auto"/>
        </w:rPr>
        <w:t>4</w:t>
      </w:r>
      <w:r>
        <w:rPr>
          <w:rFonts w:ascii="宋体" w:hAnsi="宋体"/>
          <w:b/>
          <w:color w:val="auto"/>
        </w:rPr>
        <w:t>.</w:t>
      </w:r>
      <w:r>
        <w:rPr>
          <w:b/>
          <w:color w:val="auto"/>
        </w:rPr>
        <w:t>1</w:t>
      </w:r>
      <w:r>
        <w:rPr>
          <w:rFonts w:hint="eastAsia"/>
          <w:b/>
          <w:color w:val="auto"/>
        </w:rPr>
        <w:t>2</w:t>
      </w:r>
      <w:r>
        <w:rPr>
          <w:color w:val="auto"/>
        </w:rPr>
        <w:t xml:space="preserve">  </w:t>
      </w:r>
      <w:r>
        <w:rPr>
          <w:rFonts w:hint="eastAsia"/>
          <w:color w:val="auto"/>
        </w:rPr>
        <w:t>边缘构件区域墙模保护层厚度示意图</w:t>
      </w:r>
    </w:p>
    <w:p w14:paraId="7CAD8822">
      <w:pPr>
        <w:pStyle w:val="26"/>
        <w:numPr>
          <w:ilvl w:val="255"/>
          <w:numId w:val="0"/>
        </w:numPr>
        <w:rPr>
          <w:color w:val="auto"/>
        </w:rPr>
      </w:pPr>
      <w:r>
        <w:rPr>
          <w:i/>
          <w:color w:val="auto"/>
        </w:rPr>
        <w:t>a</w:t>
      </w:r>
      <w:r>
        <w:rPr>
          <w:rFonts w:hint="eastAsia"/>
          <w:color w:val="auto"/>
        </w:rPr>
        <w:t>—箍筋外皮到墙模内侧的距离；</w:t>
      </w:r>
      <w:r>
        <w:rPr>
          <w:i/>
          <w:color w:val="auto"/>
        </w:rPr>
        <w:t>b</w:t>
      </w:r>
      <w:r>
        <w:rPr>
          <w:rFonts w:hint="eastAsia"/>
          <w:color w:val="auto"/>
        </w:rPr>
        <w:t>—钢筋保护层厚度计算值</w:t>
      </w:r>
    </w:p>
    <w:p w14:paraId="36397121">
      <w:pPr>
        <w:pStyle w:val="33"/>
        <w:rPr>
          <w:color w:val="auto"/>
        </w:rPr>
      </w:pPr>
      <w:r>
        <w:rPr>
          <w:rFonts w:hint="eastAsia" w:ascii="楷体" w:hAnsi="楷体" w:cs="楷体"/>
          <w:color w:val="auto"/>
          <w:szCs w:val="21"/>
        </w:rPr>
        <w:t>【条文说明】</w:t>
      </w:r>
      <w:r>
        <w:rPr>
          <w:color w:val="auto"/>
        </w:rPr>
        <w:t>模块化现浇结构中，箱模式模块单元的围护墙体部分可作为现浇结构的模板</w:t>
      </w:r>
      <w:r>
        <w:rPr>
          <w:rFonts w:hint="eastAsia"/>
          <w:color w:val="auto"/>
        </w:rPr>
        <w:t>。</w:t>
      </w:r>
      <w:r>
        <w:rPr>
          <w:color w:val="auto"/>
        </w:rPr>
        <w:t>当墙模上附加桁架钢筋或其他可靠连接与主体结构相连后，可通过试验研究等方式，论证其工作性能，考虑墙模作为剪力墙的一部分参与受力计算，从而减小墙模对室内使用空间压缩的影响</w:t>
      </w:r>
      <w:r>
        <w:rPr>
          <w:rFonts w:hint="eastAsia"/>
          <w:color w:val="auto"/>
        </w:rPr>
        <w:t>，但为了保证剪力墙边缘构件在大震下的性能，不过多减小箍筋包裹的混凝土范围，墙模不能全部计入混凝土保护层</w:t>
      </w:r>
      <w:r>
        <w:rPr>
          <w:color w:val="auto"/>
        </w:rPr>
        <w:t>。墙模内配筋与桁架钢筋构造示意如图</w:t>
      </w:r>
      <w:r>
        <w:rPr>
          <w:rFonts w:hint="eastAsia"/>
          <w:color w:val="auto"/>
        </w:rPr>
        <w:t>21</w:t>
      </w:r>
      <w:r>
        <w:rPr>
          <w:color w:val="auto"/>
        </w:rPr>
        <w:t>所示，其分布钢筋间距不宜大于1</w:t>
      </w:r>
      <w:r>
        <w:rPr>
          <w:rFonts w:hint="eastAsia"/>
          <w:color w:val="auto"/>
        </w:rPr>
        <w:t>5</w:t>
      </w:r>
      <w:r>
        <w:rPr>
          <w:color w:val="auto"/>
        </w:rPr>
        <w:t>0mm，主要为了保证墙模在起吊、安装、施工等临时状态下</w:t>
      </w:r>
      <w:r>
        <w:rPr>
          <w:rFonts w:hint="eastAsia"/>
          <w:color w:val="auto"/>
        </w:rPr>
        <w:t>有较好的</w:t>
      </w:r>
      <w:r>
        <w:rPr>
          <w:color w:val="auto"/>
        </w:rPr>
        <w:t>抗裂性能</w:t>
      </w:r>
      <w:r>
        <w:rPr>
          <w:rFonts w:hint="eastAsia"/>
          <w:color w:val="auto"/>
        </w:rPr>
        <w:t>。</w:t>
      </w:r>
    </w:p>
    <w:p w14:paraId="7A948368">
      <w:pPr>
        <w:pStyle w:val="33"/>
        <w:rPr>
          <w:color w:val="auto"/>
        </w:rPr>
      </w:pPr>
      <w:r>
        <w:rPr>
          <w:color w:val="auto"/>
        </w:rPr>
        <w:t>为</w:t>
      </w:r>
      <w:r>
        <w:rPr>
          <w:rFonts w:hint="eastAsia"/>
          <w:color w:val="auto"/>
        </w:rPr>
        <w:t>降低</w:t>
      </w:r>
      <w:r>
        <w:rPr>
          <w:color w:val="auto"/>
        </w:rPr>
        <w:t>模块</w:t>
      </w:r>
      <w:r>
        <w:rPr>
          <w:rFonts w:hint="eastAsia"/>
          <w:color w:val="auto"/>
        </w:rPr>
        <w:t>单元</w:t>
      </w:r>
      <w:r>
        <w:rPr>
          <w:color w:val="auto"/>
        </w:rPr>
        <w:t>重量，墙模、梁模及叠合板预制层的厚度尽可能</w:t>
      </w:r>
      <w:r>
        <w:rPr>
          <w:rFonts w:hint="eastAsia"/>
          <w:color w:val="auto"/>
        </w:rPr>
        <w:t>地</w:t>
      </w:r>
      <w:r>
        <w:rPr>
          <w:color w:val="auto"/>
        </w:rPr>
        <w:t>做小，因此可以采用一些高强度、高延性的混凝土材料，其中UHPC（超高性能混凝土）、ECC(高韧性混凝土)等纤维增强水泥基材料比较合适。如果应用于实际工程，需要补充此部分高性能混凝土的耐久性</w:t>
      </w:r>
      <w:r>
        <w:rPr>
          <w:rFonts w:hint="eastAsia"/>
          <w:color w:val="auto"/>
        </w:rPr>
        <w:t>试</w:t>
      </w:r>
      <w:r>
        <w:rPr>
          <w:color w:val="auto"/>
        </w:rPr>
        <w:t>验以及与普通混凝土共同工作的力学性能</w:t>
      </w:r>
      <w:r>
        <w:rPr>
          <w:rFonts w:hint="eastAsia"/>
          <w:color w:val="auto"/>
        </w:rPr>
        <w:t>试</w:t>
      </w:r>
      <w:r>
        <w:rPr>
          <w:color w:val="auto"/>
        </w:rPr>
        <w:t>验。</w:t>
      </w:r>
    </w:p>
    <w:p w14:paraId="1E0C4D7E">
      <w:pPr>
        <w:snapToGrid w:val="0"/>
        <w:jc w:val="center"/>
        <w:rPr>
          <w:color w:val="auto"/>
        </w:rPr>
      </w:pPr>
      <w:r>
        <w:rPr>
          <w:color w:val="auto"/>
        </w:rPr>
        <w:drawing>
          <wp:inline distT="0" distB="0" distL="0" distR="0">
            <wp:extent cx="2823845" cy="981075"/>
            <wp:effectExtent l="0" t="0" r="14605" b="952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69"/>
                    <a:srcRect t="10097" b="16284"/>
                    <a:stretch>
                      <a:fillRect/>
                    </a:stretch>
                  </pic:blipFill>
                  <pic:spPr>
                    <a:xfrm>
                      <a:off x="0" y="0"/>
                      <a:ext cx="2843280" cy="988380"/>
                    </a:xfrm>
                    <a:prstGeom prst="rect">
                      <a:avLst/>
                    </a:prstGeom>
                    <a:ln>
                      <a:noFill/>
                    </a:ln>
                  </pic:spPr>
                </pic:pic>
              </a:graphicData>
            </a:graphic>
          </wp:inline>
        </w:drawing>
      </w:r>
    </w:p>
    <w:p w14:paraId="5D77FBC8">
      <w:pPr>
        <w:pStyle w:val="26"/>
        <w:rPr>
          <w:rFonts w:eastAsia="楷体"/>
          <w:color w:val="auto"/>
          <w:sz w:val="21"/>
          <w:szCs w:val="24"/>
        </w:rPr>
      </w:pPr>
      <w:r>
        <w:rPr>
          <w:rFonts w:eastAsia="楷体"/>
          <w:color w:val="auto"/>
          <w:sz w:val="21"/>
          <w:szCs w:val="24"/>
        </w:rPr>
        <w:t>图</w:t>
      </w:r>
      <w:r>
        <w:rPr>
          <w:rFonts w:hint="eastAsia" w:eastAsia="楷体"/>
          <w:color w:val="auto"/>
          <w:sz w:val="21"/>
          <w:szCs w:val="24"/>
        </w:rPr>
        <w:t>21</w:t>
      </w:r>
      <w:r>
        <w:rPr>
          <w:rFonts w:eastAsia="楷体"/>
          <w:color w:val="auto"/>
          <w:sz w:val="21"/>
          <w:szCs w:val="24"/>
        </w:rPr>
        <w:t xml:space="preserve">  墙模钢筋构造示意图</w:t>
      </w:r>
    </w:p>
    <w:p w14:paraId="202E72D5">
      <w:pPr>
        <w:pStyle w:val="33"/>
        <w:rPr>
          <w:color w:val="auto"/>
        </w:rPr>
      </w:pPr>
      <w:r>
        <w:rPr>
          <w:color w:val="auto"/>
        </w:rPr>
        <w:t>中建海龙科技有限公司</w:t>
      </w:r>
      <w:r>
        <w:rPr>
          <w:rFonts w:hint="eastAsia"/>
          <w:color w:val="auto"/>
        </w:rPr>
        <w:t>和</w:t>
      </w:r>
      <w:r>
        <w:rPr>
          <w:color w:val="auto"/>
        </w:rPr>
        <w:t>安徽建筑大学对上述构造墙模进行了墙模剪力墙抗震性能试验，</w:t>
      </w:r>
      <w:r>
        <w:rPr>
          <w:rFonts w:hint="eastAsia"/>
          <w:color w:val="auto"/>
        </w:rPr>
        <w:t>见图22和图23，</w:t>
      </w:r>
      <w:r>
        <w:rPr>
          <w:color w:val="auto"/>
        </w:rPr>
        <w:t>试验结果表明：该剪力墙的破坏表现为剪力墙底部两侧混凝土压溃，墙模与后浇混凝土连接可靠，两者的位移变形基本一致，全程未出现连接界面的错动与分层，剪力墙极限位移角达到1/70，抗震性能良好。</w:t>
      </w:r>
    </w:p>
    <w:p w14:paraId="6E255EF8">
      <w:pPr>
        <w:snapToGrid w:val="0"/>
        <w:ind w:firstLine="420" w:firstLineChars="200"/>
        <w:jc w:val="center"/>
        <w:rPr>
          <w:color w:val="auto"/>
        </w:rPr>
      </w:pPr>
      <w:r>
        <w:rPr>
          <w:color w:val="auto"/>
        </w:rPr>
        <w:drawing>
          <wp:inline distT="0" distB="0" distL="0" distR="0">
            <wp:extent cx="2915285" cy="2186305"/>
            <wp:effectExtent l="0" t="0" r="18415" b="4445"/>
            <wp:docPr id="59" name="图片 59" descr="C:\Users\LENOVO\AppData\Local\Temp\WeChat Files\e565c26234618f6d596fd638db6eb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C:\Users\LENOVO\AppData\Local\Temp\WeChat Files\e565c26234618f6d596fd638db6eb55.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a:xfrm>
                      <a:off x="0" y="0"/>
                      <a:ext cx="2949307" cy="2211980"/>
                    </a:xfrm>
                    <a:prstGeom prst="rect">
                      <a:avLst/>
                    </a:prstGeom>
                    <a:noFill/>
                    <a:ln>
                      <a:noFill/>
                    </a:ln>
                  </pic:spPr>
                </pic:pic>
              </a:graphicData>
            </a:graphic>
          </wp:inline>
        </w:drawing>
      </w:r>
    </w:p>
    <w:p w14:paraId="5F46D62F">
      <w:pPr>
        <w:pStyle w:val="26"/>
        <w:spacing w:line="400" w:lineRule="exact"/>
        <w:rPr>
          <w:rFonts w:eastAsia="楷体"/>
          <w:color w:val="auto"/>
          <w:sz w:val="21"/>
          <w:szCs w:val="24"/>
        </w:rPr>
      </w:pPr>
      <w:r>
        <w:rPr>
          <w:rFonts w:eastAsia="楷体"/>
          <w:color w:val="auto"/>
          <w:sz w:val="21"/>
          <w:szCs w:val="24"/>
        </w:rPr>
        <w:t>图</w:t>
      </w:r>
      <w:r>
        <w:rPr>
          <w:rFonts w:hint="eastAsia" w:eastAsia="楷体"/>
          <w:color w:val="auto"/>
          <w:sz w:val="21"/>
          <w:szCs w:val="24"/>
        </w:rPr>
        <w:t>22</w:t>
      </w:r>
      <w:r>
        <w:rPr>
          <w:rFonts w:eastAsia="楷体"/>
          <w:color w:val="auto"/>
          <w:sz w:val="21"/>
          <w:szCs w:val="24"/>
        </w:rPr>
        <w:t xml:space="preserve">  墙模侧剪力墙试件破坏图</w:t>
      </w:r>
    </w:p>
    <w:p w14:paraId="251E501B">
      <w:pPr>
        <w:snapToGrid w:val="0"/>
        <w:jc w:val="center"/>
        <w:rPr>
          <w:color w:val="auto"/>
        </w:rPr>
      </w:pPr>
      <w:r>
        <w:rPr>
          <w:color w:val="auto"/>
        </w:rPr>
        <w:drawing>
          <wp:inline distT="0" distB="0" distL="0" distR="0">
            <wp:extent cx="2524125" cy="1981200"/>
            <wp:effectExtent l="0" t="0" r="952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2524125" cy="1981200"/>
                    </a:xfrm>
                    <a:prstGeom prst="rect">
                      <a:avLst/>
                    </a:prstGeom>
                    <a:noFill/>
                  </pic:spPr>
                </pic:pic>
              </a:graphicData>
            </a:graphic>
          </wp:inline>
        </w:drawing>
      </w:r>
    </w:p>
    <w:p w14:paraId="34F3B408">
      <w:pPr>
        <w:pStyle w:val="26"/>
        <w:spacing w:line="400" w:lineRule="exact"/>
        <w:rPr>
          <w:rFonts w:eastAsia="楷体"/>
          <w:color w:val="auto"/>
          <w:sz w:val="21"/>
          <w:szCs w:val="24"/>
        </w:rPr>
      </w:pPr>
      <w:r>
        <w:rPr>
          <w:rFonts w:eastAsia="楷体"/>
          <w:color w:val="auto"/>
          <w:sz w:val="21"/>
          <w:szCs w:val="24"/>
        </w:rPr>
        <w:t>图</w:t>
      </w:r>
      <w:r>
        <w:rPr>
          <w:rFonts w:hint="eastAsia" w:eastAsia="楷体"/>
          <w:color w:val="auto"/>
          <w:sz w:val="21"/>
          <w:szCs w:val="24"/>
        </w:rPr>
        <w:t>23</w:t>
      </w:r>
      <w:r>
        <w:rPr>
          <w:rFonts w:eastAsia="楷体"/>
          <w:color w:val="auto"/>
          <w:sz w:val="21"/>
          <w:szCs w:val="24"/>
        </w:rPr>
        <w:t xml:space="preserve">  墙模剪力墙滞回曲线</w:t>
      </w:r>
    </w:p>
    <w:p w14:paraId="6AFD0B03">
      <w:pPr>
        <w:pStyle w:val="33"/>
        <w:rPr>
          <w:color w:val="auto"/>
          <w:szCs w:val="24"/>
        </w:rPr>
      </w:pPr>
      <w:r>
        <w:rPr>
          <w:rFonts w:hint="eastAsia"/>
          <w:color w:val="auto"/>
        </w:rPr>
        <w:t>当模壳与现浇部分未设置可靠连接构造又未设置柔性隔离层，模壳不作为保护层参与结构受力计算，结构构件应进行包络设计。</w:t>
      </w:r>
    </w:p>
    <w:p w14:paraId="313ABD80">
      <w:pPr>
        <w:numPr>
          <w:ilvl w:val="0"/>
          <w:numId w:val="17"/>
        </w:numPr>
        <w:spacing w:line="312" w:lineRule="auto"/>
        <w:rPr>
          <w:color w:val="auto"/>
        </w:rPr>
      </w:pPr>
      <w:r>
        <w:rPr>
          <w:rFonts w:hint="eastAsia"/>
          <w:color w:val="auto"/>
        </w:rPr>
        <w:t>模块化现浇结构中侧面梁模作为梁的保护层参与受力计算时，应符合下列规定：</w:t>
      </w:r>
    </w:p>
    <w:p w14:paraId="096874CF">
      <w:pPr>
        <w:spacing w:line="312" w:lineRule="auto"/>
        <w:ind w:firstLine="422" w:firstLineChars="200"/>
        <w:rPr>
          <w:color w:val="auto"/>
        </w:rPr>
      </w:pPr>
      <w:r>
        <w:rPr>
          <w:b/>
          <w:color w:val="auto"/>
        </w:rPr>
        <w:t xml:space="preserve">1  </w:t>
      </w:r>
      <w:r>
        <w:rPr>
          <w:rFonts w:hint="eastAsia"/>
          <w:color w:val="auto"/>
        </w:rPr>
        <w:t>在梁端部箍筋加密区范围内，梁</w:t>
      </w:r>
      <w:r>
        <w:rPr>
          <w:color w:val="auto"/>
        </w:rPr>
        <w:t>模与现浇混凝土之间</w:t>
      </w:r>
      <w:r>
        <w:rPr>
          <w:rFonts w:hint="eastAsia"/>
          <w:color w:val="auto"/>
        </w:rPr>
        <w:t>应采用钢筋锚固或其他可靠方式进行连接，沿梁长度方向锚固点间距不宜大于45</w:t>
      </w:r>
      <w:r>
        <w:rPr>
          <w:color w:val="auto"/>
        </w:rPr>
        <w:t>0</w:t>
      </w:r>
      <w:r>
        <w:rPr>
          <w:rFonts w:hint="eastAsia"/>
          <w:color w:val="auto"/>
        </w:rPr>
        <w:t>mm；</w:t>
      </w:r>
    </w:p>
    <w:p w14:paraId="1B7041EF">
      <w:pPr>
        <w:spacing w:line="312" w:lineRule="auto"/>
        <w:ind w:firstLine="422" w:firstLineChars="200"/>
        <w:rPr>
          <w:color w:val="auto"/>
        </w:rPr>
      </w:pPr>
      <w:r>
        <w:rPr>
          <w:rFonts w:hint="eastAsia"/>
          <w:b/>
          <w:color w:val="auto"/>
        </w:rPr>
        <w:t>2</w:t>
      </w:r>
      <w:r>
        <w:rPr>
          <w:b/>
          <w:color w:val="auto"/>
        </w:rPr>
        <w:t xml:space="preserve">  </w:t>
      </w:r>
      <w:r>
        <w:rPr>
          <w:rFonts w:hint="eastAsia"/>
          <w:color w:val="auto"/>
          <w:szCs w:val="21"/>
        </w:rPr>
        <w:t>梁模的</w:t>
      </w:r>
      <w:r>
        <w:rPr>
          <w:color w:val="auto"/>
          <w:szCs w:val="21"/>
        </w:rPr>
        <w:t>分布钢筋直径不宜小于6mm，间距不宜大于150mm</w:t>
      </w:r>
      <w:r>
        <w:rPr>
          <w:rFonts w:hint="eastAsia"/>
          <w:color w:val="auto"/>
          <w:szCs w:val="21"/>
        </w:rPr>
        <w:t>，且</w:t>
      </w:r>
      <w:r>
        <w:rPr>
          <w:color w:val="auto"/>
          <w:szCs w:val="21"/>
        </w:rPr>
        <w:t>梁</w:t>
      </w:r>
      <w:r>
        <w:rPr>
          <w:rFonts w:hint="eastAsia"/>
          <w:color w:val="auto"/>
          <w:szCs w:val="21"/>
        </w:rPr>
        <w:t>模中的钢筋不应作为梁的受力钢筋考虑；</w:t>
      </w:r>
    </w:p>
    <w:p w14:paraId="57CCA0C4">
      <w:pPr>
        <w:spacing w:line="312" w:lineRule="auto"/>
        <w:ind w:firstLine="422" w:firstLineChars="200"/>
        <w:rPr>
          <w:color w:val="auto"/>
        </w:rPr>
      </w:pPr>
      <w:r>
        <w:rPr>
          <w:rFonts w:hint="eastAsia"/>
          <w:b/>
          <w:color w:val="auto"/>
        </w:rPr>
        <w:t>3</w:t>
      </w:r>
      <w:r>
        <w:rPr>
          <w:b/>
          <w:color w:val="auto"/>
        </w:rPr>
        <w:t xml:space="preserve">  </w:t>
      </w:r>
      <w:r>
        <w:rPr>
          <w:color w:val="auto"/>
          <w:szCs w:val="21"/>
        </w:rPr>
        <w:t>梁</w:t>
      </w:r>
      <w:r>
        <w:rPr>
          <w:rFonts w:hint="eastAsia"/>
          <w:color w:val="auto"/>
        </w:rPr>
        <w:t>模选用的混凝土强度等级不应低于现浇梁的混凝土强度等级，且设计时应按现浇梁的混凝土强度等级取值。</w:t>
      </w:r>
    </w:p>
    <w:p w14:paraId="010D745B">
      <w:pPr>
        <w:spacing w:line="312" w:lineRule="auto"/>
        <w:ind w:firstLine="420" w:firstLineChars="200"/>
        <w:rPr>
          <w:color w:val="auto"/>
        </w:rPr>
      </w:pPr>
    </w:p>
    <w:p w14:paraId="6CFAF0AD">
      <w:pPr>
        <w:spacing w:line="312" w:lineRule="auto"/>
        <w:rPr>
          <w:color w:val="auto"/>
        </w:rPr>
        <w:sectPr>
          <w:pgSz w:w="11906" w:h="16838"/>
          <w:pgMar w:top="1440" w:right="1800" w:bottom="1440" w:left="1800" w:header="851" w:footer="992" w:gutter="0"/>
          <w:cols w:space="425" w:num="1"/>
          <w:docGrid w:type="lines" w:linePitch="312" w:charSpace="0"/>
        </w:sectPr>
      </w:pPr>
    </w:p>
    <w:p w14:paraId="46AF1E91">
      <w:pPr>
        <w:pStyle w:val="2"/>
        <w:rPr>
          <w:color w:val="auto"/>
        </w:rPr>
      </w:pPr>
      <w:bookmarkStart w:id="208" w:name="_Toc12524"/>
      <w:bookmarkStart w:id="209" w:name="_Toc11914"/>
      <w:bookmarkStart w:id="210" w:name="_Toc12835"/>
      <w:bookmarkStart w:id="211" w:name="_Toc18823"/>
      <w:bookmarkStart w:id="212" w:name="_Toc886"/>
      <w:bookmarkStart w:id="213" w:name="_Toc25814"/>
      <w:bookmarkStart w:id="214" w:name="_Toc8557"/>
      <w:bookmarkStart w:id="215" w:name="_Toc1023"/>
      <w:bookmarkStart w:id="216" w:name="_Toc28718"/>
      <w:r>
        <w:rPr>
          <w:b/>
          <w:bCs/>
          <w:color w:val="auto"/>
        </w:rPr>
        <w:t>7</w:t>
      </w:r>
      <w:r>
        <w:rPr>
          <w:rFonts w:hint="eastAsia"/>
          <w:color w:val="auto"/>
        </w:rPr>
        <w:t xml:space="preserve">  </w:t>
      </w:r>
      <w:r>
        <w:rPr>
          <w:rFonts w:hint="eastAsia"/>
          <w:bCs/>
          <w:color w:val="auto"/>
        </w:rPr>
        <w:t>模块单元设计</w:t>
      </w:r>
      <w:bookmarkEnd w:id="208"/>
      <w:bookmarkEnd w:id="209"/>
      <w:bookmarkEnd w:id="210"/>
      <w:bookmarkEnd w:id="211"/>
      <w:bookmarkEnd w:id="212"/>
      <w:bookmarkEnd w:id="213"/>
      <w:bookmarkEnd w:id="214"/>
      <w:bookmarkEnd w:id="215"/>
      <w:bookmarkEnd w:id="216"/>
    </w:p>
    <w:p w14:paraId="1E993546">
      <w:pPr>
        <w:pStyle w:val="3"/>
        <w:rPr>
          <w:color w:val="auto"/>
        </w:rPr>
      </w:pPr>
      <w:bookmarkStart w:id="217" w:name="_Toc710"/>
      <w:bookmarkStart w:id="218" w:name="_Toc25629"/>
      <w:bookmarkStart w:id="219" w:name="_Toc30777"/>
      <w:bookmarkStart w:id="220" w:name="_Toc23558"/>
      <w:bookmarkStart w:id="221" w:name="_Toc27296"/>
      <w:bookmarkStart w:id="222" w:name="_Toc14386"/>
      <w:bookmarkStart w:id="223" w:name="_Toc31098"/>
      <w:bookmarkStart w:id="224" w:name="_Toc1754"/>
      <w:bookmarkStart w:id="225" w:name="_Toc18010"/>
      <w:r>
        <w:rPr>
          <w:b/>
          <w:bCs w:val="0"/>
          <w:color w:val="auto"/>
        </w:rPr>
        <w:t>7</w:t>
      </w:r>
      <w:r>
        <w:rPr>
          <w:rFonts w:hint="eastAsia"/>
          <w:b/>
          <w:bCs w:val="0"/>
          <w:color w:val="auto"/>
        </w:rPr>
        <w:t>.</w:t>
      </w:r>
      <w:r>
        <w:rPr>
          <w:b/>
          <w:bCs w:val="0"/>
          <w:color w:val="auto"/>
        </w:rPr>
        <w:t>1</w:t>
      </w:r>
      <w:r>
        <w:rPr>
          <w:rFonts w:hint="eastAsia"/>
          <w:color w:val="auto"/>
        </w:rPr>
        <w:t xml:space="preserve">  一般规定</w:t>
      </w:r>
      <w:bookmarkEnd w:id="217"/>
      <w:bookmarkEnd w:id="218"/>
      <w:bookmarkEnd w:id="219"/>
      <w:bookmarkEnd w:id="220"/>
      <w:bookmarkEnd w:id="221"/>
      <w:bookmarkEnd w:id="222"/>
      <w:bookmarkEnd w:id="223"/>
      <w:bookmarkEnd w:id="224"/>
      <w:bookmarkEnd w:id="225"/>
    </w:p>
    <w:p w14:paraId="7D47C68E">
      <w:pPr>
        <w:numPr>
          <w:ilvl w:val="0"/>
          <w:numId w:val="18"/>
        </w:numPr>
        <w:spacing w:line="312" w:lineRule="auto"/>
        <w:rPr>
          <w:color w:val="auto"/>
        </w:rPr>
      </w:pPr>
      <w:r>
        <w:rPr>
          <w:color w:val="auto"/>
        </w:rPr>
        <w:t>模块单元应进行短暂设计状况的验算</w:t>
      </w:r>
      <w:r>
        <w:rPr>
          <w:rFonts w:hint="eastAsia"/>
          <w:color w:val="auto"/>
        </w:rPr>
        <w:t>，</w:t>
      </w:r>
      <w:r>
        <w:rPr>
          <w:color w:val="auto"/>
        </w:rPr>
        <w:t>短暂设计状况的验算应符合国家现行标准《混凝土结构工程施工规范》GB 50666</w:t>
      </w:r>
      <w:r>
        <w:rPr>
          <w:rFonts w:hint="eastAsia"/>
          <w:color w:val="auto"/>
        </w:rPr>
        <w:t>、《建筑结构荷载规范》GB 50009和</w:t>
      </w:r>
      <w:r>
        <w:rPr>
          <w:color w:val="auto"/>
        </w:rPr>
        <w:t>《装配式混凝土结构技术规程》JGJ 1的规定。</w:t>
      </w:r>
    </w:p>
    <w:p w14:paraId="51035C71">
      <w:pPr>
        <w:numPr>
          <w:ilvl w:val="0"/>
          <w:numId w:val="18"/>
        </w:numPr>
        <w:spacing w:line="312" w:lineRule="auto"/>
        <w:rPr>
          <w:color w:val="auto"/>
        </w:rPr>
      </w:pPr>
      <w:r>
        <w:rPr>
          <w:color w:val="auto"/>
        </w:rPr>
        <w:t>模块单元的设计应符合下列规定：</w:t>
      </w:r>
    </w:p>
    <w:p w14:paraId="19973232">
      <w:pPr>
        <w:spacing w:line="312" w:lineRule="auto"/>
        <w:ind w:firstLine="422" w:firstLineChars="200"/>
        <w:rPr>
          <w:color w:val="auto"/>
          <w:szCs w:val="21"/>
        </w:rPr>
      </w:pPr>
      <w:r>
        <w:rPr>
          <w:b/>
          <w:bCs/>
          <w:color w:val="auto"/>
        </w:rPr>
        <w:t xml:space="preserve">1  </w:t>
      </w:r>
      <w:r>
        <w:rPr>
          <w:color w:val="auto"/>
          <w:szCs w:val="21"/>
        </w:rPr>
        <w:t>外形宜简单、规则，满足模数协调、标准化设计、规模化生产的要求；</w:t>
      </w:r>
    </w:p>
    <w:p w14:paraId="598FFCA2">
      <w:pPr>
        <w:spacing w:line="312" w:lineRule="auto"/>
        <w:ind w:firstLine="422" w:firstLineChars="200"/>
        <w:rPr>
          <w:color w:val="auto"/>
        </w:rPr>
      </w:pPr>
      <w:r>
        <w:rPr>
          <w:b/>
          <w:bCs/>
          <w:color w:val="auto"/>
          <w:szCs w:val="21"/>
        </w:rPr>
        <w:t xml:space="preserve">2  </w:t>
      </w:r>
      <w:r>
        <w:rPr>
          <w:color w:val="auto"/>
        </w:rPr>
        <w:t>宜整合外围护系统、内装系统和机电管线系统的功能需求；</w:t>
      </w:r>
    </w:p>
    <w:p w14:paraId="0D6FE7AA">
      <w:pPr>
        <w:spacing w:line="312" w:lineRule="auto"/>
        <w:ind w:firstLine="422" w:firstLineChars="200"/>
        <w:rPr>
          <w:color w:val="auto"/>
        </w:rPr>
      </w:pPr>
      <w:r>
        <w:rPr>
          <w:b/>
          <w:bCs/>
          <w:color w:val="auto"/>
        </w:rPr>
        <w:t xml:space="preserve">3  </w:t>
      </w:r>
      <w:r>
        <w:rPr>
          <w:rFonts w:hint="eastAsia"/>
          <w:color w:val="auto"/>
        </w:rPr>
        <w:t>刚度和强度应满足生产、运输、安装等的要求</w:t>
      </w:r>
      <w:r>
        <w:rPr>
          <w:color w:val="auto"/>
        </w:rPr>
        <w:t>。</w:t>
      </w:r>
    </w:p>
    <w:p w14:paraId="6D2BF6DD">
      <w:pPr>
        <w:numPr>
          <w:ilvl w:val="0"/>
          <w:numId w:val="18"/>
        </w:numPr>
        <w:spacing w:line="312" w:lineRule="auto"/>
        <w:rPr>
          <w:color w:val="auto"/>
        </w:rPr>
      </w:pPr>
      <w:r>
        <w:rPr>
          <w:rFonts w:hint="eastAsia"/>
          <w:color w:val="auto"/>
        </w:rPr>
        <w:t>模块单元尺寸</w:t>
      </w:r>
      <w:r>
        <w:rPr>
          <w:color w:val="auto"/>
        </w:rPr>
        <w:t>应根据建筑设计要求，并综合</w:t>
      </w:r>
      <w:r>
        <w:rPr>
          <w:rFonts w:hint="eastAsia"/>
          <w:color w:val="auto"/>
        </w:rPr>
        <w:t>生产</w:t>
      </w:r>
      <w:r>
        <w:rPr>
          <w:color w:val="auto"/>
        </w:rPr>
        <w:t>、吊装、运输等条件</w:t>
      </w:r>
      <w:r>
        <w:rPr>
          <w:rFonts w:hint="eastAsia"/>
          <w:color w:val="auto"/>
        </w:rPr>
        <w:t>确定；</w:t>
      </w:r>
      <w:r>
        <w:rPr>
          <w:color w:val="auto"/>
        </w:rPr>
        <w:t>模块单元宽度标志尺寸不宜</w:t>
      </w:r>
      <w:r>
        <w:rPr>
          <w:rFonts w:hint="eastAsia"/>
          <w:color w:val="auto"/>
        </w:rPr>
        <w:t>大于4.2</w:t>
      </w:r>
      <w:r>
        <w:rPr>
          <w:color w:val="auto"/>
        </w:rPr>
        <w:t>m，长度标志尺寸不宜</w:t>
      </w:r>
      <w:r>
        <w:rPr>
          <w:rFonts w:hint="eastAsia"/>
          <w:color w:val="auto"/>
        </w:rPr>
        <w:t>大于</w:t>
      </w:r>
      <w:r>
        <w:rPr>
          <w:color w:val="auto"/>
        </w:rPr>
        <w:t>12m，高度标志尺寸不宜</w:t>
      </w:r>
      <w:r>
        <w:rPr>
          <w:rFonts w:hint="eastAsia"/>
          <w:color w:val="auto"/>
        </w:rPr>
        <w:t>大于</w:t>
      </w:r>
      <w:r>
        <w:rPr>
          <w:color w:val="auto"/>
        </w:rPr>
        <w:t>4m。</w:t>
      </w:r>
    </w:p>
    <w:p w14:paraId="568AD76A">
      <w:pPr>
        <w:pStyle w:val="33"/>
        <w:rPr>
          <w:color w:val="auto"/>
          <w:szCs w:val="21"/>
        </w:rPr>
      </w:pPr>
      <w:r>
        <w:rPr>
          <w:color w:val="auto"/>
          <w:szCs w:val="21"/>
        </w:rPr>
        <w:t>【条文说明】</w:t>
      </w:r>
      <w:r>
        <w:rPr>
          <w:rFonts w:hint="eastAsia"/>
          <w:color w:val="auto"/>
          <w:szCs w:val="21"/>
        </w:rPr>
        <w:t>模块化建筑根据不同的建筑功能划分成标准化的模块单元，其常用在学校、酒店、住宅等建筑中，根据工程实践经验，学校类的建筑一般根据教室和走廊采用并列式的拆分，模块单元尺寸长度一般在12m以内，高度在4m，酒店和住宅根据开间拆分成的模块单元宽度尺寸一般在4.2m以内；常用的起重机械一般有塔式起重机、汽车起重机、履带起重机等方式，起重机械的选择应根据模块单元重量和尺寸综合考虑。</w:t>
      </w:r>
    </w:p>
    <w:p w14:paraId="5D064A3E">
      <w:pPr>
        <w:pStyle w:val="33"/>
        <w:rPr>
          <w:color w:val="auto"/>
        </w:rPr>
      </w:pPr>
      <w:r>
        <w:rPr>
          <w:rFonts w:hint="eastAsia"/>
          <w:color w:val="auto"/>
        </w:rPr>
        <w:t>因不同地区和项目位置对道路运输条件的要求不同，模块单元设计的尺寸除满足建筑功能拆分、生产和吊装需求外，尚应考虑运输条件的限制要求，</w:t>
      </w:r>
      <w:r>
        <w:rPr>
          <w:color w:val="auto"/>
        </w:rPr>
        <w:t>必须结合各地公路、桥梁等运输路线的具体情况给出尺寸建议。当模块单元尺寸超出运输要求时，应向交通运输部门进行报备，选择特殊时段、路段运输</w:t>
      </w:r>
      <w:r>
        <w:rPr>
          <w:rFonts w:hint="eastAsia"/>
          <w:color w:val="auto"/>
        </w:rPr>
        <w:t>或调整模块单元尺寸</w:t>
      </w:r>
      <w:r>
        <w:rPr>
          <w:color w:val="auto"/>
        </w:rPr>
        <w:t>。</w:t>
      </w:r>
    </w:p>
    <w:p w14:paraId="228857AE">
      <w:pPr>
        <w:numPr>
          <w:ilvl w:val="0"/>
          <w:numId w:val="18"/>
        </w:numPr>
        <w:spacing w:line="312" w:lineRule="auto"/>
        <w:rPr>
          <w:color w:val="auto"/>
        </w:rPr>
      </w:pPr>
      <w:r>
        <w:rPr>
          <w:color w:val="auto"/>
        </w:rPr>
        <w:t>模块单元中预埋吊件及临时支撑的施工验算应</w:t>
      </w:r>
      <w:r>
        <w:rPr>
          <w:rFonts w:hint="eastAsia"/>
          <w:color w:val="auto"/>
        </w:rPr>
        <w:t>符合</w:t>
      </w:r>
      <w:r>
        <w:rPr>
          <w:color w:val="auto"/>
        </w:rPr>
        <w:t>现行国家标准《混凝土结构工程施工规范》GB</w:t>
      </w:r>
      <w:r>
        <w:rPr>
          <w:rFonts w:hint="eastAsia"/>
          <w:color w:val="auto"/>
        </w:rPr>
        <w:t xml:space="preserve"> </w:t>
      </w:r>
      <w:r>
        <w:rPr>
          <w:color w:val="auto"/>
        </w:rPr>
        <w:t>50666的</w:t>
      </w:r>
      <w:r>
        <w:rPr>
          <w:rFonts w:hint="eastAsia"/>
          <w:color w:val="auto"/>
        </w:rPr>
        <w:t>规定</w:t>
      </w:r>
      <w:r>
        <w:rPr>
          <w:color w:val="auto"/>
        </w:rPr>
        <w:t>。</w:t>
      </w:r>
    </w:p>
    <w:p w14:paraId="6F38A7C2">
      <w:pPr>
        <w:pStyle w:val="3"/>
        <w:rPr>
          <w:color w:val="auto"/>
        </w:rPr>
      </w:pPr>
      <w:bookmarkStart w:id="226" w:name="_Toc31658"/>
      <w:bookmarkStart w:id="227" w:name="_Toc7086"/>
      <w:bookmarkStart w:id="228" w:name="_Toc2991"/>
      <w:bookmarkStart w:id="229" w:name="_Toc13338"/>
      <w:bookmarkStart w:id="230" w:name="_Toc19636"/>
      <w:bookmarkStart w:id="231" w:name="_Toc17296"/>
      <w:bookmarkStart w:id="232" w:name="_Toc5931"/>
      <w:bookmarkStart w:id="233" w:name="_Toc1775"/>
      <w:bookmarkStart w:id="234" w:name="_Toc12956"/>
      <w:r>
        <w:rPr>
          <w:b/>
          <w:bCs w:val="0"/>
          <w:color w:val="auto"/>
        </w:rPr>
        <w:t>7</w:t>
      </w:r>
      <w:r>
        <w:rPr>
          <w:rFonts w:hint="eastAsia"/>
          <w:b/>
          <w:bCs w:val="0"/>
          <w:color w:val="auto"/>
        </w:rPr>
        <w:t>.</w:t>
      </w:r>
      <w:r>
        <w:rPr>
          <w:b/>
          <w:bCs w:val="0"/>
          <w:color w:val="auto"/>
        </w:rPr>
        <w:t>2</w:t>
      </w:r>
      <w:r>
        <w:rPr>
          <w:rFonts w:hint="eastAsia"/>
          <w:color w:val="auto"/>
        </w:rPr>
        <w:t xml:space="preserve">  短暂设计状况的验算</w:t>
      </w:r>
      <w:bookmarkEnd w:id="226"/>
      <w:bookmarkEnd w:id="227"/>
      <w:bookmarkEnd w:id="228"/>
      <w:bookmarkEnd w:id="229"/>
      <w:bookmarkEnd w:id="230"/>
      <w:bookmarkEnd w:id="231"/>
      <w:bookmarkEnd w:id="232"/>
      <w:bookmarkEnd w:id="233"/>
      <w:bookmarkEnd w:id="234"/>
    </w:p>
    <w:p w14:paraId="2665C75E">
      <w:pPr>
        <w:numPr>
          <w:ilvl w:val="0"/>
          <w:numId w:val="19"/>
        </w:numPr>
        <w:spacing w:line="312" w:lineRule="auto"/>
        <w:rPr>
          <w:color w:val="auto"/>
        </w:rPr>
      </w:pPr>
      <w:r>
        <w:rPr>
          <w:color w:val="auto"/>
        </w:rPr>
        <w:t>模块单元短暂设计状况</w:t>
      </w:r>
      <w:r>
        <w:rPr>
          <w:rFonts w:hint="eastAsia"/>
          <w:color w:val="auto"/>
        </w:rPr>
        <w:t>应包含</w:t>
      </w:r>
      <w:r>
        <w:rPr>
          <w:color w:val="auto"/>
        </w:rPr>
        <w:t>脱模、运输、存放、吊装、安装、施工等工况，</w:t>
      </w:r>
      <w:r>
        <w:rPr>
          <w:rFonts w:hint="eastAsia"/>
          <w:color w:val="auto"/>
        </w:rPr>
        <w:t>并</w:t>
      </w:r>
      <w:r>
        <w:rPr>
          <w:color w:val="auto"/>
        </w:rPr>
        <w:t>应符合</w:t>
      </w:r>
      <w:r>
        <w:rPr>
          <w:rFonts w:hint="eastAsia"/>
          <w:color w:val="auto"/>
        </w:rPr>
        <w:t>下列规定</w:t>
      </w:r>
      <w:r>
        <w:rPr>
          <w:color w:val="auto"/>
        </w:rPr>
        <w:t>：</w:t>
      </w:r>
    </w:p>
    <w:p w14:paraId="1D92BBA1">
      <w:pPr>
        <w:spacing w:line="312" w:lineRule="auto"/>
        <w:ind w:firstLine="422" w:firstLineChars="200"/>
        <w:rPr>
          <w:color w:val="auto"/>
        </w:rPr>
      </w:pPr>
      <w:r>
        <w:rPr>
          <w:rFonts w:eastAsia="黑体"/>
          <w:b/>
          <w:color w:val="auto"/>
        </w:rPr>
        <w:t xml:space="preserve">1  </w:t>
      </w:r>
      <w:r>
        <w:rPr>
          <w:rFonts w:hint="eastAsia"/>
          <w:color w:val="auto"/>
        </w:rPr>
        <w:t>应对</w:t>
      </w:r>
      <w:r>
        <w:rPr>
          <w:color w:val="auto"/>
        </w:rPr>
        <w:t>模块单元</w:t>
      </w:r>
      <w:r>
        <w:rPr>
          <w:rFonts w:hint="eastAsia"/>
          <w:color w:val="auto"/>
        </w:rPr>
        <w:t>进行</w:t>
      </w:r>
      <w:r>
        <w:rPr>
          <w:color w:val="auto"/>
        </w:rPr>
        <w:t>整体</w:t>
      </w:r>
      <w:r>
        <w:rPr>
          <w:rFonts w:hint="eastAsia"/>
          <w:color w:val="auto"/>
        </w:rPr>
        <w:t>稳定性</w:t>
      </w:r>
      <w:r>
        <w:rPr>
          <w:color w:val="auto"/>
        </w:rPr>
        <w:t>分析；</w:t>
      </w:r>
    </w:p>
    <w:p w14:paraId="4BE4B817">
      <w:pPr>
        <w:spacing w:line="312" w:lineRule="auto"/>
        <w:ind w:firstLine="422" w:firstLineChars="200"/>
        <w:rPr>
          <w:b/>
          <w:color w:val="auto"/>
        </w:rPr>
      </w:pPr>
      <w:r>
        <w:rPr>
          <w:rFonts w:eastAsia="黑体"/>
          <w:b/>
          <w:color w:val="auto"/>
        </w:rPr>
        <w:t xml:space="preserve">2  </w:t>
      </w:r>
      <w:r>
        <w:rPr>
          <w:color w:val="auto"/>
        </w:rPr>
        <w:t>框架式模块</w:t>
      </w:r>
      <w:r>
        <w:rPr>
          <w:rFonts w:hint="eastAsia"/>
          <w:color w:val="auto"/>
        </w:rPr>
        <w:t>应对</w:t>
      </w:r>
      <w:r>
        <w:rPr>
          <w:color w:val="auto"/>
        </w:rPr>
        <w:t>梁、柱、顶板</w:t>
      </w:r>
      <w:r>
        <w:rPr>
          <w:rFonts w:hint="eastAsia"/>
          <w:color w:val="auto"/>
        </w:rPr>
        <w:t>、</w:t>
      </w:r>
      <w:r>
        <w:rPr>
          <w:color w:val="auto"/>
        </w:rPr>
        <w:t>非承重墙体</w:t>
      </w:r>
      <w:r>
        <w:rPr>
          <w:rFonts w:hint="eastAsia"/>
          <w:color w:val="auto"/>
        </w:rPr>
        <w:t>、</w:t>
      </w:r>
      <w:r>
        <w:rPr>
          <w:color w:val="auto"/>
        </w:rPr>
        <w:t>底板</w:t>
      </w:r>
      <w:r>
        <w:rPr>
          <w:rFonts w:hint="eastAsia"/>
          <w:color w:val="auto"/>
        </w:rPr>
        <w:t>进行强度验算；</w:t>
      </w:r>
    </w:p>
    <w:p w14:paraId="5344EA34">
      <w:pPr>
        <w:spacing w:line="312" w:lineRule="auto"/>
        <w:ind w:firstLine="422" w:firstLineChars="200"/>
        <w:rPr>
          <w:rFonts w:eastAsia="仿宋"/>
          <w:color w:val="auto"/>
        </w:rPr>
      </w:pPr>
      <w:r>
        <w:rPr>
          <w:rFonts w:hint="eastAsia"/>
          <w:b/>
          <w:color w:val="auto"/>
        </w:rPr>
        <w:t>3</w:t>
      </w:r>
      <w:r>
        <w:rPr>
          <w:rFonts w:hint="eastAsia"/>
          <w:bCs/>
          <w:color w:val="auto"/>
        </w:rPr>
        <w:t xml:space="preserve">  </w:t>
      </w:r>
      <w:r>
        <w:rPr>
          <w:color w:val="auto"/>
        </w:rPr>
        <w:t>箱模式模块</w:t>
      </w:r>
      <w:r>
        <w:rPr>
          <w:rFonts w:hint="eastAsia"/>
          <w:color w:val="auto"/>
        </w:rPr>
        <w:t>应对</w:t>
      </w:r>
      <w:r>
        <w:rPr>
          <w:color w:val="auto"/>
        </w:rPr>
        <w:t>顶板</w:t>
      </w:r>
      <w:r>
        <w:rPr>
          <w:rFonts w:hint="eastAsia"/>
          <w:color w:val="auto"/>
        </w:rPr>
        <w:t>、</w:t>
      </w:r>
      <w:r>
        <w:rPr>
          <w:color w:val="auto"/>
        </w:rPr>
        <w:t>非承重墙体、底板</w:t>
      </w:r>
      <w:r>
        <w:rPr>
          <w:rFonts w:hint="eastAsia"/>
          <w:color w:val="auto"/>
        </w:rPr>
        <w:t>进行强度验算；</w:t>
      </w:r>
    </w:p>
    <w:p w14:paraId="16DF81A4">
      <w:pPr>
        <w:spacing w:line="312" w:lineRule="auto"/>
        <w:ind w:firstLine="422" w:firstLineChars="200"/>
        <w:rPr>
          <w:color w:val="auto"/>
        </w:rPr>
      </w:pPr>
      <w:r>
        <w:rPr>
          <w:rFonts w:hint="eastAsia"/>
          <w:b/>
          <w:bCs/>
          <w:color w:val="auto"/>
        </w:rPr>
        <w:t>4</w:t>
      </w:r>
      <w:r>
        <w:rPr>
          <w:color w:val="auto"/>
        </w:rPr>
        <w:t xml:space="preserve">  </w:t>
      </w:r>
      <w:r>
        <w:rPr>
          <w:rFonts w:hint="eastAsia"/>
          <w:color w:val="auto"/>
        </w:rPr>
        <w:t>必要时应对箱模式模块整体进行有限元分析，验算其强度和局部稳定性。</w:t>
      </w:r>
    </w:p>
    <w:p w14:paraId="59BC5C6D">
      <w:pPr>
        <w:pStyle w:val="33"/>
        <w:rPr>
          <w:color w:val="auto"/>
        </w:rPr>
      </w:pPr>
      <w:r>
        <w:rPr>
          <w:rFonts w:hint="eastAsia" w:ascii="楷体" w:hAnsi="楷体" w:cs="楷体"/>
          <w:color w:val="auto"/>
          <w:szCs w:val="21"/>
        </w:rPr>
        <w:t>【条文说明】</w:t>
      </w:r>
      <w:r>
        <w:rPr>
          <w:rFonts w:hint="eastAsia"/>
          <w:color w:val="auto"/>
        </w:rPr>
        <w:t>短暂设计状况的设计计算是模块单元进行设计计算的重要内容。在某些特定的条件下，组成模块单元构件的截面设计，可能会由短暂设计状况起到控制作用，因此不可忽略这部分计算分析。模块单元在进行短暂状况验算时，需考虑不同工况下的受力情况和支撑约束点的布置情况，并进行空间体系的整体分析。</w:t>
      </w:r>
    </w:p>
    <w:p w14:paraId="75A3493C">
      <w:pPr>
        <w:pStyle w:val="33"/>
        <w:ind w:firstLineChars="0"/>
        <w:rPr>
          <w:rFonts w:eastAsia="宋体"/>
          <w:color w:val="auto"/>
        </w:rPr>
      </w:pPr>
      <w:r>
        <w:rPr>
          <w:rFonts w:hint="eastAsia"/>
          <w:color w:val="auto"/>
        </w:rPr>
        <w:t>在模块单元短暂设计状况的计算分析中，应特别注意，某些在使用设计状况下是非承重的构件，而在短暂设计状况中，却成为保持模块单元稳定性和整体性的重要构件，例如非承重的外围护墙板和某些内隔墙板。</w:t>
      </w:r>
    </w:p>
    <w:p w14:paraId="615F196E">
      <w:pPr>
        <w:numPr>
          <w:ilvl w:val="0"/>
          <w:numId w:val="19"/>
        </w:numPr>
        <w:spacing w:line="312" w:lineRule="auto"/>
        <w:rPr>
          <w:color w:val="auto"/>
        </w:rPr>
      </w:pPr>
      <w:r>
        <w:rPr>
          <w:color w:val="auto"/>
        </w:rPr>
        <w:t>模块单元在进行短暂设计状况验算时，荷载标准值的取值应符合下列规定：</w:t>
      </w:r>
    </w:p>
    <w:p w14:paraId="2602F1E9">
      <w:pPr>
        <w:spacing w:line="312" w:lineRule="auto"/>
        <w:ind w:firstLine="422" w:firstLineChars="200"/>
        <w:rPr>
          <w:color w:val="auto"/>
        </w:rPr>
      </w:pPr>
      <w:r>
        <w:rPr>
          <w:b/>
          <w:color w:val="auto"/>
        </w:rPr>
        <w:t xml:space="preserve">1  </w:t>
      </w:r>
      <w:r>
        <w:rPr>
          <w:color w:val="auto"/>
        </w:rPr>
        <w:t>模块单元应能够承担自身的重力荷载。此时，</w:t>
      </w:r>
      <w:r>
        <w:rPr>
          <w:rFonts w:hint="eastAsia"/>
          <w:color w:val="auto"/>
        </w:rPr>
        <w:t>构件等效静力荷载标准值应取构件自重标准值乘以动力系数</w:t>
      </w:r>
      <w:r>
        <w:rPr>
          <w:color w:val="auto"/>
        </w:rPr>
        <w:t>。构件运输、吊运时，动力系数宜取1.5；构件储存、安装过程中就位、临时固定时，动力系数可取1.2；</w:t>
      </w:r>
    </w:p>
    <w:p w14:paraId="063F0848">
      <w:pPr>
        <w:spacing w:line="312" w:lineRule="auto"/>
        <w:ind w:firstLine="422" w:firstLineChars="200"/>
        <w:rPr>
          <w:color w:val="auto"/>
        </w:rPr>
      </w:pPr>
      <w:r>
        <w:rPr>
          <w:b/>
          <w:color w:val="auto"/>
        </w:rPr>
        <w:t xml:space="preserve">2  </w:t>
      </w:r>
      <w:r>
        <w:rPr>
          <w:color w:val="auto"/>
        </w:rPr>
        <w:t>作用在模块单元上的风荷载，应</w:t>
      </w:r>
      <w:r>
        <w:rPr>
          <w:rFonts w:hint="eastAsia"/>
          <w:color w:val="auto"/>
        </w:rPr>
        <w:t>符合</w:t>
      </w:r>
      <w:r>
        <w:rPr>
          <w:color w:val="auto"/>
        </w:rPr>
        <w:t>现行国家标准《建筑结构荷载规范》GB 50009的规定，取重现期R为10年的基本风压值；</w:t>
      </w:r>
    </w:p>
    <w:p w14:paraId="21F1CEAD">
      <w:pPr>
        <w:spacing w:line="312" w:lineRule="auto"/>
        <w:ind w:firstLine="422" w:firstLineChars="200"/>
        <w:rPr>
          <w:color w:val="auto"/>
        </w:rPr>
      </w:pPr>
      <w:r>
        <w:rPr>
          <w:b/>
          <w:color w:val="auto"/>
        </w:rPr>
        <w:t xml:space="preserve">3  </w:t>
      </w:r>
      <w:r>
        <w:rPr>
          <w:color w:val="auto"/>
        </w:rPr>
        <w:t>模块单元的顶板和底板尚应考虑在</w:t>
      </w:r>
      <w:r>
        <w:rPr>
          <w:rFonts w:hint="eastAsia"/>
          <w:color w:val="auto"/>
        </w:rPr>
        <w:t>生产</w:t>
      </w:r>
      <w:r>
        <w:rPr>
          <w:color w:val="auto"/>
        </w:rPr>
        <w:t>、施工</w:t>
      </w:r>
      <w:r>
        <w:rPr>
          <w:rFonts w:hint="eastAsia"/>
          <w:color w:val="auto"/>
        </w:rPr>
        <w:t>安装</w:t>
      </w:r>
      <w:r>
        <w:rPr>
          <w:color w:val="auto"/>
        </w:rPr>
        <w:t>过程中</w:t>
      </w:r>
      <w:r>
        <w:rPr>
          <w:rFonts w:hint="eastAsia"/>
          <w:color w:val="auto"/>
        </w:rPr>
        <w:t>产生的施工活荷载</w:t>
      </w:r>
      <w:r>
        <w:rPr>
          <w:color w:val="auto"/>
        </w:rPr>
        <w:t>。</w:t>
      </w:r>
    </w:p>
    <w:p w14:paraId="145E66D6">
      <w:pPr>
        <w:numPr>
          <w:ilvl w:val="0"/>
          <w:numId w:val="19"/>
        </w:numPr>
        <w:spacing w:line="312" w:lineRule="auto"/>
        <w:rPr>
          <w:color w:val="auto"/>
        </w:rPr>
      </w:pPr>
      <w:r>
        <w:rPr>
          <w:rFonts w:hint="eastAsia"/>
          <w:color w:val="auto"/>
        </w:rPr>
        <w:t>模块单元应进行吊点受力计算，并应符合下列规定：</w:t>
      </w:r>
    </w:p>
    <w:p w14:paraId="098B24A6">
      <w:pPr>
        <w:spacing w:line="312" w:lineRule="auto"/>
        <w:ind w:firstLine="422" w:firstLineChars="200"/>
        <w:rPr>
          <w:color w:val="auto"/>
        </w:rPr>
      </w:pPr>
      <w:r>
        <w:rPr>
          <w:b/>
          <w:color w:val="auto"/>
        </w:rPr>
        <w:t xml:space="preserve">1  </w:t>
      </w:r>
      <w:r>
        <w:rPr>
          <w:color w:val="auto"/>
        </w:rPr>
        <w:t>吊点</w:t>
      </w:r>
      <w:r>
        <w:rPr>
          <w:rFonts w:hint="eastAsia"/>
          <w:color w:val="auto"/>
        </w:rPr>
        <w:t>布</w:t>
      </w:r>
      <w:r>
        <w:rPr>
          <w:color w:val="auto"/>
        </w:rPr>
        <w:t>置前应</w:t>
      </w:r>
      <w:r>
        <w:rPr>
          <w:rFonts w:hint="eastAsia"/>
          <w:color w:val="auto"/>
        </w:rPr>
        <w:t>确定</w:t>
      </w:r>
      <w:r>
        <w:rPr>
          <w:color w:val="auto"/>
        </w:rPr>
        <w:t>模块</w:t>
      </w:r>
      <w:r>
        <w:rPr>
          <w:rFonts w:hint="eastAsia"/>
          <w:color w:val="auto"/>
        </w:rPr>
        <w:t>单元</w:t>
      </w:r>
      <w:r>
        <w:rPr>
          <w:color w:val="auto"/>
        </w:rPr>
        <w:t>重心；</w:t>
      </w:r>
    </w:p>
    <w:p w14:paraId="73CDC1ED">
      <w:pPr>
        <w:spacing w:line="312" w:lineRule="auto"/>
        <w:ind w:firstLine="422" w:firstLineChars="200"/>
        <w:rPr>
          <w:color w:val="auto"/>
        </w:rPr>
      </w:pPr>
      <w:r>
        <w:rPr>
          <w:b/>
          <w:color w:val="auto"/>
        </w:rPr>
        <w:t xml:space="preserve">2  </w:t>
      </w:r>
      <w:r>
        <w:rPr>
          <w:color w:val="auto"/>
        </w:rPr>
        <w:t>吊点宜布置于模块</w:t>
      </w:r>
      <w:r>
        <w:rPr>
          <w:rFonts w:hint="eastAsia"/>
          <w:color w:val="auto"/>
        </w:rPr>
        <w:t>单元</w:t>
      </w:r>
      <w:r>
        <w:rPr>
          <w:color w:val="auto"/>
        </w:rPr>
        <w:t>重心周边竖向构件顶部</w:t>
      </w:r>
      <w:r>
        <w:rPr>
          <w:rFonts w:hint="eastAsia"/>
          <w:color w:val="auto"/>
        </w:rPr>
        <w:t>，</w:t>
      </w:r>
      <w:r>
        <w:rPr>
          <w:color w:val="auto"/>
        </w:rPr>
        <w:t>数量</w:t>
      </w:r>
      <w:r>
        <w:rPr>
          <w:rFonts w:hint="eastAsia"/>
          <w:color w:val="auto"/>
        </w:rPr>
        <w:t>不</w:t>
      </w:r>
      <w:r>
        <w:rPr>
          <w:color w:val="auto"/>
        </w:rPr>
        <w:t>应</w:t>
      </w:r>
      <w:r>
        <w:rPr>
          <w:rFonts w:hint="eastAsia"/>
          <w:color w:val="auto"/>
        </w:rPr>
        <w:t>少于四</w:t>
      </w:r>
      <w:r>
        <w:rPr>
          <w:color w:val="auto"/>
        </w:rPr>
        <w:t>个</w:t>
      </w:r>
      <w:r>
        <w:rPr>
          <w:rFonts w:hint="eastAsia"/>
          <w:color w:val="auto"/>
        </w:rPr>
        <w:t>，应</w:t>
      </w:r>
      <w:r>
        <w:rPr>
          <w:color w:val="auto"/>
        </w:rPr>
        <w:t>避开门窗洞口顶部等薄弱处布置</w:t>
      </w:r>
      <w:r>
        <w:rPr>
          <w:rFonts w:hint="eastAsia"/>
          <w:color w:val="auto"/>
        </w:rPr>
        <w:t>。</w:t>
      </w:r>
    </w:p>
    <w:p w14:paraId="62B6F354">
      <w:pPr>
        <w:pStyle w:val="33"/>
        <w:rPr>
          <w:color w:val="auto"/>
        </w:rPr>
      </w:pPr>
      <w:r>
        <w:rPr>
          <w:rFonts w:hint="eastAsia" w:ascii="楷体" w:hAnsi="楷体" w:cs="楷体"/>
          <w:color w:val="auto"/>
          <w:szCs w:val="21"/>
        </w:rPr>
        <w:t>【条文说明】</w:t>
      </w:r>
      <w:r>
        <w:rPr>
          <w:rFonts w:hint="eastAsia"/>
          <w:color w:val="auto"/>
        </w:rPr>
        <w:t>模块单元起吊吊点布置应确保所有吊点都能工作，若有吊点布置不合理，会出现吊点不受力，导致吊点计算结果错误。模块起吊吊点布置宜避免吊点不受力，若出现吊点不受力状况，说明吊点布置不合理，应予以调整，直至所布置吊点全部受拉。吊点力计算应考虑均匀受力情况下其合力作用线可能会与模块单元重心存在偏心情况，吊点力计算时应考虑该偏心距的影响，见图24。具体计算可参考如下方式：</w:t>
      </w:r>
    </w:p>
    <w:p w14:paraId="79569622">
      <w:pPr>
        <w:snapToGrid w:val="0"/>
        <w:ind w:firstLine="420" w:firstLineChars="200"/>
        <w:jc w:val="center"/>
        <w:rPr>
          <w:color w:val="auto"/>
        </w:rPr>
      </w:pPr>
      <w:r>
        <w:rPr>
          <w:color w:val="auto"/>
        </w:rPr>
        <w:drawing>
          <wp:inline distT="0" distB="0" distL="0" distR="0">
            <wp:extent cx="3234690" cy="1727835"/>
            <wp:effectExtent l="0" t="0" r="3810" b="5715"/>
            <wp:docPr id="6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3234690" cy="1727835"/>
                    </a:xfrm>
                    <a:prstGeom prst="rect">
                      <a:avLst/>
                    </a:prstGeom>
                    <a:noFill/>
                    <a:ln>
                      <a:noFill/>
                    </a:ln>
                  </pic:spPr>
                </pic:pic>
              </a:graphicData>
            </a:graphic>
          </wp:inline>
        </w:drawing>
      </w:r>
    </w:p>
    <w:p w14:paraId="39F885C1">
      <w:pPr>
        <w:pStyle w:val="26"/>
        <w:rPr>
          <w:rFonts w:eastAsia="楷体"/>
          <w:color w:val="auto"/>
          <w:sz w:val="21"/>
          <w:szCs w:val="24"/>
        </w:rPr>
      </w:pPr>
      <w:r>
        <w:rPr>
          <w:rFonts w:eastAsia="楷体"/>
          <w:color w:val="auto"/>
          <w:sz w:val="21"/>
          <w:szCs w:val="24"/>
        </w:rPr>
        <w:t>图</w:t>
      </w:r>
      <w:r>
        <w:rPr>
          <w:rFonts w:hint="eastAsia" w:eastAsia="楷体"/>
          <w:color w:val="auto"/>
          <w:sz w:val="21"/>
          <w:szCs w:val="24"/>
        </w:rPr>
        <w:t>24</w:t>
      </w:r>
      <w:r>
        <w:rPr>
          <w:rFonts w:eastAsia="楷体"/>
          <w:color w:val="auto"/>
          <w:sz w:val="21"/>
          <w:szCs w:val="24"/>
        </w:rPr>
        <w:t xml:space="preserve">  模块单元吊点布置示意图</w:t>
      </w:r>
    </w:p>
    <w:p w14:paraId="52E49465">
      <w:pPr>
        <w:pStyle w:val="33"/>
        <w:rPr>
          <w:color w:val="auto"/>
        </w:rPr>
      </w:pPr>
      <w:r>
        <w:rPr>
          <w:rFonts w:hint="eastAsia"/>
          <w:color w:val="auto"/>
        </w:rPr>
        <w:t>各吊点力计算公式应符合下列规定：</w:t>
      </w:r>
    </w:p>
    <w:p w14:paraId="5E3E5694">
      <w:pPr>
        <w:rPr>
          <w:color w:val="auto"/>
        </w:rPr>
      </w:pPr>
      <m:oMathPara>
        <m:oMathParaPr>
          <m:jc m:val="center"/>
        </m:oMathParaPr>
        <m:oMath>
          <m:sSub>
            <m:sSubPr>
              <m:ctrlPr>
                <w:rPr>
                  <w:rFonts w:ascii="Cambria Math" w:hAnsi="Cambria Math"/>
                  <w:i/>
                  <w:color w:val="auto"/>
                </w:rPr>
              </m:ctrlPr>
            </m:sSubPr>
            <m:e>
              <m:r>
                <m:rPr>
                  <m:nor/>
                </m:rPr>
                <w:rPr>
                  <w:i/>
                  <w:color w:val="auto"/>
                </w:rPr>
                <m:t>X</m:t>
              </m:r>
              <m:ctrlPr>
                <w:rPr>
                  <w:rFonts w:ascii="Cambria Math" w:hAnsi="Cambria Math"/>
                  <w:i/>
                  <w:color w:val="auto"/>
                </w:rPr>
              </m:ctrlPr>
            </m:e>
            <m:sub>
              <m:r>
                <m:rPr>
                  <m:nor/>
                  <m:sty m:val="p"/>
                </m:rPr>
                <w:rPr>
                  <w:color w:val="auto"/>
                </w:rPr>
                <m:t>r</m:t>
              </m:r>
              <m:ctrlPr>
                <w:rPr>
                  <w:rFonts w:ascii="Cambria Math" w:hAnsi="Cambria Math"/>
                  <w:i/>
                  <w:color w:val="auto"/>
                </w:rPr>
              </m:ctrlPr>
            </m:sub>
          </m:sSub>
          <m:r>
            <m:rPr>
              <m:nor/>
              <m:sty m:val="p"/>
            </m:rPr>
            <w:rPr>
              <w:color w:val="auto"/>
            </w:rPr>
            <m:t>=</m:t>
          </m:r>
          <m:f>
            <m:fPr>
              <m:ctrlPr>
                <w:rPr>
                  <w:rFonts w:ascii="Cambria Math" w:hAnsi="Cambria Math"/>
                  <w:color w:val="auto"/>
                </w:rPr>
              </m:ctrlPr>
            </m:fPr>
            <m:num>
              <m:nary>
                <m:naryPr>
                  <m:chr m:val="∑"/>
                  <m:limLoc m:val="subSup"/>
                  <m:ctrlPr>
                    <w:rPr>
                      <w:rFonts w:ascii="Cambria Math" w:hAnsi="Cambria Math"/>
                      <w:color w:val="auto"/>
                    </w:rPr>
                  </m:ctrlPr>
                </m:naryPr>
                <m:sub>
                  <m:r>
                    <m:rPr>
                      <m:nor/>
                    </m:rPr>
                    <w:rPr>
                      <w:i/>
                      <w:color w:val="auto"/>
                    </w:rPr>
                    <m:t>i</m:t>
                  </m:r>
                  <m:r>
                    <m:rPr>
                      <m:nor/>
                      <m:sty m:val="p"/>
                    </m:rPr>
                    <w:rPr>
                      <w:color w:val="auto"/>
                    </w:rPr>
                    <m:t>=1</m:t>
                  </m:r>
                  <m:ctrlPr>
                    <w:rPr>
                      <w:rFonts w:ascii="Cambria Math" w:hAnsi="Cambria Math"/>
                      <w:color w:val="auto"/>
                    </w:rPr>
                  </m:ctrlPr>
                </m:sub>
                <m:sup>
                  <m:r>
                    <m:rPr>
                      <m:nor/>
                    </m:rPr>
                    <w:rPr>
                      <w:i/>
                      <w:color w:val="auto"/>
                    </w:rPr>
                    <m:t>n</m:t>
                  </m:r>
                  <m:ctrlPr>
                    <w:rPr>
                      <w:rFonts w:ascii="Cambria Math" w:hAnsi="Cambria Math"/>
                      <w:color w:val="auto"/>
                    </w:rPr>
                  </m:ctrlPr>
                </m:sup>
                <m:e>
                  <m:sSub>
                    <m:sSubPr>
                      <m:ctrlPr>
                        <w:rPr>
                          <w:rFonts w:ascii="Cambria Math" w:hAnsi="Cambria Math"/>
                          <w:color w:val="auto"/>
                        </w:rPr>
                      </m:ctrlPr>
                    </m:sSubPr>
                    <m:e>
                      <m:r>
                        <m:rPr>
                          <m:nor/>
                        </m:rPr>
                        <w:rPr>
                          <w:i/>
                          <w:color w:val="auto"/>
                        </w:rPr>
                        <m:t>X</m:t>
                      </m:r>
                      <m:ctrlPr>
                        <w:rPr>
                          <w:rFonts w:ascii="Cambria Math" w:hAnsi="Cambria Math"/>
                          <w:color w:val="auto"/>
                        </w:rPr>
                      </m:ctrlPr>
                    </m:e>
                    <m:sub>
                      <m:r>
                        <m:rPr>
                          <m:nor/>
                        </m:rPr>
                        <w:rPr>
                          <w:i/>
                          <w:color w:val="auto"/>
                        </w:rPr>
                        <m:t>i</m:t>
                      </m:r>
                      <m:ctrlPr>
                        <w:rPr>
                          <w:rFonts w:ascii="Cambria Math" w:hAnsi="Cambria Math"/>
                          <w:color w:val="auto"/>
                        </w:rPr>
                      </m:ctrlPr>
                    </m:sub>
                  </m:sSub>
                  <m:ctrlPr>
                    <w:rPr>
                      <w:rFonts w:ascii="Cambria Math" w:hAnsi="Cambria Math"/>
                      <w:color w:val="auto"/>
                    </w:rPr>
                  </m:ctrlPr>
                </m:e>
              </m:nary>
              <m:ctrlPr>
                <w:rPr>
                  <w:rFonts w:ascii="Cambria Math" w:hAnsi="Cambria Math"/>
                  <w:color w:val="auto"/>
                </w:rPr>
              </m:ctrlPr>
            </m:num>
            <m:den>
              <m:r>
                <m:rPr>
                  <m:nor/>
                </m:rPr>
                <w:rPr>
                  <w:i/>
                  <w:color w:val="auto"/>
                </w:rPr>
                <m:t>n</m:t>
              </m:r>
              <m:ctrlPr>
                <w:rPr>
                  <w:rFonts w:ascii="Cambria Math" w:hAnsi="Cambria Math"/>
                  <w:color w:val="auto"/>
                </w:rPr>
              </m:ctrlPr>
            </m:den>
          </m:f>
        </m:oMath>
      </m:oMathPara>
    </w:p>
    <w:p w14:paraId="48391EE0">
      <w:pPr>
        <w:rPr>
          <w:color w:val="auto"/>
        </w:rPr>
      </w:pPr>
      <m:oMathPara>
        <m:oMathParaPr>
          <m:jc m:val="center"/>
        </m:oMathParaPr>
        <m:oMath>
          <m:sSub>
            <m:sSubPr>
              <m:ctrlPr>
                <w:rPr>
                  <w:rFonts w:ascii="Cambria Math" w:hAnsi="Cambria Math"/>
                  <w:color w:val="auto"/>
                </w:rPr>
              </m:ctrlPr>
            </m:sSubPr>
            <m:e>
              <m:r>
                <m:rPr>
                  <m:nor/>
                </m:rPr>
                <w:rPr>
                  <w:i/>
                  <w:color w:val="auto"/>
                </w:rPr>
                <m:t>Y</m:t>
              </m:r>
              <m:ctrlPr>
                <w:rPr>
                  <w:rFonts w:ascii="Cambria Math" w:hAnsi="Cambria Math"/>
                  <w:color w:val="auto"/>
                </w:rPr>
              </m:ctrlPr>
            </m:e>
            <m:sub>
              <m:r>
                <m:rPr>
                  <m:nor/>
                  <m:sty m:val="p"/>
                </m:rPr>
                <w:rPr>
                  <w:color w:val="auto"/>
                </w:rPr>
                <m:t>r</m:t>
              </m:r>
              <m:ctrlPr>
                <w:rPr>
                  <w:rFonts w:ascii="Cambria Math" w:hAnsi="Cambria Math"/>
                  <w:color w:val="auto"/>
                </w:rPr>
              </m:ctrlPr>
            </m:sub>
          </m:sSub>
          <m:r>
            <m:rPr>
              <m:nor/>
              <m:sty m:val="p"/>
            </m:rPr>
            <w:rPr>
              <w:color w:val="auto"/>
            </w:rPr>
            <m:t>=</m:t>
          </m:r>
          <m:f>
            <m:fPr>
              <m:ctrlPr>
                <w:rPr>
                  <w:rFonts w:ascii="Cambria Math" w:hAnsi="Cambria Math"/>
                  <w:color w:val="auto"/>
                </w:rPr>
              </m:ctrlPr>
            </m:fPr>
            <m:num>
              <m:nary>
                <m:naryPr>
                  <m:chr m:val="∑"/>
                  <m:limLoc m:val="subSup"/>
                  <m:ctrlPr>
                    <w:rPr>
                      <w:rFonts w:ascii="Cambria Math" w:hAnsi="Cambria Math"/>
                      <w:color w:val="auto"/>
                    </w:rPr>
                  </m:ctrlPr>
                </m:naryPr>
                <m:sub>
                  <m:r>
                    <m:rPr>
                      <m:nor/>
                    </m:rPr>
                    <w:rPr>
                      <w:i/>
                      <w:color w:val="auto"/>
                    </w:rPr>
                    <m:t>i</m:t>
                  </m:r>
                  <m:r>
                    <m:rPr>
                      <m:nor/>
                      <m:sty m:val="p"/>
                    </m:rPr>
                    <w:rPr>
                      <w:color w:val="auto"/>
                    </w:rPr>
                    <m:t>=1</m:t>
                  </m:r>
                  <m:ctrlPr>
                    <w:rPr>
                      <w:rFonts w:ascii="Cambria Math" w:hAnsi="Cambria Math"/>
                      <w:color w:val="auto"/>
                    </w:rPr>
                  </m:ctrlPr>
                </m:sub>
                <m:sup>
                  <m:r>
                    <m:rPr>
                      <m:nor/>
                    </m:rPr>
                    <w:rPr>
                      <w:i/>
                      <w:color w:val="auto"/>
                    </w:rPr>
                    <m:t>n</m:t>
                  </m:r>
                  <m:ctrlPr>
                    <w:rPr>
                      <w:rFonts w:ascii="Cambria Math" w:hAnsi="Cambria Math"/>
                      <w:color w:val="auto"/>
                    </w:rPr>
                  </m:ctrlPr>
                </m:sup>
                <m:e>
                  <m:sSub>
                    <m:sSubPr>
                      <m:ctrlPr>
                        <w:rPr>
                          <w:rFonts w:ascii="Cambria Math" w:hAnsi="Cambria Math"/>
                          <w:i/>
                          <w:color w:val="auto"/>
                        </w:rPr>
                      </m:ctrlPr>
                    </m:sSubPr>
                    <m:e>
                      <m:r>
                        <m:rPr>
                          <m:nor/>
                        </m:rPr>
                        <w:rPr>
                          <w:i/>
                          <w:color w:val="auto"/>
                        </w:rPr>
                        <m:t>Y</m:t>
                      </m:r>
                      <m:ctrlPr>
                        <w:rPr>
                          <w:rFonts w:ascii="Cambria Math" w:hAnsi="Cambria Math"/>
                          <w:i/>
                          <w:color w:val="auto"/>
                        </w:rPr>
                      </m:ctrlPr>
                    </m:e>
                    <m:sub>
                      <m:r>
                        <m:rPr>
                          <m:nor/>
                        </m:rPr>
                        <w:rPr>
                          <w:i/>
                          <w:color w:val="auto"/>
                        </w:rPr>
                        <m:t>i</m:t>
                      </m:r>
                      <m:ctrlPr>
                        <w:rPr>
                          <w:rFonts w:ascii="Cambria Math" w:hAnsi="Cambria Math"/>
                          <w:i/>
                          <w:color w:val="auto"/>
                        </w:rPr>
                      </m:ctrlPr>
                    </m:sub>
                  </m:sSub>
                  <m:ctrlPr>
                    <w:rPr>
                      <w:rFonts w:ascii="Cambria Math" w:hAnsi="Cambria Math"/>
                      <w:color w:val="auto"/>
                    </w:rPr>
                  </m:ctrlPr>
                </m:e>
              </m:nary>
              <m:ctrlPr>
                <w:rPr>
                  <w:rFonts w:ascii="Cambria Math" w:hAnsi="Cambria Math"/>
                  <w:color w:val="auto"/>
                </w:rPr>
              </m:ctrlPr>
            </m:num>
            <m:den>
              <m:r>
                <m:rPr>
                  <m:nor/>
                </m:rPr>
                <w:rPr>
                  <w:i/>
                  <w:color w:val="auto"/>
                </w:rPr>
                <m:t>n</m:t>
              </m:r>
              <m:ctrlPr>
                <w:rPr>
                  <w:rFonts w:ascii="Cambria Math" w:hAnsi="Cambria Math"/>
                  <w:color w:val="auto"/>
                </w:rPr>
              </m:ctrlPr>
            </m:den>
          </m:f>
        </m:oMath>
      </m:oMathPara>
    </w:p>
    <w:p w14:paraId="4A01A693">
      <w:pPr>
        <w:rPr>
          <w:color w:val="auto"/>
        </w:rPr>
      </w:pPr>
      <m:oMathPara>
        <m:oMathParaPr>
          <m:jc m:val="center"/>
        </m:oMathParaPr>
        <m:oMath>
          <m:sSub>
            <m:sSubPr>
              <m:ctrlPr>
                <w:rPr>
                  <w:rFonts w:ascii="Cambria Math" w:hAnsi="Cambria Math"/>
                  <w:color w:val="auto"/>
                </w:rPr>
              </m:ctrlPr>
            </m:sSubPr>
            <m:e>
              <m:r>
                <m:rPr>
                  <m:nor/>
                </m:rPr>
                <w:rPr>
                  <w:i/>
                  <w:color w:val="auto"/>
                </w:rPr>
                <m:t>e</m:t>
              </m:r>
              <m:ctrlPr>
                <w:rPr>
                  <w:rFonts w:ascii="Cambria Math" w:hAnsi="Cambria Math"/>
                  <w:color w:val="auto"/>
                </w:rPr>
              </m:ctrlPr>
            </m:e>
            <m:sub>
              <m:r>
                <m:rPr>
                  <m:nor/>
                  <m:sty m:val="p"/>
                </m:rPr>
                <w:rPr>
                  <w:color w:val="auto"/>
                </w:rPr>
                <m:t>x</m:t>
              </m:r>
              <m:ctrlPr>
                <w:rPr>
                  <w:rFonts w:ascii="Cambria Math" w:hAnsi="Cambria Math"/>
                  <w:color w:val="auto"/>
                </w:rPr>
              </m:ctrlPr>
            </m:sub>
          </m:sSub>
          <m:r>
            <m:rPr>
              <m:nor/>
              <m:sty m:val="p"/>
            </m:rPr>
            <w:rPr>
              <w:color w:val="auto"/>
            </w:rPr>
            <m:t>=</m:t>
          </m:r>
          <m:sSub>
            <m:sSubPr>
              <m:ctrlPr>
                <w:rPr>
                  <w:rFonts w:ascii="Cambria Math" w:hAnsi="Cambria Math"/>
                  <w:color w:val="auto"/>
                </w:rPr>
              </m:ctrlPr>
            </m:sSubPr>
            <m:e>
              <m:r>
                <m:rPr>
                  <m:nor/>
                </m:rPr>
                <w:rPr>
                  <w:i/>
                  <w:color w:val="auto"/>
                </w:rPr>
                <m:t>X</m:t>
              </m:r>
              <m:ctrlPr>
                <w:rPr>
                  <w:rFonts w:ascii="Cambria Math" w:hAnsi="Cambria Math"/>
                  <w:color w:val="auto"/>
                </w:rPr>
              </m:ctrlPr>
            </m:e>
            <m:sub>
              <m:r>
                <m:rPr>
                  <m:nor/>
                  <m:sty m:val="p"/>
                </m:rPr>
                <w:rPr>
                  <w:color w:val="auto"/>
                </w:rPr>
                <m:t>0</m:t>
              </m:r>
              <m:ctrlPr>
                <w:rPr>
                  <w:rFonts w:ascii="Cambria Math" w:hAnsi="Cambria Math"/>
                  <w:color w:val="auto"/>
                </w:rPr>
              </m:ctrlPr>
            </m:sub>
          </m:sSub>
          <m:r>
            <m:rPr>
              <m:nor/>
              <m:sty m:val="p"/>
            </m:rPr>
            <w:rPr>
              <w:color w:val="auto"/>
            </w:rPr>
            <m:t>-</m:t>
          </m:r>
          <m:sSub>
            <m:sSubPr>
              <m:ctrlPr>
                <w:rPr>
                  <w:rFonts w:ascii="Cambria Math" w:hAnsi="Cambria Math"/>
                  <w:color w:val="auto"/>
                </w:rPr>
              </m:ctrlPr>
            </m:sSubPr>
            <m:e>
              <m:r>
                <m:rPr>
                  <m:nor/>
                </m:rPr>
                <w:rPr>
                  <w:i/>
                  <w:color w:val="auto"/>
                </w:rPr>
                <m:t>X</m:t>
              </m:r>
              <m:ctrlPr>
                <w:rPr>
                  <w:rFonts w:ascii="Cambria Math" w:hAnsi="Cambria Math"/>
                  <w:color w:val="auto"/>
                </w:rPr>
              </m:ctrlPr>
            </m:e>
            <m:sub>
              <m:r>
                <m:rPr>
                  <m:nor/>
                  <m:sty m:val="p"/>
                </m:rPr>
                <w:rPr>
                  <w:color w:val="auto"/>
                </w:rPr>
                <m:t>r</m:t>
              </m:r>
              <m:ctrlPr>
                <w:rPr>
                  <w:rFonts w:ascii="Cambria Math" w:hAnsi="Cambria Math"/>
                  <w:color w:val="auto"/>
                </w:rPr>
              </m:ctrlPr>
            </m:sub>
          </m:sSub>
        </m:oMath>
      </m:oMathPara>
    </w:p>
    <w:p w14:paraId="711AC8DE">
      <w:pPr>
        <w:rPr>
          <w:i/>
          <w:color w:val="auto"/>
        </w:rPr>
      </w:pPr>
      <m:oMathPara>
        <m:oMathParaPr>
          <m:jc m:val="center"/>
        </m:oMathParaPr>
        <m:oMath>
          <m:sSub>
            <m:sSubPr>
              <m:ctrlPr>
                <w:rPr>
                  <w:rFonts w:ascii="Cambria Math" w:hAnsi="Cambria Math"/>
                  <w:color w:val="auto"/>
                </w:rPr>
              </m:ctrlPr>
            </m:sSubPr>
            <m:e>
              <m:r>
                <m:rPr>
                  <m:nor/>
                </m:rPr>
                <w:rPr>
                  <w:i/>
                  <w:color w:val="auto"/>
                </w:rPr>
                <m:t>e</m:t>
              </m:r>
              <m:ctrlPr>
                <w:rPr>
                  <w:rFonts w:ascii="Cambria Math" w:hAnsi="Cambria Math"/>
                  <w:color w:val="auto"/>
                </w:rPr>
              </m:ctrlPr>
            </m:e>
            <m:sub>
              <m:r>
                <m:rPr>
                  <m:nor/>
                  <m:sty m:val="p"/>
                </m:rPr>
                <w:rPr>
                  <w:color w:val="auto"/>
                </w:rPr>
                <m:t>y</m:t>
              </m:r>
              <m:ctrlPr>
                <w:rPr>
                  <w:rFonts w:ascii="Cambria Math" w:hAnsi="Cambria Math"/>
                  <w:color w:val="auto"/>
                </w:rPr>
              </m:ctrlPr>
            </m:sub>
          </m:sSub>
          <m:r>
            <m:rPr>
              <m:nor/>
              <m:sty m:val="p"/>
            </m:rPr>
            <w:rPr>
              <w:color w:val="auto"/>
            </w:rPr>
            <m:t>=</m:t>
          </m:r>
          <m:sSub>
            <m:sSubPr>
              <m:ctrlPr>
                <w:rPr>
                  <w:rFonts w:ascii="Cambria Math" w:hAnsi="Cambria Math"/>
                  <w:color w:val="auto"/>
                </w:rPr>
              </m:ctrlPr>
            </m:sSubPr>
            <m:e>
              <m:r>
                <m:rPr>
                  <m:nor/>
                </m:rPr>
                <w:rPr>
                  <w:rFonts w:ascii="Cambria Math"/>
                  <w:i/>
                  <w:color w:val="auto"/>
                </w:rPr>
                <m:t>Y</m:t>
              </m:r>
              <m:ctrlPr>
                <w:rPr>
                  <w:rFonts w:ascii="Cambria Math" w:hAnsi="Cambria Math"/>
                  <w:color w:val="auto"/>
                </w:rPr>
              </m:ctrlPr>
            </m:e>
            <m:sub>
              <m:r>
                <m:rPr>
                  <m:nor/>
                  <m:sty m:val="p"/>
                </m:rPr>
                <w:rPr>
                  <w:color w:val="auto"/>
                </w:rPr>
                <m:t>0</m:t>
              </m:r>
              <m:ctrlPr>
                <w:rPr>
                  <w:rFonts w:ascii="Cambria Math" w:hAnsi="Cambria Math"/>
                  <w:color w:val="auto"/>
                </w:rPr>
              </m:ctrlPr>
            </m:sub>
          </m:sSub>
          <m:r>
            <m:rPr>
              <m:nor/>
              <m:sty m:val="p"/>
            </m:rPr>
            <w:rPr>
              <w:color w:val="auto"/>
            </w:rPr>
            <m:t>-</m:t>
          </m:r>
          <m:sSub>
            <m:sSubPr>
              <m:ctrlPr>
                <w:rPr>
                  <w:rFonts w:ascii="Cambria Math" w:hAnsi="Cambria Math"/>
                  <w:color w:val="auto"/>
                </w:rPr>
              </m:ctrlPr>
            </m:sSubPr>
            <m:e>
              <m:r>
                <m:rPr>
                  <m:nor/>
                </m:rPr>
                <w:rPr>
                  <w:i/>
                  <w:color w:val="auto"/>
                </w:rPr>
                <m:t>Y</m:t>
              </m:r>
              <m:ctrlPr>
                <w:rPr>
                  <w:rFonts w:ascii="Cambria Math" w:hAnsi="Cambria Math"/>
                  <w:color w:val="auto"/>
                </w:rPr>
              </m:ctrlPr>
            </m:e>
            <m:sub>
              <m:r>
                <m:rPr>
                  <m:nor/>
                  <m:sty m:val="p"/>
                </m:rPr>
                <w:rPr>
                  <w:color w:val="auto"/>
                </w:rPr>
                <m:t>r</m:t>
              </m:r>
              <m:ctrlPr>
                <w:rPr>
                  <w:rFonts w:ascii="Cambria Math" w:hAnsi="Cambria Math"/>
                  <w:color w:val="auto"/>
                </w:rPr>
              </m:ctrlPr>
            </m:sub>
          </m:sSub>
        </m:oMath>
      </m:oMathPara>
    </w:p>
    <w:p w14:paraId="34EC1F6F">
      <w:pPr>
        <w:rPr>
          <w:i/>
          <w:color w:val="auto"/>
        </w:rPr>
      </w:pPr>
      <m:oMathPara>
        <m:oMathParaPr>
          <m:jc m:val="center"/>
        </m:oMathParaPr>
        <m:oMath>
          <m:sSub>
            <m:sSubPr>
              <m:ctrlPr>
                <w:rPr>
                  <w:rFonts w:ascii="Cambria Math" w:hAnsi="Cambria Math"/>
                  <w:color w:val="auto"/>
                </w:rPr>
              </m:ctrlPr>
            </m:sSubPr>
            <m:e>
              <m:r>
                <m:rPr>
                  <m:nor/>
                </m:rPr>
                <w:rPr>
                  <w:i/>
                  <w:color w:val="auto"/>
                </w:rPr>
                <m:t>S</m:t>
              </m:r>
              <m:ctrlPr>
                <w:rPr>
                  <w:rFonts w:ascii="Cambria Math" w:hAnsi="Cambria Math"/>
                  <w:color w:val="auto"/>
                </w:rPr>
              </m:ctrlPr>
            </m:e>
            <m:sub>
              <m:r>
                <m:rPr>
                  <m:nor/>
                  <m:sty m:val="p"/>
                </m:rPr>
                <w:rPr>
                  <w:color w:val="auto"/>
                </w:rPr>
                <m:t>x</m:t>
              </m:r>
              <m:ctrlPr>
                <w:rPr>
                  <w:rFonts w:ascii="Cambria Math" w:hAnsi="Cambria Math"/>
                  <w:color w:val="auto"/>
                </w:rPr>
              </m:ctrlPr>
            </m:sub>
          </m:sSub>
          <m:r>
            <m:rPr>
              <m:nor/>
              <m:sty m:val="p"/>
            </m:rPr>
            <w:rPr>
              <w:color w:val="auto"/>
            </w:rPr>
            <m:t>=</m:t>
          </m:r>
          <m:nary>
            <m:naryPr>
              <m:chr m:val="∑"/>
              <m:limLoc m:val="undOvr"/>
              <m:ctrlPr>
                <w:rPr>
                  <w:rFonts w:ascii="Cambria Math" w:hAnsi="Cambria Math"/>
                  <w:color w:val="auto"/>
                </w:rPr>
              </m:ctrlPr>
            </m:naryPr>
            <m:sub>
              <m:r>
                <m:rPr>
                  <m:nor/>
                </m:rPr>
                <w:rPr>
                  <w:i/>
                  <w:color w:val="auto"/>
                </w:rPr>
                <m:t>i</m:t>
              </m:r>
              <m:r>
                <m:rPr>
                  <m:nor/>
                  <m:sty m:val="p"/>
                </m:rPr>
                <w:rPr>
                  <w:color w:val="auto"/>
                </w:rPr>
                <m:t>=1</m:t>
              </m:r>
              <m:ctrlPr>
                <w:rPr>
                  <w:rFonts w:ascii="Cambria Math" w:hAnsi="Cambria Math"/>
                  <w:color w:val="auto"/>
                </w:rPr>
              </m:ctrlPr>
            </m:sub>
            <m:sup>
              <m:r>
                <m:rPr>
                  <m:nor/>
                </m:rPr>
                <w:rPr>
                  <w:i/>
                  <w:color w:val="auto"/>
                </w:rPr>
                <m:t>n</m:t>
              </m:r>
              <m:ctrlPr>
                <w:rPr>
                  <w:rFonts w:ascii="Cambria Math" w:hAnsi="Cambria Math"/>
                  <w:color w:val="auto"/>
                </w:rPr>
              </m:ctrlPr>
            </m:sup>
            <m:e>
              <m:sSup>
                <m:sSupPr>
                  <m:ctrlPr>
                    <w:rPr>
                      <w:rFonts w:ascii="Cambria Math" w:hAnsi="Cambria Math"/>
                      <w:color w:val="auto"/>
                    </w:rPr>
                  </m:ctrlPr>
                </m:sSupPr>
                <m:e>
                  <m:r>
                    <m:rPr>
                      <m:nor/>
                      <m:sty m:val="p"/>
                    </m:rPr>
                    <w:rPr>
                      <w:color w:val="auto"/>
                    </w:rPr>
                    <m:t>(</m:t>
                  </m:r>
                  <m:sSub>
                    <m:sSubPr>
                      <m:ctrlPr>
                        <w:rPr>
                          <w:rFonts w:ascii="Cambria Math" w:hAnsi="Cambria Math"/>
                          <w:i/>
                          <w:color w:val="auto"/>
                        </w:rPr>
                      </m:ctrlPr>
                    </m:sSubPr>
                    <m:e>
                      <m:r>
                        <m:rPr>
                          <m:nor/>
                        </m:rPr>
                        <w:rPr>
                          <w:i/>
                          <w:color w:val="auto"/>
                        </w:rPr>
                        <m:t>X</m:t>
                      </m:r>
                      <m:ctrlPr>
                        <w:rPr>
                          <w:rFonts w:ascii="Cambria Math" w:hAnsi="Cambria Math"/>
                          <w:i/>
                          <w:color w:val="auto"/>
                        </w:rPr>
                      </m:ctrlPr>
                    </m:e>
                    <m:sub>
                      <m:r>
                        <m:rPr>
                          <m:nor/>
                        </m:rPr>
                        <w:rPr>
                          <w:i/>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rPr>
                        <w:rPr>
                          <w:i/>
                          <w:color w:val="auto"/>
                        </w:rPr>
                        <m:t>X</m:t>
                      </m:r>
                      <m:ctrlPr>
                        <w:rPr>
                          <w:rFonts w:ascii="Cambria Math" w:hAnsi="Cambria Math"/>
                          <w:i/>
                          <w:color w:val="auto"/>
                        </w:rPr>
                      </m:ctrlPr>
                    </m:e>
                    <m:sub>
                      <m:r>
                        <m:rPr>
                          <m:nor/>
                          <m:sty m:val="p"/>
                        </m:rPr>
                        <w:rPr>
                          <w:color w:val="auto"/>
                        </w:rPr>
                        <m:t>r</m:t>
                      </m:r>
                      <m:ctrlPr>
                        <w:rPr>
                          <w:rFonts w:ascii="Cambria Math" w:hAnsi="Cambria Math"/>
                          <w:i/>
                          <w:color w:val="auto"/>
                        </w:rPr>
                      </m:ctrlPr>
                    </m:sub>
                  </m:sSub>
                  <m:r>
                    <m:rPr>
                      <m:nor/>
                      <m:sty m:val="p"/>
                    </m:rPr>
                    <w:rPr>
                      <w:color w:val="auto"/>
                    </w:rPr>
                    <m:t>)</m:t>
                  </m:r>
                  <m:ctrlPr>
                    <w:rPr>
                      <w:rFonts w:ascii="Cambria Math" w:hAnsi="Cambria Math"/>
                      <w:color w:val="auto"/>
                    </w:rPr>
                  </m:ctrlPr>
                </m:e>
                <m:sup>
                  <m:r>
                    <m:rPr>
                      <m:nor/>
                      <m:sty m:val="p"/>
                    </m:rPr>
                    <w:rPr>
                      <w:color w:val="auto"/>
                    </w:rPr>
                    <m:t>2</m:t>
                  </m:r>
                  <m:ctrlPr>
                    <w:rPr>
                      <w:rFonts w:ascii="Cambria Math" w:hAnsi="Cambria Math"/>
                      <w:color w:val="auto"/>
                    </w:rPr>
                  </m:ctrlPr>
                </m:sup>
              </m:sSup>
              <m:ctrlPr>
                <w:rPr>
                  <w:rFonts w:ascii="Cambria Math" w:hAnsi="Cambria Math"/>
                  <w:color w:val="auto"/>
                </w:rPr>
              </m:ctrlPr>
            </m:e>
          </m:nary>
        </m:oMath>
      </m:oMathPara>
    </w:p>
    <w:p w14:paraId="37421B12">
      <w:pPr>
        <w:rPr>
          <w:color w:val="auto"/>
        </w:rPr>
      </w:pPr>
      <m:oMathPara>
        <m:oMathParaPr>
          <m:jc m:val="center"/>
        </m:oMathParaPr>
        <m:oMath>
          <m:sSub>
            <m:sSubPr>
              <m:ctrlPr>
                <w:rPr>
                  <w:rFonts w:ascii="Cambria Math" w:hAnsi="Cambria Math"/>
                  <w:color w:val="auto"/>
                </w:rPr>
              </m:ctrlPr>
            </m:sSubPr>
            <m:e>
              <m:r>
                <m:rPr>
                  <m:nor/>
                </m:rPr>
                <w:rPr>
                  <w:i/>
                  <w:color w:val="auto"/>
                </w:rPr>
                <m:t>S</m:t>
              </m:r>
              <m:ctrlPr>
                <w:rPr>
                  <w:rFonts w:ascii="Cambria Math" w:hAnsi="Cambria Math"/>
                  <w:color w:val="auto"/>
                </w:rPr>
              </m:ctrlPr>
            </m:e>
            <m:sub>
              <m:r>
                <m:rPr>
                  <m:nor/>
                  <m:sty m:val="p"/>
                </m:rPr>
                <w:rPr>
                  <w:color w:val="auto"/>
                </w:rPr>
                <m:t>y</m:t>
              </m:r>
              <m:ctrlPr>
                <w:rPr>
                  <w:rFonts w:ascii="Cambria Math" w:hAnsi="Cambria Math"/>
                  <w:color w:val="auto"/>
                </w:rPr>
              </m:ctrlPr>
            </m:sub>
          </m:sSub>
          <m:r>
            <m:rPr>
              <m:nor/>
              <m:sty m:val="p"/>
            </m:rPr>
            <w:rPr>
              <w:color w:val="auto"/>
            </w:rPr>
            <m:t>=</m:t>
          </m:r>
          <m:nary>
            <m:naryPr>
              <m:chr m:val="∑"/>
              <m:limLoc m:val="undOvr"/>
              <m:ctrlPr>
                <w:rPr>
                  <w:rFonts w:ascii="Cambria Math" w:hAnsi="Cambria Math"/>
                  <w:color w:val="auto"/>
                </w:rPr>
              </m:ctrlPr>
            </m:naryPr>
            <m:sub>
              <m:r>
                <m:rPr>
                  <m:nor/>
                </m:rPr>
                <w:rPr>
                  <w:i/>
                  <w:color w:val="auto"/>
                </w:rPr>
                <m:t>i</m:t>
              </m:r>
              <m:r>
                <m:rPr>
                  <m:nor/>
                  <m:sty m:val="p"/>
                </m:rPr>
                <w:rPr>
                  <w:color w:val="auto"/>
                </w:rPr>
                <m:t>=1</m:t>
              </m:r>
              <m:ctrlPr>
                <w:rPr>
                  <w:rFonts w:ascii="Cambria Math" w:hAnsi="Cambria Math"/>
                  <w:color w:val="auto"/>
                </w:rPr>
              </m:ctrlPr>
            </m:sub>
            <m:sup>
              <m:r>
                <m:rPr>
                  <m:nor/>
                </m:rPr>
                <w:rPr>
                  <w:i/>
                  <w:color w:val="auto"/>
                </w:rPr>
                <m:t>n</m:t>
              </m:r>
              <m:ctrlPr>
                <w:rPr>
                  <w:rFonts w:ascii="Cambria Math" w:hAnsi="Cambria Math"/>
                  <w:color w:val="auto"/>
                </w:rPr>
              </m:ctrlPr>
            </m:sup>
            <m:e>
              <m:sSup>
                <m:sSupPr>
                  <m:ctrlPr>
                    <w:rPr>
                      <w:rFonts w:ascii="Cambria Math" w:hAnsi="Cambria Math"/>
                      <w:i/>
                      <w:color w:val="auto"/>
                    </w:rPr>
                  </m:ctrlPr>
                </m:sSupPr>
                <m:e>
                  <m:r>
                    <m:rPr>
                      <m:nor/>
                      <m:sty m:val="p"/>
                    </m:rPr>
                    <w:rPr>
                      <w:color w:val="auto"/>
                    </w:rPr>
                    <m:t>(</m:t>
                  </m:r>
                  <m:sSub>
                    <m:sSubPr>
                      <m:ctrlPr>
                        <w:rPr>
                          <w:rFonts w:ascii="Cambria Math" w:hAnsi="Cambria Math"/>
                          <w:i/>
                          <w:color w:val="auto"/>
                        </w:rPr>
                      </m:ctrlPr>
                    </m:sSubPr>
                    <m:e>
                      <m:r>
                        <m:rPr>
                          <m:nor/>
                        </m:rPr>
                        <w:rPr>
                          <w:i/>
                          <w:color w:val="auto"/>
                        </w:rPr>
                        <m:t>Y</m:t>
                      </m:r>
                      <m:ctrlPr>
                        <w:rPr>
                          <w:rFonts w:ascii="Cambria Math" w:hAnsi="Cambria Math"/>
                          <w:i/>
                          <w:color w:val="auto"/>
                        </w:rPr>
                      </m:ctrlPr>
                    </m:e>
                    <m:sub>
                      <m:r>
                        <m:rPr>
                          <m:nor/>
                        </m:rPr>
                        <w:rPr>
                          <w:i/>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rPr>
                        <w:rPr>
                          <w:i/>
                          <w:color w:val="auto"/>
                        </w:rPr>
                        <m:t>Y</m:t>
                      </m:r>
                      <m:ctrlPr>
                        <w:rPr>
                          <w:rFonts w:ascii="Cambria Math" w:hAnsi="Cambria Math"/>
                          <w:i/>
                          <w:color w:val="auto"/>
                        </w:rPr>
                      </m:ctrlPr>
                    </m:e>
                    <m:sub>
                      <m:r>
                        <m:rPr>
                          <m:nor/>
                          <m:sty m:val="p"/>
                        </m:rPr>
                        <w:rPr>
                          <w:color w:val="auto"/>
                        </w:rPr>
                        <m:t>r</m:t>
                      </m:r>
                      <m:ctrlPr>
                        <w:rPr>
                          <w:rFonts w:ascii="Cambria Math" w:hAnsi="Cambria Math"/>
                          <w:i/>
                          <w:color w:val="auto"/>
                        </w:rPr>
                      </m:ctrlPr>
                    </m:sub>
                  </m:sSub>
                  <m:r>
                    <m:rPr>
                      <m:nor/>
                      <m:sty m:val="p"/>
                    </m:rPr>
                    <w:rPr>
                      <w:color w:val="auto"/>
                    </w:rPr>
                    <m:t>)</m:t>
                  </m:r>
                  <m:ctrlPr>
                    <w:rPr>
                      <w:rFonts w:ascii="Cambria Math" w:hAnsi="Cambria Math"/>
                      <w:i/>
                      <w:color w:val="auto"/>
                    </w:rPr>
                  </m:ctrlPr>
                </m:e>
                <m:sup>
                  <m:r>
                    <m:rPr>
                      <m:nor/>
                      <m:sty m:val="p"/>
                    </m:rPr>
                    <w:rPr>
                      <w:color w:val="auto"/>
                    </w:rPr>
                    <m:t>2</m:t>
                  </m:r>
                  <m:ctrlPr>
                    <w:rPr>
                      <w:rFonts w:ascii="Cambria Math" w:hAnsi="Cambria Math"/>
                      <w:i/>
                      <w:color w:val="auto"/>
                    </w:rPr>
                  </m:ctrlPr>
                </m:sup>
              </m:sSup>
              <m:ctrlPr>
                <w:rPr>
                  <w:rFonts w:ascii="Cambria Math" w:hAnsi="Cambria Math"/>
                  <w:color w:val="auto"/>
                </w:rPr>
              </m:ctrlPr>
            </m:e>
          </m:nary>
        </m:oMath>
      </m:oMathPara>
    </w:p>
    <w:p w14:paraId="48A3E373">
      <w:pPr>
        <w:rPr>
          <w:color w:val="auto"/>
        </w:rPr>
      </w:pPr>
      <m:oMathPara>
        <m:oMathParaPr>
          <m:jc m:val="center"/>
        </m:oMathParaPr>
        <m:oMath>
          <m:sSub>
            <m:sSubPr>
              <m:ctrlPr>
                <w:rPr>
                  <w:rFonts w:ascii="Cambria Math" w:hAnsi="Cambria Math"/>
                  <w:color w:val="auto"/>
                </w:rPr>
              </m:ctrlPr>
            </m:sSubPr>
            <m:e>
              <m:r>
                <m:rPr>
                  <m:nor/>
                </m:rPr>
                <w:rPr>
                  <w:i/>
                  <w:color w:val="auto"/>
                </w:rPr>
                <m:t>F</m:t>
              </m:r>
              <m:ctrlPr>
                <w:rPr>
                  <w:rFonts w:ascii="Cambria Math" w:hAnsi="Cambria Math"/>
                  <w:color w:val="auto"/>
                </w:rPr>
              </m:ctrlPr>
            </m:e>
            <m:sub>
              <m:r>
                <m:rPr>
                  <m:nor/>
                  <m:sty m:val="p"/>
                </m:rPr>
                <w:rPr>
                  <w:color w:val="auto"/>
                </w:rPr>
                <m:t>A</m:t>
              </m:r>
              <m:r>
                <m:rPr>
                  <m:nor/>
                </m:rPr>
                <w:rPr>
                  <w:i/>
                  <w:color w:val="auto"/>
                </w:rPr>
                <m:t>i</m:t>
              </m:r>
              <m:ctrlPr>
                <w:rPr>
                  <w:rFonts w:ascii="Cambria Math" w:hAnsi="Cambria Math"/>
                  <w:color w:val="auto"/>
                </w:rPr>
              </m:ctrlPr>
            </m:sub>
          </m:sSub>
          <m:r>
            <m:rPr>
              <m:nor/>
              <m:sty m:val="p"/>
            </m:rPr>
            <w:rPr>
              <w:color w:val="auto"/>
            </w:rPr>
            <m:t>=</m:t>
          </m:r>
          <m:f>
            <m:fPr>
              <m:ctrlPr>
                <w:rPr>
                  <w:rFonts w:ascii="Cambria Math" w:hAnsi="Cambria Math"/>
                  <w:color w:val="auto"/>
                </w:rPr>
              </m:ctrlPr>
            </m:fPr>
            <m:num>
              <m:r>
                <m:rPr>
                  <m:nor/>
                </m:rPr>
                <w:rPr>
                  <w:i/>
                  <w:color w:val="auto"/>
                </w:rPr>
                <m:t>G</m:t>
              </m:r>
              <m:ctrlPr>
                <w:rPr>
                  <w:rFonts w:ascii="Cambria Math" w:hAnsi="Cambria Math"/>
                  <w:color w:val="auto"/>
                </w:rPr>
              </m:ctrlPr>
            </m:num>
            <m:den>
              <m:r>
                <m:rPr>
                  <m:nor/>
                </m:rPr>
                <w:rPr>
                  <w:i/>
                  <w:color w:val="auto"/>
                </w:rPr>
                <m:t>n</m:t>
              </m:r>
              <m:ctrlPr>
                <w:rPr>
                  <w:rFonts w:ascii="Cambria Math" w:hAnsi="Cambria Math"/>
                  <w:color w:val="auto"/>
                </w:rPr>
              </m:ctrlPr>
            </m:den>
          </m:f>
          <m:r>
            <m:rPr>
              <m:nor/>
              <m:sty m:val="p"/>
            </m:rPr>
            <w:rPr>
              <w:color w:val="auto"/>
            </w:rPr>
            <m:t>+</m:t>
          </m:r>
          <m:f>
            <m:fPr>
              <m:ctrlPr>
                <w:rPr>
                  <w:rFonts w:ascii="Cambria Math" w:hAnsi="Cambria Math"/>
                  <w:color w:val="auto"/>
                </w:rPr>
              </m:ctrlPr>
            </m:fPr>
            <m:num>
              <m:r>
                <m:rPr>
                  <m:nor/>
                </m:rPr>
                <w:rPr>
                  <w:i/>
                  <w:color w:val="auto"/>
                </w:rPr>
                <m:t>G</m:t>
              </m:r>
              <m:sSub>
                <m:sSubPr>
                  <m:ctrlPr>
                    <w:rPr>
                      <w:rFonts w:ascii="Cambria Math" w:hAnsi="Cambria Math"/>
                      <w:i/>
                      <w:color w:val="auto"/>
                    </w:rPr>
                  </m:ctrlPr>
                </m:sSubPr>
                <m:e>
                  <m:r>
                    <m:rPr>
                      <m:nor/>
                    </m:rPr>
                    <w:rPr>
                      <w:i/>
                      <w:color w:val="auto"/>
                    </w:rPr>
                    <m:t>e</m:t>
                  </m:r>
                  <m:ctrlPr>
                    <w:rPr>
                      <w:rFonts w:ascii="Cambria Math" w:hAnsi="Cambria Math"/>
                      <w:i/>
                      <w:color w:val="auto"/>
                    </w:rPr>
                  </m:ctrlPr>
                </m:e>
                <m:sub>
                  <m:r>
                    <m:rPr>
                      <m:nor/>
                      <m:sty m:val="p"/>
                    </m:rPr>
                    <w:rPr>
                      <w:color w:val="auto"/>
                    </w:rPr>
                    <m:t>x</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rPr>
                    <w:rPr>
                      <w:i/>
                      <w:color w:val="auto"/>
                    </w:rPr>
                    <m:t>X</m:t>
                  </m:r>
                  <m:ctrlPr>
                    <w:rPr>
                      <w:rFonts w:ascii="Cambria Math" w:hAnsi="Cambria Math"/>
                      <w:i/>
                      <w:color w:val="auto"/>
                    </w:rPr>
                  </m:ctrlPr>
                </m:e>
                <m:sub>
                  <m:r>
                    <m:rPr>
                      <m:nor/>
                    </m:rPr>
                    <w:rPr>
                      <w:i/>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rPr>
                    <w:rPr>
                      <w:i/>
                      <w:color w:val="auto"/>
                    </w:rPr>
                    <m:t>X</m:t>
                  </m:r>
                  <m:ctrlPr>
                    <w:rPr>
                      <w:rFonts w:ascii="Cambria Math" w:hAnsi="Cambria Math"/>
                      <w:i/>
                      <w:color w:val="auto"/>
                    </w:rPr>
                  </m:ctrlPr>
                </m:e>
                <m:sub>
                  <m:r>
                    <m:rPr>
                      <m:nor/>
                      <m:sty m:val="p"/>
                    </m:rPr>
                    <w:rPr>
                      <w:color w:val="auto"/>
                    </w:rPr>
                    <m:t>r</m:t>
                  </m:r>
                  <m:ctrlPr>
                    <w:rPr>
                      <w:rFonts w:ascii="Cambria Math" w:hAnsi="Cambria Math"/>
                      <w:i/>
                      <w:color w:val="auto"/>
                    </w:rPr>
                  </m:ctrlPr>
                </m:sub>
              </m:sSub>
              <m:r>
                <m:rPr>
                  <m:nor/>
                  <m:sty m:val="p"/>
                </m:rPr>
                <w:rPr>
                  <w:color w:val="auto"/>
                </w:rPr>
                <m:t>)</m:t>
              </m:r>
              <m:ctrlPr>
                <w:rPr>
                  <w:rFonts w:ascii="Cambria Math" w:hAnsi="Cambria Math"/>
                  <w:color w:val="auto"/>
                </w:rPr>
              </m:ctrlPr>
            </m:num>
            <m:den>
              <m:sSub>
                <m:sSubPr>
                  <m:ctrlPr>
                    <w:rPr>
                      <w:rFonts w:ascii="Cambria Math" w:hAnsi="Cambria Math"/>
                      <w:i/>
                      <w:color w:val="auto"/>
                    </w:rPr>
                  </m:ctrlPr>
                </m:sSubPr>
                <m:e>
                  <m:r>
                    <m:rPr>
                      <m:nor/>
                    </m:rPr>
                    <w:rPr>
                      <w:i/>
                      <w:color w:val="auto"/>
                    </w:rPr>
                    <m:t>S</m:t>
                  </m:r>
                  <m:ctrlPr>
                    <w:rPr>
                      <w:rFonts w:ascii="Cambria Math" w:hAnsi="Cambria Math"/>
                      <w:i/>
                      <w:color w:val="auto"/>
                    </w:rPr>
                  </m:ctrlPr>
                </m:e>
                <m:sub>
                  <m:r>
                    <m:rPr>
                      <m:nor/>
                      <m:sty m:val="p"/>
                    </m:rPr>
                    <w:rPr>
                      <w:color w:val="auto"/>
                    </w:rPr>
                    <m:t>x</m:t>
                  </m:r>
                  <m:ctrlPr>
                    <w:rPr>
                      <w:rFonts w:ascii="Cambria Math" w:hAnsi="Cambria Math"/>
                      <w:i/>
                      <w:color w:val="auto"/>
                    </w:rPr>
                  </m:ctrlPr>
                </m:sub>
              </m:sSub>
              <m:ctrlPr>
                <w:rPr>
                  <w:rFonts w:ascii="Cambria Math" w:hAnsi="Cambria Math"/>
                  <w:color w:val="auto"/>
                </w:rPr>
              </m:ctrlPr>
            </m:den>
          </m:f>
          <m:r>
            <m:rPr>
              <m:nor/>
              <m:sty m:val="p"/>
            </m:rPr>
            <w:rPr>
              <w:color w:val="auto"/>
            </w:rPr>
            <m:t>+</m:t>
          </m:r>
          <m:f>
            <m:fPr>
              <m:ctrlPr>
                <w:rPr>
                  <w:rFonts w:ascii="Cambria Math" w:hAnsi="Cambria Math"/>
                  <w:color w:val="auto"/>
                </w:rPr>
              </m:ctrlPr>
            </m:fPr>
            <m:num>
              <m:r>
                <m:rPr>
                  <m:nor/>
                </m:rPr>
                <w:rPr>
                  <w:i/>
                  <w:color w:val="auto"/>
                </w:rPr>
                <m:t>G</m:t>
              </m:r>
              <m:sSub>
                <m:sSubPr>
                  <m:ctrlPr>
                    <w:rPr>
                      <w:rFonts w:ascii="Cambria Math" w:hAnsi="Cambria Math"/>
                      <w:i/>
                      <w:color w:val="auto"/>
                    </w:rPr>
                  </m:ctrlPr>
                </m:sSubPr>
                <m:e>
                  <m:r>
                    <m:rPr>
                      <m:nor/>
                    </m:rPr>
                    <w:rPr>
                      <w:i/>
                      <w:color w:val="auto"/>
                    </w:rPr>
                    <m:t>e</m:t>
                  </m:r>
                  <m:ctrlPr>
                    <w:rPr>
                      <w:rFonts w:ascii="Cambria Math" w:hAnsi="Cambria Math"/>
                      <w:i/>
                      <w:color w:val="auto"/>
                    </w:rPr>
                  </m:ctrlPr>
                </m:e>
                <m:sub>
                  <m:r>
                    <m:rPr>
                      <m:nor/>
                      <m:sty m:val="p"/>
                    </m:rPr>
                    <w:rPr>
                      <w:color w:val="auto"/>
                    </w:rPr>
                    <m:t>y</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rPr>
                    <w:rPr>
                      <w:i/>
                      <w:color w:val="auto"/>
                    </w:rPr>
                    <m:t>Y</m:t>
                  </m:r>
                  <m:ctrlPr>
                    <w:rPr>
                      <w:rFonts w:ascii="Cambria Math" w:hAnsi="Cambria Math"/>
                      <w:i/>
                      <w:color w:val="auto"/>
                    </w:rPr>
                  </m:ctrlPr>
                </m:e>
                <m:sub>
                  <m:r>
                    <m:rPr>
                      <m:nor/>
                    </m:rPr>
                    <w:rPr>
                      <w:i/>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rPr>
                    <w:rPr>
                      <w:i/>
                      <w:color w:val="auto"/>
                    </w:rPr>
                    <m:t>Y</m:t>
                  </m:r>
                  <m:ctrlPr>
                    <w:rPr>
                      <w:rFonts w:ascii="Cambria Math" w:hAnsi="Cambria Math"/>
                      <w:i/>
                      <w:color w:val="auto"/>
                    </w:rPr>
                  </m:ctrlPr>
                </m:e>
                <m:sub>
                  <m:r>
                    <m:rPr>
                      <m:nor/>
                      <m:sty m:val="p"/>
                    </m:rPr>
                    <w:rPr>
                      <w:color w:val="auto"/>
                    </w:rPr>
                    <m:t>r</m:t>
                  </m:r>
                  <m:ctrlPr>
                    <w:rPr>
                      <w:rFonts w:ascii="Cambria Math" w:hAnsi="Cambria Math"/>
                      <w:i/>
                      <w:color w:val="auto"/>
                    </w:rPr>
                  </m:ctrlPr>
                </m:sub>
              </m:sSub>
              <m:r>
                <m:rPr>
                  <m:nor/>
                  <m:sty m:val="p"/>
                </m:rPr>
                <w:rPr>
                  <w:color w:val="auto"/>
                </w:rPr>
                <m:t>)</m:t>
              </m:r>
              <m:ctrlPr>
                <w:rPr>
                  <w:rFonts w:ascii="Cambria Math" w:hAnsi="Cambria Math"/>
                  <w:color w:val="auto"/>
                </w:rPr>
              </m:ctrlPr>
            </m:num>
            <m:den>
              <m:sSub>
                <m:sSubPr>
                  <m:ctrlPr>
                    <w:rPr>
                      <w:rFonts w:ascii="Cambria Math" w:hAnsi="Cambria Math"/>
                      <w:i/>
                      <w:color w:val="auto"/>
                    </w:rPr>
                  </m:ctrlPr>
                </m:sSubPr>
                <m:e>
                  <m:r>
                    <m:rPr>
                      <m:nor/>
                    </m:rPr>
                    <w:rPr>
                      <w:i/>
                      <w:color w:val="auto"/>
                    </w:rPr>
                    <m:t>S</m:t>
                  </m:r>
                  <m:ctrlPr>
                    <w:rPr>
                      <w:rFonts w:ascii="Cambria Math" w:hAnsi="Cambria Math"/>
                      <w:i/>
                      <w:color w:val="auto"/>
                    </w:rPr>
                  </m:ctrlPr>
                </m:e>
                <m:sub>
                  <m:r>
                    <m:rPr>
                      <m:nor/>
                      <m:sty m:val="p"/>
                    </m:rPr>
                    <w:rPr>
                      <w:color w:val="auto"/>
                    </w:rPr>
                    <m:t>y</m:t>
                  </m:r>
                  <m:ctrlPr>
                    <w:rPr>
                      <w:rFonts w:ascii="Cambria Math" w:hAnsi="Cambria Math"/>
                      <w:i/>
                      <w:color w:val="auto"/>
                    </w:rPr>
                  </m:ctrlPr>
                </m:sub>
              </m:sSub>
              <m:ctrlPr>
                <w:rPr>
                  <w:rFonts w:ascii="Cambria Math" w:hAnsi="Cambria Math"/>
                  <w:color w:val="auto"/>
                </w:rPr>
              </m:ctrlPr>
            </m:den>
          </m:f>
        </m:oMath>
      </m:oMathPara>
    </w:p>
    <w:p w14:paraId="43229D2E">
      <w:pPr>
        <w:rPr>
          <w:rFonts w:eastAsia="楷体"/>
          <w:color w:val="auto"/>
        </w:rPr>
      </w:pPr>
      <w:r>
        <w:rPr>
          <w:rFonts w:eastAsia="楷体"/>
          <w:color w:val="auto"/>
        </w:rPr>
        <w:t>式中：</w:t>
      </w:r>
    </w:p>
    <w:p w14:paraId="3723746D">
      <w:pPr>
        <w:spacing w:line="312" w:lineRule="auto"/>
        <w:ind w:firstLine="420" w:firstLineChars="200"/>
        <w:rPr>
          <w:rFonts w:eastAsia="楷体"/>
          <w:color w:val="auto"/>
        </w:rPr>
      </w:pPr>
      <w:r>
        <w:rPr>
          <w:rFonts w:eastAsia="楷体"/>
          <w:i/>
          <w:color w:val="auto"/>
        </w:rPr>
        <w:t>G</w:t>
      </w:r>
      <w:r>
        <w:rPr>
          <w:rFonts w:eastAsia="楷体"/>
          <w:color w:val="auto"/>
        </w:rPr>
        <w:t xml:space="preserve"> – 模块单元的重力荷载标准值；</w:t>
      </w:r>
    </w:p>
    <w:p w14:paraId="7016CB50">
      <w:pPr>
        <w:spacing w:line="312" w:lineRule="auto"/>
        <w:ind w:firstLine="420" w:firstLineChars="200"/>
        <w:rPr>
          <w:rFonts w:eastAsia="楷体"/>
          <w:color w:val="auto"/>
        </w:rPr>
      </w:pPr>
      <w:r>
        <w:rPr>
          <w:rFonts w:eastAsia="楷体"/>
          <w:i/>
          <w:color w:val="auto"/>
        </w:rPr>
        <w:t>n</w:t>
      </w:r>
      <w:r>
        <w:rPr>
          <w:rFonts w:eastAsia="楷体"/>
          <w:color w:val="auto"/>
        </w:rPr>
        <w:t xml:space="preserve"> – 吊点的数量；</w:t>
      </w:r>
    </w:p>
    <w:p w14:paraId="06D2373B">
      <w:pPr>
        <w:spacing w:line="312" w:lineRule="auto"/>
        <w:ind w:firstLine="420" w:firstLineChars="200"/>
        <w:rPr>
          <w:rFonts w:eastAsia="楷体"/>
          <w:color w:val="auto"/>
        </w:rPr>
      </w:pPr>
      <w:r>
        <w:rPr>
          <w:rFonts w:eastAsia="楷体"/>
          <w:i/>
          <w:color w:val="auto"/>
        </w:rPr>
        <w:t>X</w:t>
      </w:r>
      <w:r>
        <w:rPr>
          <w:rFonts w:eastAsia="楷体"/>
          <w:i/>
          <w:color w:val="auto"/>
          <w:vertAlign w:val="subscript"/>
        </w:rPr>
        <w:t>i</w:t>
      </w:r>
      <w:r>
        <w:rPr>
          <w:rFonts w:eastAsia="楷体"/>
          <w:i/>
          <w:color w:val="auto"/>
        </w:rPr>
        <w:t>、Y</w:t>
      </w:r>
      <w:r>
        <w:rPr>
          <w:rFonts w:eastAsia="楷体"/>
          <w:i/>
          <w:color w:val="auto"/>
          <w:vertAlign w:val="subscript"/>
        </w:rPr>
        <w:t>i</w:t>
      </w:r>
      <w:r>
        <w:rPr>
          <w:rFonts w:eastAsia="楷体"/>
          <w:color w:val="auto"/>
        </w:rPr>
        <w:t xml:space="preserve"> – 吊点的坐标点；</w:t>
      </w:r>
    </w:p>
    <w:p w14:paraId="5D2ADFA0">
      <w:pPr>
        <w:spacing w:line="312" w:lineRule="auto"/>
        <w:ind w:firstLine="420" w:firstLineChars="200"/>
        <w:rPr>
          <w:rFonts w:eastAsia="楷体"/>
          <w:color w:val="auto"/>
        </w:rPr>
      </w:pPr>
      <w:r>
        <w:rPr>
          <w:rFonts w:eastAsia="楷体"/>
          <w:i/>
          <w:color w:val="auto"/>
        </w:rPr>
        <w:t>X</w:t>
      </w:r>
      <w:r>
        <w:rPr>
          <w:rFonts w:eastAsia="楷体"/>
          <w:color w:val="auto"/>
          <w:vertAlign w:val="subscript"/>
        </w:rPr>
        <w:t>r</w:t>
      </w:r>
      <w:r>
        <w:rPr>
          <w:rFonts w:eastAsia="楷体"/>
          <w:color w:val="auto"/>
        </w:rPr>
        <w:t>、</w:t>
      </w:r>
      <w:r>
        <w:rPr>
          <w:rFonts w:eastAsia="楷体"/>
          <w:i/>
          <w:color w:val="auto"/>
        </w:rPr>
        <w:t>Y</w:t>
      </w:r>
      <w:r>
        <w:rPr>
          <w:rFonts w:eastAsia="楷体"/>
          <w:color w:val="auto"/>
          <w:vertAlign w:val="subscript"/>
        </w:rPr>
        <w:t>r</w:t>
      </w:r>
      <w:r>
        <w:rPr>
          <w:rFonts w:eastAsia="楷体"/>
          <w:color w:val="auto"/>
        </w:rPr>
        <w:t xml:space="preserve"> –吊点的中心坐标点；</w:t>
      </w:r>
    </w:p>
    <w:p w14:paraId="66C99F78">
      <w:pPr>
        <w:spacing w:line="312" w:lineRule="auto"/>
        <w:ind w:firstLine="420" w:firstLineChars="200"/>
        <w:rPr>
          <w:rFonts w:eastAsia="楷体"/>
          <w:color w:val="auto"/>
        </w:rPr>
      </w:pPr>
      <w:r>
        <w:rPr>
          <w:rFonts w:eastAsia="楷体"/>
          <w:i/>
          <w:color w:val="auto"/>
        </w:rPr>
        <w:t>X</w:t>
      </w:r>
      <w:r>
        <w:rPr>
          <w:rFonts w:eastAsia="楷体"/>
          <w:color w:val="auto"/>
          <w:vertAlign w:val="subscript"/>
        </w:rPr>
        <w:t>0</w:t>
      </w:r>
      <w:r>
        <w:rPr>
          <w:rFonts w:eastAsia="楷体"/>
          <w:color w:val="auto"/>
        </w:rPr>
        <w:t>、</w:t>
      </w:r>
      <w:r>
        <w:rPr>
          <w:rFonts w:eastAsia="楷体"/>
          <w:i/>
          <w:color w:val="auto"/>
        </w:rPr>
        <w:t>Y</w:t>
      </w:r>
      <w:r>
        <w:rPr>
          <w:rFonts w:eastAsia="楷体"/>
          <w:color w:val="auto"/>
          <w:vertAlign w:val="subscript"/>
        </w:rPr>
        <w:t>0</w:t>
      </w:r>
      <w:r>
        <w:rPr>
          <w:rFonts w:eastAsia="楷体"/>
          <w:color w:val="auto"/>
        </w:rPr>
        <w:t xml:space="preserve"> –模块单元的重心坐标点；</w:t>
      </w:r>
    </w:p>
    <w:p w14:paraId="53522901">
      <w:pPr>
        <w:spacing w:line="312" w:lineRule="auto"/>
        <w:ind w:firstLine="420" w:firstLineChars="200"/>
        <w:rPr>
          <w:rFonts w:eastAsia="楷体"/>
          <w:color w:val="auto"/>
        </w:rPr>
      </w:pPr>
      <w:r>
        <w:rPr>
          <w:rFonts w:eastAsia="楷体"/>
          <w:i/>
          <w:color w:val="auto"/>
        </w:rPr>
        <w:t>e</w:t>
      </w:r>
      <w:r>
        <w:rPr>
          <w:rFonts w:eastAsia="楷体"/>
          <w:color w:val="auto"/>
          <w:vertAlign w:val="subscript"/>
        </w:rPr>
        <w:t>x</w:t>
      </w:r>
      <w:r>
        <w:rPr>
          <w:rFonts w:eastAsia="楷体"/>
          <w:color w:val="auto"/>
        </w:rPr>
        <w:t>、</w:t>
      </w:r>
      <w:r>
        <w:rPr>
          <w:rFonts w:eastAsia="楷体"/>
          <w:i/>
          <w:color w:val="auto"/>
        </w:rPr>
        <w:t>e</w:t>
      </w:r>
      <w:r>
        <w:rPr>
          <w:rFonts w:eastAsia="楷体"/>
          <w:color w:val="auto"/>
          <w:vertAlign w:val="subscript"/>
        </w:rPr>
        <w:t>y</w:t>
      </w:r>
      <w:r>
        <w:rPr>
          <w:rFonts w:eastAsia="楷体"/>
          <w:color w:val="auto"/>
        </w:rPr>
        <w:t xml:space="preserve"> –吊点中心坐标点与模块单元重心坐标点的偏心距；</w:t>
      </w:r>
    </w:p>
    <w:p w14:paraId="5F51125C">
      <w:pPr>
        <w:spacing w:line="312" w:lineRule="auto"/>
        <w:ind w:firstLine="420" w:firstLineChars="200"/>
        <w:rPr>
          <w:rFonts w:eastAsia="楷体"/>
          <w:color w:val="auto"/>
        </w:rPr>
      </w:pPr>
      <w:r>
        <w:rPr>
          <w:rFonts w:eastAsia="楷体"/>
          <w:i/>
          <w:color w:val="auto"/>
        </w:rPr>
        <w:t>F</w:t>
      </w:r>
      <w:r>
        <w:rPr>
          <w:rFonts w:eastAsia="楷体"/>
          <w:color w:val="auto"/>
          <w:vertAlign w:val="subscript"/>
        </w:rPr>
        <w:t>A</w:t>
      </w:r>
      <w:r>
        <w:rPr>
          <w:rFonts w:eastAsia="楷体"/>
          <w:i/>
          <w:color w:val="auto"/>
          <w:vertAlign w:val="subscript"/>
        </w:rPr>
        <w:t>i</w:t>
      </w:r>
      <w:r>
        <w:rPr>
          <w:rFonts w:eastAsia="楷体"/>
          <w:color w:val="auto"/>
        </w:rPr>
        <w:t xml:space="preserve"> –吊点A</w:t>
      </w:r>
      <w:r>
        <w:rPr>
          <w:rFonts w:eastAsia="楷体"/>
          <w:i/>
          <w:color w:val="auto"/>
          <w:vertAlign w:val="subscript"/>
        </w:rPr>
        <w:t>i</w:t>
      </w:r>
      <w:r>
        <w:rPr>
          <w:rFonts w:eastAsia="楷体"/>
          <w:color w:val="auto"/>
        </w:rPr>
        <w:t>的吊点力。</w:t>
      </w:r>
    </w:p>
    <w:p w14:paraId="0C5ACAA2">
      <w:pPr>
        <w:numPr>
          <w:ilvl w:val="0"/>
          <w:numId w:val="19"/>
        </w:numPr>
        <w:spacing w:line="312" w:lineRule="auto"/>
        <w:rPr>
          <w:color w:val="auto"/>
        </w:rPr>
      </w:pPr>
      <w:r>
        <w:rPr>
          <w:rFonts w:hint="eastAsia"/>
          <w:color w:val="auto"/>
        </w:rPr>
        <w:t>模块单元采用吊环进行吊装时，应符合下列规定：</w:t>
      </w:r>
    </w:p>
    <w:p w14:paraId="4A2BC30B">
      <w:pPr>
        <w:spacing w:line="312" w:lineRule="auto"/>
        <w:ind w:firstLine="422" w:firstLineChars="200"/>
        <w:rPr>
          <w:strike/>
          <w:color w:val="auto"/>
        </w:rPr>
      </w:pPr>
      <w:r>
        <w:rPr>
          <w:rFonts w:hint="eastAsia"/>
          <w:b/>
          <w:color w:val="auto"/>
        </w:rPr>
        <w:t>1</w:t>
      </w:r>
      <w:r>
        <w:rPr>
          <w:b/>
          <w:color w:val="auto"/>
        </w:rPr>
        <w:t xml:space="preserve">  </w:t>
      </w:r>
      <w:r>
        <w:rPr>
          <w:color w:val="auto"/>
        </w:rPr>
        <w:t>吊环</w:t>
      </w:r>
      <w:r>
        <w:rPr>
          <w:rFonts w:hint="eastAsia"/>
          <w:color w:val="auto"/>
        </w:rPr>
        <w:t>应验算在荷载标准值作用下的吊环应力；</w:t>
      </w:r>
    </w:p>
    <w:p w14:paraId="6AB5D3E1">
      <w:pPr>
        <w:spacing w:line="312" w:lineRule="auto"/>
        <w:ind w:firstLine="422" w:firstLineChars="200"/>
        <w:rPr>
          <w:color w:val="auto"/>
        </w:rPr>
      </w:pPr>
      <w:r>
        <w:rPr>
          <w:rFonts w:hint="eastAsia"/>
          <w:b/>
          <w:bCs/>
          <w:color w:val="auto"/>
        </w:rPr>
        <w:t>2</w:t>
      </w:r>
      <w:r>
        <w:rPr>
          <w:b/>
          <w:bCs/>
          <w:color w:val="auto"/>
        </w:rPr>
        <w:t xml:space="preserve">  </w:t>
      </w:r>
      <w:r>
        <w:rPr>
          <w:rFonts w:hint="eastAsia"/>
          <w:color w:val="auto"/>
        </w:rPr>
        <w:t>当专用吊架的吊链角度大于80度且无脱模吸附力作用时，对于H</w:t>
      </w:r>
      <w:r>
        <w:rPr>
          <w:color w:val="auto"/>
        </w:rPr>
        <w:t>PB300</w:t>
      </w:r>
      <w:r>
        <w:rPr>
          <w:rFonts w:hint="eastAsia"/>
          <w:color w:val="auto"/>
        </w:rPr>
        <w:t>钢筋，吊环应力不应大于</w:t>
      </w:r>
      <w:r>
        <w:rPr>
          <w:color w:val="auto"/>
        </w:rPr>
        <w:t>90N/</w:t>
      </w:r>
      <w:r>
        <w:rPr>
          <w:rFonts w:hint="eastAsia"/>
          <w:color w:val="auto"/>
        </w:rPr>
        <w:t>mm</w:t>
      </w:r>
      <w:r>
        <w:rPr>
          <w:color w:val="auto"/>
          <w:vertAlign w:val="superscript"/>
        </w:rPr>
        <w:t>2</w:t>
      </w:r>
      <w:r>
        <w:rPr>
          <w:rFonts w:hint="eastAsia"/>
          <w:color w:val="auto"/>
        </w:rPr>
        <w:t>；对于Q</w:t>
      </w:r>
      <w:r>
        <w:rPr>
          <w:color w:val="auto"/>
        </w:rPr>
        <w:t>235B</w:t>
      </w:r>
      <w:r>
        <w:rPr>
          <w:rFonts w:hint="eastAsia"/>
          <w:color w:val="auto"/>
        </w:rPr>
        <w:t>圆钢，吊环应力不应大于7</w:t>
      </w:r>
      <w:r>
        <w:rPr>
          <w:color w:val="auto"/>
        </w:rPr>
        <w:t>0N/</w:t>
      </w:r>
      <w:r>
        <w:rPr>
          <w:rFonts w:hint="eastAsia"/>
          <w:color w:val="auto"/>
        </w:rPr>
        <w:t>mm</w:t>
      </w:r>
      <w:r>
        <w:rPr>
          <w:color w:val="auto"/>
          <w:vertAlign w:val="superscript"/>
        </w:rPr>
        <w:t>2</w:t>
      </w:r>
      <w:r>
        <w:rPr>
          <w:rFonts w:hint="eastAsia"/>
          <w:color w:val="auto"/>
        </w:rPr>
        <w:t>；</w:t>
      </w:r>
    </w:p>
    <w:p w14:paraId="02222C5C">
      <w:pPr>
        <w:spacing w:line="312" w:lineRule="auto"/>
        <w:ind w:firstLine="422" w:firstLineChars="200"/>
        <w:rPr>
          <w:color w:val="auto"/>
        </w:rPr>
      </w:pPr>
      <w:r>
        <w:rPr>
          <w:rFonts w:hint="eastAsia"/>
          <w:b/>
          <w:bCs/>
          <w:color w:val="auto"/>
        </w:rPr>
        <w:t>3</w:t>
      </w:r>
      <w:r>
        <w:rPr>
          <w:rFonts w:hint="eastAsia"/>
          <w:color w:val="auto"/>
        </w:rPr>
        <w:t xml:space="preserve">  当采用专用吊架时，可按照实际吊点布置情况进行计算，宜根据荷载计算值的1.5倍进行设计。</w:t>
      </w:r>
    </w:p>
    <w:p w14:paraId="3872C1B6">
      <w:pPr>
        <w:pStyle w:val="33"/>
        <w:rPr>
          <w:color w:val="auto"/>
        </w:rPr>
      </w:pPr>
      <w:r>
        <w:rPr>
          <w:rFonts w:hint="eastAsia" w:ascii="楷体" w:hAnsi="楷体" w:cs="楷体"/>
          <w:color w:val="auto"/>
          <w:szCs w:val="21"/>
        </w:rPr>
        <w:t>【条文说明】</w:t>
      </w:r>
      <w:r>
        <w:rPr>
          <w:rFonts w:hint="eastAsia"/>
          <w:color w:val="auto"/>
        </w:rPr>
        <w:t>确定吊环钢筋所需面积时，钢筋的抗拉强度设计值应乘以折减系数。在折减系数中考虑的因素有：构件自重荷载分项系数取1.3，吸附作用引起的超载系数取1.2，钢筋弯折后的应力集中对强度的折减系数取1.4，动力系数取1.5，钢丝绳角度对吊环承载力的影响系数取1.4。当取HPB300级钢筋的抗拉强度设计值为</w:t>
      </w:r>
      <w:r>
        <w:rPr>
          <w:rFonts w:hint="eastAsia"/>
          <w:i/>
          <w:iCs/>
          <w:color w:val="auto"/>
        </w:rPr>
        <w:t>f</w:t>
      </w:r>
      <w:r>
        <w:rPr>
          <w:rFonts w:hint="eastAsia"/>
          <w:i/>
          <w:iCs/>
          <w:color w:val="auto"/>
          <w:vertAlign w:val="subscript"/>
        </w:rPr>
        <w:t>y</w:t>
      </w:r>
      <w:r>
        <w:rPr>
          <w:rFonts w:hint="eastAsia"/>
          <w:color w:val="auto"/>
        </w:rPr>
        <w:t>＝270N/mm</w:t>
      </w:r>
      <w:r>
        <w:rPr>
          <w:rFonts w:hint="eastAsia"/>
          <w:color w:val="auto"/>
          <w:vertAlign w:val="superscript"/>
        </w:rPr>
        <w:t>2</w:t>
      </w:r>
      <w:r>
        <w:rPr>
          <w:rFonts w:hint="eastAsia"/>
          <w:color w:val="auto"/>
        </w:rPr>
        <w:t>时，吊环钢筋实际取用的允许拉应力值约为60N/mm</w:t>
      </w:r>
      <w:r>
        <w:rPr>
          <w:rFonts w:hint="eastAsia"/>
          <w:color w:val="auto"/>
          <w:vertAlign w:val="superscript"/>
        </w:rPr>
        <w:t>2</w:t>
      </w:r>
      <w:r>
        <w:rPr>
          <w:rFonts w:hint="eastAsia"/>
          <w:color w:val="auto"/>
        </w:rPr>
        <w:t>。作用于吊环的荷载应根据实际情况确定，一般为模块单元自重、悬挂设备自重及活荷载。吊环截面应力验算时，荷载取标准值。</w:t>
      </w:r>
    </w:p>
    <w:p w14:paraId="5FD1AF0D">
      <w:pPr>
        <w:pStyle w:val="33"/>
        <w:rPr>
          <w:color w:val="auto"/>
        </w:rPr>
      </w:pPr>
      <w:r>
        <w:rPr>
          <w:rFonts w:hint="eastAsia"/>
          <w:color w:val="auto"/>
        </w:rPr>
        <w:t>当采用专用吊架起吊时，通过调平拉紧装置可确保所有吊链均匀受力，实现所有吊点及吊链共同工作，但考虑到实际吊装过程中吊点的实际受力与计算值可能存在偏差，因此在进行吊架和吊具设计时，应根据荷载计算值的1.5倍进行设计。当采用专用吊架，吊链角度大于80度且无脱模吸附力作用时，钢丝绳角度对吊环承载力的影响系数可适当减小，同时不考虑吸附作用引起的超载系数，对于HPB300级钢筋，吊环钢筋实际取用的允许拉应力值约为90N/mm</w:t>
      </w:r>
      <w:r>
        <w:rPr>
          <w:rFonts w:hint="eastAsia"/>
          <w:color w:val="auto"/>
          <w:vertAlign w:val="superscript"/>
        </w:rPr>
        <w:t>2</w:t>
      </w:r>
      <w:r>
        <w:rPr>
          <w:rFonts w:hint="eastAsia"/>
          <w:color w:val="auto"/>
        </w:rPr>
        <w:t>。当不采用平衡吊架时，吊环钢筋实际取用的允许拉应力值按《混凝土结构设计标准》GB/T 50010取值。</w:t>
      </w:r>
    </w:p>
    <w:p w14:paraId="47E1EF56">
      <w:pPr>
        <w:numPr>
          <w:ilvl w:val="0"/>
          <w:numId w:val="19"/>
        </w:numPr>
        <w:spacing w:line="312" w:lineRule="auto"/>
        <w:rPr>
          <w:color w:val="auto"/>
        </w:rPr>
      </w:pPr>
      <w:r>
        <w:rPr>
          <w:rFonts w:hint="eastAsia"/>
          <w:color w:val="auto"/>
        </w:rPr>
        <w:t>模块单元起吊安全措施应符合下列规定：</w:t>
      </w:r>
    </w:p>
    <w:p w14:paraId="3A524941">
      <w:pPr>
        <w:spacing w:line="312" w:lineRule="auto"/>
        <w:ind w:firstLine="422" w:firstLineChars="200"/>
        <w:rPr>
          <w:color w:val="auto"/>
        </w:rPr>
      </w:pPr>
      <w:r>
        <w:rPr>
          <w:rFonts w:eastAsia="黑体"/>
          <w:b/>
          <w:color w:val="auto"/>
        </w:rPr>
        <w:t xml:space="preserve">1  </w:t>
      </w:r>
      <w:r>
        <w:rPr>
          <w:rFonts w:hint="eastAsia" w:ascii="宋体" w:hAnsi="宋体" w:cs="宋体"/>
          <w:bCs/>
          <w:color w:val="auto"/>
        </w:rPr>
        <w:t>当采</w:t>
      </w:r>
      <w:r>
        <w:rPr>
          <w:color w:val="auto"/>
        </w:rPr>
        <w:t>用</w:t>
      </w:r>
      <w:r>
        <w:rPr>
          <w:rFonts w:hint="eastAsia"/>
          <w:color w:val="auto"/>
        </w:rPr>
        <w:t>专用</w:t>
      </w:r>
      <w:r>
        <w:rPr>
          <w:color w:val="auto"/>
        </w:rPr>
        <w:t>吊架起吊时，模块</w:t>
      </w:r>
      <w:r>
        <w:rPr>
          <w:rFonts w:hint="eastAsia"/>
          <w:color w:val="auto"/>
        </w:rPr>
        <w:t>单元</w:t>
      </w:r>
      <w:r>
        <w:rPr>
          <w:color w:val="auto"/>
        </w:rPr>
        <w:t>与</w:t>
      </w:r>
      <w:r>
        <w:rPr>
          <w:rFonts w:hint="eastAsia"/>
          <w:color w:val="auto"/>
        </w:rPr>
        <w:t>专用</w:t>
      </w:r>
      <w:r>
        <w:rPr>
          <w:color w:val="auto"/>
        </w:rPr>
        <w:t>吊架之间吊链宜竖直受力，避免吊链倾斜产生的水平力对模块</w:t>
      </w:r>
      <w:r>
        <w:rPr>
          <w:rFonts w:hint="eastAsia"/>
          <w:color w:val="auto"/>
        </w:rPr>
        <w:t>单元</w:t>
      </w:r>
      <w:r>
        <w:rPr>
          <w:color w:val="auto"/>
        </w:rPr>
        <w:t>产生损坏；</w:t>
      </w:r>
    </w:p>
    <w:p w14:paraId="1906C93B">
      <w:pPr>
        <w:spacing w:line="312" w:lineRule="auto"/>
        <w:ind w:firstLine="422" w:firstLineChars="200"/>
        <w:rPr>
          <w:color w:val="auto"/>
        </w:rPr>
      </w:pPr>
      <w:r>
        <w:rPr>
          <w:rFonts w:eastAsia="黑体"/>
          <w:b/>
          <w:color w:val="auto"/>
        </w:rPr>
        <w:t xml:space="preserve">2  </w:t>
      </w:r>
      <w:r>
        <w:rPr>
          <w:color w:val="auto"/>
        </w:rPr>
        <w:t>模块</w:t>
      </w:r>
      <w:r>
        <w:rPr>
          <w:rFonts w:hint="eastAsia"/>
          <w:color w:val="auto"/>
        </w:rPr>
        <w:t>单元</w:t>
      </w:r>
      <w:r>
        <w:rPr>
          <w:color w:val="auto"/>
        </w:rPr>
        <w:t>起吊前宜对门窗洞口</w:t>
      </w:r>
      <w:r>
        <w:rPr>
          <w:rFonts w:hint="eastAsia"/>
          <w:color w:val="auto"/>
        </w:rPr>
        <w:t>采取临时</w:t>
      </w:r>
      <w:r>
        <w:rPr>
          <w:color w:val="auto"/>
        </w:rPr>
        <w:t>加固</w:t>
      </w:r>
      <w:r>
        <w:rPr>
          <w:rFonts w:hint="eastAsia"/>
          <w:color w:val="auto"/>
        </w:rPr>
        <w:t>措施。</w:t>
      </w:r>
    </w:p>
    <w:p w14:paraId="32B8395F">
      <w:pPr>
        <w:pStyle w:val="33"/>
        <w:rPr>
          <w:color w:val="auto"/>
        </w:rPr>
      </w:pPr>
      <w:r>
        <w:rPr>
          <w:rFonts w:hint="eastAsia" w:ascii="楷体" w:hAnsi="楷体" w:cs="楷体"/>
          <w:color w:val="auto"/>
          <w:szCs w:val="21"/>
        </w:rPr>
        <w:t>【条文说明】</w:t>
      </w:r>
      <w:r>
        <w:rPr>
          <w:rFonts w:hint="eastAsia"/>
          <w:color w:val="auto"/>
        </w:rPr>
        <w:t>模块单元门窗洞口边角处在模块单元起吊时受力复杂，易出现应力集中而导致开裂，所以起吊前宜采取临时加固措施，</w:t>
      </w:r>
      <w:r>
        <w:rPr>
          <w:color w:val="auto"/>
        </w:rPr>
        <w:t>可采用钢杆或钢架支撑</w:t>
      </w:r>
      <w:r>
        <w:rPr>
          <w:rFonts w:hint="eastAsia"/>
          <w:color w:val="auto"/>
        </w:rPr>
        <w:t>。</w:t>
      </w:r>
    </w:p>
    <w:p w14:paraId="5520AF54">
      <w:pPr>
        <w:numPr>
          <w:ilvl w:val="0"/>
          <w:numId w:val="19"/>
        </w:numPr>
        <w:spacing w:line="312" w:lineRule="auto"/>
        <w:rPr>
          <w:color w:val="auto"/>
        </w:rPr>
      </w:pPr>
      <w:r>
        <w:rPr>
          <w:rFonts w:hint="eastAsia"/>
          <w:color w:val="auto"/>
        </w:rPr>
        <w:t>模块单元中的构件在脱模状况下的验算及加固措施，应符合下列规定：</w:t>
      </w:r>
    </w:p>
    <w:p w14:paraId="124CFEF5">
      <w:pPr>
        <w:spacing w:line="312" w:lineRule="auto"/>
        <w:ind w:firstLine="422" w:firstLineChars="200"/>
        <w:rPr>
          <w:color w:val="auto"/>
        </w:rPr>
      </w:pPr>
      <w:r>
        <w:rPr>
          <w:b/>
          <w:color w:val="auto"/>
        </w:rPr>
        <w:t xml:space="preserve">1  </w:t>
      </w:r>
      <w:r>
        <w:rPr>
          <w:color w:val="auto"/>
        </w:rPr>
        <w:t>模块单元脱模起吊时的混凝土立方体抗压强度不宜小于15MPa；</w:t>
      </w:r>
    </w:p>
    <w:p w14:paraId="42BB0ABA">
      <w:pPr>
        <w:spacing w:line="312" w:lineRule="auto"/>
        <w:ind w:firstLine="422" w:firstLineChars="200"/>
        <w:rPr>
          <w:bCs/>
          <w:color w:val="auto"/>
        </w:rPr>
      </w:pPr>
      <w:r>
        <w:rPr>
          <w:b/>
          <w:color w:val="auto"/>
        </w:rPr>
        <w:t xml:space="preserve">2  </w:t>
      </w:r>
      <w:r>
        <w:rPr>
          <w:bCs/>
          <w:color w:val="auto"/>
        </w:rPr>
        <w:t>模块单元中的构件进行脱模验算时，等效静力荷载标准值应取构件自重标准值乘以动力系数与脱模吸附力之和，且不宜小于构件自重标准值的</w:t>
      </w:r>
      <w:r>
        <w:rPr>
          <w:color w:val="auto"/>
        </w:rPr>
        <w:t>1.5</w:t>
      </w:r>
      <w:r>
        <w:rPr>
          <w:bCs/>
          <w:color w:val="auto"/>
        </w:rPr>
        <w:t>倍。其中动力系数不宜小</w:t>
      </w:r>
      <w:r>
        <w:rPr>
          <w:color w:val="auto"/>
        </w:rPr>
        <w:t>于1.2，脱模吸附力应根据构件和模具的实际状况取用，且不宜小于1.5kN/m</w:t>
      </w:r>
      <w:r>
        <w:rPr>
          <w:color w:val="auto"/>
          <w:vertAlign w:val="superscript"/>
        </w:rPr>
        <w:t>2</w:t>
      </w:r>
      <w:r>
        <w:rPr>
          <w:rFonts w:hint="eastAsia"/>
          <w:color w:val="auto"/>
        </w:rPr>
        <w:t>；</w:t>
      </w:r>
    </w:p>
    <w:p w14:paraId="4A7ACBE5">
      <w:pPr>
        <w:pStyle w:val="33"/>
        <w:ind w:firstLine="422"/>
        <w:rPr>
          <w:rFonts w:eastAsia="宋体"/>
          <w:color w:val="auto"/>
        </w:rPr>
      </w:pPr>
      <w:r>
        <w:rPr>
          <w:rFonts w:eastAsia="宋体"/>
          <w:b/>
          <w:color w:val="auto"/>
        </w:rPr>
        <w:t>3</w:t>
      </w:r>
      <w:r>
        <w:rPr>
          <w:rFonts w:hint="eastAsia" w:ascii="楷体" w:hAnsi="楷体" w:cs="楷体"/>
          <w:color w:val="auto"/>
          <w:szCs w:val="21"/>
        </w:rPr>
        <w:t xml:space="preserve">  </w:t>
      </w:r>
      <w:r>
        <w:rPr>
          <w:rFonts w:eastAsia="宋体"/>
          <w:color w:val="auto"/>
        </w:rPr>
        <w:t>当模块单元的顶板、底板不满足脱模或起吊等临时状态下的作用时，可增加临时加固措施</w:t>
      </w:r>
      <w:r>
        <w:rPr>
          <w:rFonts w:hint="eastAsia" w:eastAsia="宋体"/>
          <w:color w:val="auto"/>
        </w:rPr>
        <w:t>。</w:t>
      </w:r>
    </w:p>
    <w:p w14:paraId="4D6A3242">
      <w:pPr>
        <w:numPr>
          <w:ilvl w:val="0"/>
          <w:numId w:val="19"/>
        </w:numPr>
        <w:spacing w:line="312" w:lineRule="auto"/>
        <w:rPr>
          <w:color w:val="auto"/>
        </w:rPr>
      </w:pPr>
      <w:r>
        <w:rPr>
          <w:rFonts w:hint="eastAsia"/>
          <w:color w:val="auto"/>
        </w:rPr>
        <w:t>模块单元安装状况下的验算及支撑加固措施应符合下列规定：</w:t>
      </w:r>
    </w:p>
    <w:p w14:paraId="605A6213">
      <w:pPr>
        <w:spacing w:line="312" w:lineRule="auto"/>
        <w:ind w:firstLine="422" w:firstLineChars="200"/>
        <w:rPr>
          <w:color w:val="auto"/>
        </w:rPr>
      </w:pPr>
      <w:r>
        <w:rPr>
          <w:b/>
          <w:color w:val="auto"/>
        </w:rPr>
        <w:t xml:space="preserve">1  </w:t>
      </w:r>
      <w:r>
        <w:rPr>
          <w:color w:val="auto"/>
        </w:rPr>
        <w:t>模块</w:t>
      </w:r>
      <w:r>
        <w:rPr>
          <w:rFonts w:hint="eastAsia"/>
          <w:color w:val="auto"/>
        </w:rPr>
        <w:t>单元安装</w:t>
      </w:r>
      <w:r>
        <w:rPr>
          <w:color w:val="auto"/>
        </w:rPr>
        <w:t>时，应进行水平风荷载下的抗倾覆验算</w:t>
      </w:r>
      <w:r>
        <w:rPr>
          <w:rFonts w:hint="eastAsia"/>
          <w:color w:val="auto"/>
        </w:rPr>
        <w:t>，并应满足下式要求</w:t>
      </w:r>
      <w:r>
        <w:rPr>
          <w:color w:val="auto"/>
        </w:rPr>
        <w:t>，当模块</w:t>
      </w:r>
      <w:r>
        <w:rPr>
          <w:rFonts w:hint="eastAsia"/>
          <w:color w:val="auto"/>
        </w:rPr>
        <w:t>单元</w:t>
      </w:r>
      <w:r>
        <w:rPr>
          <w:color w:val="auto"/>
        </w:rPr>
        <w:t>抗倾覆不满足时，则应设置临时支撑以满足模块</w:t>
      </w:r>
      <w:r>
        <w:rPr>
          <w:rFonts w:hint="eastAsia"/>
          <w:color w:val="auto"/>
        </w:rPr>
        <w:t>单元</w:t>
      </w:r>
      <w:r>
        <w:rPr>
          <w:color w:val="auto"/>
        </w:rPr>
        <w:t>的抗倾覆要求</w:t>
      </w:r>
      <w:r>
        <w:rPr>
          <w:rFonts w:hint="eastAsia"/>
          <w:color w:val="auto"/>
        </w:rPr>
        <w:t>采取相应措施；</w:t>
      </w:r>
    </w:p>
    <w:p w14:paraId="2EF755D3">
      <w:pPr>
        <w:wordWrap w:val="0"/>
        <w:spacing w:line="312" w:lineRule="auto"/>
        <w:jc w:val="right"/>
        <w:rPr>
          <w:color w:val="auto"/>
        </w:rPr>
      </w:pPr>
      <w:r>
        <w:rPr>
          <w:i/>
          <w:color w:val="auto"/>
        </w:rPr>
        <w:t>M</w:t>
      </w:r>
      <w:r>
        <w:rPr>
          <w:color w:val="auto"/>
          <w:vertAlign w:val="subscript"/>
        </w:rPr>
        <w:t>g</w:t>
      </w:r>
      <w:r>
        <w:rPr>
          <w:color w:val="auto"/>
        </w:rPr>
        <w:t>/</w:t>
      </w:r>
      <w:r>
        <w:rPr>
          <w:i/>
          <w:color w:val="auto"/>
        </w:rPr>
        <w:t>M</w:t>
      </w:r>
      <w:r>
        <w:rPr>
          <w:color w:val="auto"/>
          <w:vertAlign w:val="subscript"/>
        </w:rPr>
        <w:t>w</w:t>
      </w:r>
      <w:r>
        <w:rPr>
          <w:rFonts w:hint="eastAsia"/>
          <w:color w:val="auto"/>
        </w:rPr>
        <w:t xml:space="preserve"> </w:t>
      </w:r>
      <w:r>
        <w:rPr>
          <w:color w:val="auto"/>
        </w:rPr>
        <w:t>≥</w:t>
      </w:r>
      <w:r>
        <w:rPr>
          <w:rFonts w:hint="eastAsia"/>
          <w:color w:val="auto"/>
        </w:rPr>
        <w:t xml:space="preserve"> </w:t>
      </w:r>
      <w:r>
        <w:rPr>
          <w:color w:val="auto"/>
        </w:rPr>
        <w:t>1</w:t>
      </w:r>
      <w:r>
        <w:rPr>
          <w:iCs/>
          <w:color w:val="auto"/>
        </w:rPr>
        <w:t>.</w:t>
      </w:r>
      <w:r>
        <w:rPr>
          <w:color w:val="auto"/>
        </w:rPr>
        <w:t>5                          (7</w:t>
      </w:r>
      <w:r>
        <w:rPr>
          <w:rFonts w:hint="eastAsia"/>
          <w:color w:val="auto"/>
        </w:rPr>
        <w:t>.</w:t>
      </w:r>
      <w:r>
        <w:rPr>
          <w:color w:val="auto"/>
        </w:rPr>
        <w:t>2</w:t>
      </w:r>
      <w:r>
        <w:rPr>
          <w:iCs/>
          <w:color w:val="auto"/>
        </w:rPr>
        <w:t>.</w:t>
      </w:r>
      <w:r>
        <w:rPr>
          <w:rFonts w:hint="eastAsia"/>
          <w:color w:val="auto"/>
        </w:rPr>
        <w:t>6</w:t>
      </w:r>
      <w:r>
        <w:rPr>
          <w:color w:val="auto"/>
        </w:rPr>
        <w:t>-1)</w:t>
      </w:r>
    </w:p>
    <w:p w14:paraId="15D51968">
      <w:pPr>
        <w:spacing w:line="312" w:lineRule="auto"/>
        <w:rPr>
          <w:color w:val="auto"/>
        </w:rPr>
      </w:pPr>
      <w:r>
        <w:rPr>
          <w:color w:val="auto"/>
        </w:rPr>
        <w:t>式中：</w:t>
      </w:r>
      <w:r>
        <w:rPr>
          <w:i/>
          <w:color w:val="auto"/>
        </w:rPr>
        <w:t>M</w:t>
      </w:r>
      <w:r>
        <w:rPr>
          <w:color w:val="auto"/>
          <w:vertAlign w:val="subscript"/>
        </w:rPr>
        <w:t>w</w:t>
      </w:r>
      <w:r>
        <w:rPr>
          <w:color w:val="auto"/>
        </w:rPr>
        <w:t xml:space="preserve"> – </w:t>
      </w:r>
      <w:r>
        <w:rPr>
          <w:rFonts w:hint="eastAsia"/>
          <w:color w:val="auto"/>
        </w:rPr>
        <w:t>风荷载标准值作用下的倾覆力矩；</w:t>
      </w:r>
    </w:p>
    <w:p w14:paraId="227FD74D">
      <w:pPr>
        <w:spacing w:line="312" w:lineRule="auto"/>
        <w:ind w:firstLine="630" w:firstLineChars="300"/>
        <w:rPr>
          <w:color w:val="auto"/>
        </w:rPr>
      </w:pPr>
      <w:r>
        <w:rPr>
          <w:i/>
          <w:color w:val="auto"/>
        </w:rPr>
        <w:t>M</w:t>
      </w:r>
      <w:r>
        <w:rPr>
          <w:color w:val="auto"/>
          <w:vertAlign w:val="subscript"/>
        </w:rPr>
        <w:t>g</w:t>
      </w:r>
      <w:r>
        <w:rPr>
          <w:color w:val="auto"/>
        </w:rPr>
        <w:t xml:space="preserve"> – 模块</w:t>
      </w:r>
      <w:r>
        <w:rPr>
          <w:rFonts w:hint="eastAsia"/>
          <w:color w:val="auto"/>
        </w:rPr>
        <w:t>单元</w:t>
      </w:r>
      <w:r>
        <w:rPr>
          <w:color w:val="auto"/>
        </w:rPr>
        <w:t>自重</w:t>
      </w:r>
      <w:r>
        <w:rPr>
          <w:rFonts w:hint="eastAsia"/>
          <w:color w:val="auto"/>
        </w:rPr>
        <w:t>标准值</w:t>
      </w:r>
      <w:r>
        <w:rPr>
          <w:color w:val="auto"/>
        </w:rPr>
        <w:t>下的抗倾覆力矩；</w:t>
      </w:r>
    </w:p>
    <w:p w14:paraId="0DB1CBDD">
      <w:pPr>
        <w:snapToGrid w:val="0"/>
        <w:spacing w:line="312" w:lineRule="auto"/>
        <w:ind w:firstLine="422" w:firstLineChars="200"/>
        <w:rPr>
          <w:bCs/>
          <w:color w:val="auto"/>
        </w:rPr>
      </w:pPr>
      <w:r>
        <w:rPr>
          <w:rFonts w:hint="eastAsia"/>
          <w:b/>
          <w:color w:val="auto"/>
        </w:rPr>
        <w:t>2</w:t>
      </w:r>
      <w:r>
        <w:rPr>
          <w:b/>
          <w:color w:val="auto"/>
        </w:rPr>
        <w:t xml:space="preserve">  </w:t>
      </w:r>
      <w:r>
        <w:rPr>
          <w:rFonts w:hint="eastAsia"/>
          <w:bCs/>
          <w:color w:val="auto"/>
        </w:rPr>
        <w:t>模块单元安装时，应进行水平风荷载下的抗滑移验算，并应满足下式要求，当模块单元抗滑移不满足时，应设置临时支撑以满足模块单元的抗滑移要求。</w:t>
      </w:r>
    </w:p>
    <w:p w14:paraId="7AD177AD">
      <w:pPr>
        <w:wordWrap w:val="0"/>
        <w:spacing w:line="312" w:lineRule="auto"/>
        <w:jc w:val="right"/>
        <w:rPr>
          <w:i/>
          <w:color w:val="auto"/>
        </w:rPr>
      </w:pPr>
      <w:r>
        <w:rPr>
          <w:i/>
          <w:color w:val="auto"/>
        </w:rPr>
        <w:t>μG/Nw</w:t>
      </w:r>
      <w:r>
        <w:rPr>
          <w:rFonts w:hint="eastAsia"/>
          <w:i/>
          <w:color w:val="auto"/>
        </w:rPr>
        <w:t xml:space="preserve"> </w:t>
      </w:r>
      <w:r>
        <w:rPr>
          <w:i/>
          <w:color w:val="auto"/>
        </w:rPr>
        <w:t>≥</w:t>
      </w:r>
      <w:r>
        <w:rPr>
          <w:rFonts w:hint="eastAsia"/>
          <w:i/>
          <w:color w:val="auto"/>
        </w:rPr>
        <w:t xml:space="preserve"> </w:t>
      </w:r>
      <w:r>
        <w:rPr>
          <w:iCs/>
          <w:color w:val="auto"/>
        </w:rPr>
        <w:t>1.3</w:t>
      </w:r>
      <w:r>
        <w:rPr>
          <w:i/>
          <w:color w:val="auto"/>
        </w:rPr>
        <w:t xml:space="preserve">                          </w:t>
      </w:r>
      <w:r>
        <w:rPr>
          <w:iCs/>
          <w:color w:val="auto"/>
        </w:rPr>
        <w:t>(7.2.</w:t>
      </w:r>
      <w:r>
        <w:rPr>
          <w:rFonts w:hint="eastAsia"/>
          <w:iCs/>
          <w:color w:val="auto"/>
        </w:rPr>
        <w:t>6</w:t>
      </w:r>
      <w:r>
        <w:rPr>
          <w:iCs/>
          <w:color w:val="auto"/>
        </w:rPr>
        <w:t>-2)</w:t>
      </w:r>
    </w:p>
    <w:p w14:paraId="6B58DA61">
      <w:pPr>
        <w:spacing w:line="312" w:lineRule="auto"/>
        <w:rPr>
          <w:color w:val="auto"/>
        </w:rPr>
      </w:pPr>
      <w:r>
        <w:rPr>
          <w:color w:val="auto"/>
        </w:rPr>
        <w:t>式中：</w:t>
      </w:r>
      <w:r>
        <w:rPr>
          <w:i/>
          <w:color w:val="auto"/>
        </w:rPr>
        <w:t>μ</w:t>
      </w:r>
      <w:r>
        <w:rPr>
          <w:rFonts w:hint="eastAsia"/>
          <w:i/>
          <w:color w:val="auto"/>
        </w:rPr>
        <w:t xml:space="preserve"> </w:t>
      </w:r>
      <w:r>
        <w:rPr>
          <w:color w:val="auto"/>
        </w:rPr>
        <w:t xml:space="preserve">– </w:t>
      </w:r>
      <w:r>
        <w:rPr>
          <w:rFonts w:hint="eastAsia"/>
          <w:color w:val="auto"/>
        </w:rPr>
        <w:t>摩擦系数，取0</w:t>
      </w:r>
      <w:r>
        <w:rPr>
          <w:rFonts w:hint="eastAsia" w:ascii="宋体" w:hAnsi="宋体"/>
          <w:color w:val="auto"/>
        </w:rPr>
        <w:t>.</w:t>
      </w:r>
      <w:r>
        <w:rPr>
          <w:color w:val="auto"/>
        </w:rPr>
        <w:t>4；</w:t>
      </w:r>
    </w:p>
    <w:p w14:paraId="02A130C3">
      <w:pPr>
        <w:spacing w:line="312" w:lineRule="auto"/>
        <w:ind w:firstLine="630" w:firstLineChars="300"/>
        <w:rPr>
          <w:color w:val="auto"/>
        </w:rPr>
      </w:pPr>
      <w:r>
        <w:rPr>
          <w:i/>
          <w:color w:val="auto"/>
        </w:rPr>
        <w:t>G</w:t>
      </w:r>
      <w:r>
        <w:rPr>
          <w:rFonts w:hint="eastAsia"/>
          <w:i/>
          <w:color w:val="auto"/>
        </w:rPr>
        <w:t xml:space="preserve"> </w:t>
      </w:r>
      <w:r>
        <w:rPr>
          <w:color w:val="auto"/>
        </w:rPr>
        <w:t xml:space="preserve">– </w:t>
      </w:r>
      <w:r>
        <w:rPr>
          <w:rFonts w:hint="eastAsia"/>
          <w:color w:val="auto"/>
        </w:rPr>
        <w:t>模块单元的重力荷载标准值</w:t>
      </w:r>
      <w:r>
        <w:rPr>
          <w:color w:val="auto"/>
        </w:rPr>
        <w:t>；</w:t>
      </w:r>
    </w:p>
    <w:p w14:paraId="4906C8F7">
      <w:pPr>
        <w:spacing w:line="312" w:lineRule="auto"/>
        <w:ind w:firstLine="630" w:firstLineChars="300"/>
        <w:rPr>
          <w:color w:val="auto"/>
        </w:rPr>
      </w:pPr>
      <w:r>
        <w:rPr>
          <w:i/>
          <w:color w:val="auto"/>
        </w:rPr>
        <w:t>N</w:t>
      </w:r>
      <w:r>
        <w:rPr>
          <w:rFonts w:hint="eastAsia"/>
          <w:color w:val="auto"/>
          <w:vertAlign w:val="subscript"/>
        </w:rPr>
        <w:t>w</w:t>
      </w:r>
      <w:r>
        <w:rPr>
          <w:color w:val="auto"/>
        </w:rPr>
        <w:t xml:space="preserve"> – 风荷载</w:t>
      </w:r>
      <w:r>
        <w:rPr>
          <w:rFonts w:hint="eastAsia"/>
          <w:color w:val="auto"/>
        </w:rPr>
        <w:t>标准值</w:t>
      </w:r>
      <w:r>
        <w:rPr>
          <w:color w:val="auto"/>
        </w:rPr>
        <w:t>作用下的</w:t>
      </w:r>
      <w:r>
        <w:rPr>
          <w:rFonts w:hint="eastAsia"/>
          <w:color w:val="auto"/>
        </w:rPr>
        <w:t>水平力</w:t>
      </w:r>
      <w:r>
        <w:rPr>
          <w:color w:val="auto"/>
        </w:rPr>
        <w:t>；</w:t>
      </w:r>
    </w:p>
    <w:p w14:paraId="4CC23557">
      <w:pPr>
        <w:spacing w:line="312" w:lineRule="auto"/>
        <w:ind w:firstLine="422" w:firstLineChars="200"/>
        <w:rPr>
          <w:color w:val="auto"/>
        </w:rPr>
      </w:pPr>
      <w:r>
        <w:rPr>
          <w:b/>
          <w:color w:val="auto"/>
        </w:rPr>
        <w:t xml:space="preserve">3  </w:t>
      </w:r>
      <w:r>
        <w:rPr>
          <w:rFonts w:hint="eastAsia"/>
          <w:bCs/>
          <w:color w:val="auto"/>
        </w:rPr>
        <w:t>模块单元</w:t>
      </w:r>
      <w:r>
        <w:rPr>
          <w:rFonts w:hint="eastAsia"/>
          <w:color w:val="auto"/>
        </w:rPr>
        <w:t>上部混凝土</w:t>
      </w:r>
      <w:r>
        <w:rPr>
          <w:color w:val="auto"/>
        </w:rPr>
        <w:t>浇筑时应</w:t>
      </w:r>
      <w:r>
        <w:rPr>
          <w:rFonts w:hint="eastAsia"/>
          <w:color w:val="auto"/>
        </w:rPr>
        <w:t>根据实际荷载工况进行验算；</w:t>
      </w:r>
    </w:p>
    <w:p w14:paraId="3AC7117B">
      <w:pPr>
        <w:spacing w:line="312" w:lineRule="auto"/>
        <w:ind w:firstLine="422" w:firstLineChars="200"/>
        <w:rPr>
          <w:color w:val="auto"/>
        </w:rPr>
      </w:pPr>
      <w:r>
        <w:rPr>
          <w:b/>
          <w:color w:val="auto"/>
        </w:rPr>
        <w:t xml:space="preserve">4  </w:t>
      </w:r>
      <w:r>
        <w:rPr>
          <w:rFonts w:hint="eastAsia"/>
          <w:color w:val="auto"/>
        </w:rPr>
        <w:t>施工状态下应对模壳板及隔墙进行强度、变形和稳定性分析。</w:t>
      </w:r>
    </w:p>
    <w:p w14:paraId="3AF8841F">
      <w:pPr>
        <w:pStyle w:val="33"/>
        <w:rPr>
          <w:color w:val="auto"/>
        </w:rPr>
      </w:pPr>
      <w:r>
        <w:rPr>
          <w:rFonts w:hint="eastAsia" w:ascii="楷体" w:hAnsi="楷体" w:cs="楷体"/>
          <w:color w:val="auto"/>
          <w:szCs w:val="21"/>
        </w:rPr>
        <w:t>【条文说明】</w:t>
      </w:r>
      <w:r>
        <w:rPr>
          <w:color w:val="auto"/>
        </w:rPr>
        <w:t>模块单元安装状况下的验算</w:t>
      </w:r>
      <w:r>
        <w:rPr>
          <w:rFonts w:hint="eastAsia"/>
          <w:color w:val="auto"/>
        </w:rPr>
        <w:t>及公式说明，见图25</w:t>
      </w:r>
      <w:r>
        <w:rPr>
          <w:color w:val="auto"/>
        </w:rPr>
        <w:t>：</w:t>
      </w:r>
    </w:p>
    <w:p w14:paraId="3BFCCA71">
      <w:pPr>
        <w:snapToGrid w:val="0"/>
        <w:ind w:firstLine="420" w:firstLineChars="200"/>
        <w:jc w:val="center"/>
        <w:rPr>
          <w:color w:val="auto"/>
        </w:rPr>
      </w:pPr>
      <w:r>
        <w:rPr>
          <w:color w:val="auto"/>
        </w:rPr>
        <w:drawing>
          <wp:inline distT="0" distB="0" distL="0" distR="0">
            <wp:extent cx="2578100" cy="2016125"/>
            <wp:effectExtent l="0" t="0" r="12700" b="10795"/>
            <wp:docPr id="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2578100" cy="2016125"/>
                    </a:xfrm>
                    <a:prstGeom prst="rect">
                      <a:avLst/>
                    </a:prstGeom>
                    <a:noFill/>
                    <a:ln>
                      <a:noFill/>
                    </a:ln>
                  </pic:spPr>
                </pic:pic>
              </a:graphicData>
            </a:graphic>
          </wp:inline>
        </w:drawing>
      </w:r>
    </w:p>
    <w:p w14:paraId="1C18E3DE">
      <w:pPr>
        <w:pStyle w:val="26"/>
        <w:rPr>
          <w:rFonts w:eastAsia="楷体"/>
          <w:color w:val="auto"/>
          <w:sz w:val="21"/>
          <w:szCs w:val="24"/>
        </w:rPr>
      </w:pPr>
      <w:r>
        <w:rPr>
          <w:rFonts w:eastAsia="楷体"/>
          <w:color w:val="auto"/>
          <w:sz w:val="21"/>
          <w:szCs w:val="24"/>
        </w:rPr>
        <w:t>图</w:t>
      </w:r>
      <w:r>
        <w:rPr>
          <w:rFonts w:hint="eastAsia" w:eastAsia="楷体"/>
          <w:color w:val="auto"/>
          <w:sz w:val="21"/>
          <w:szCs w:val="24"/>
        </w:rPr>
        <w:t>25</w:t>
      </w:r>
      <w:r>
        <w:rPr>
          <w:rFonts w:eastAsia="楷体"/>
          <w:color w:val="auto"/>
          <w:sz w:val="21"/>
          <w:szCs w:val="24"/>
        </w:rPr>
        <w:t xml:space="preserve">  模块单元抗倾覆稳定验算示意图</w:t>
      </w:r>
    </w:p>
    <w:p w14:paraId="6F100130">
      <w:pPr>
        <w:rPr>
          <w:color w:val="auto"/>
        </w:rPr>
      </w:pPr>
      <m:oMathPara>
        <m:oMath>
          <m:sSub>
            <m:sSubPr>
              <m:ctrlPr>
                <w:rPr>
                  <w:rFonts w:ascii="Cambria Math" w:hAnsi="Cambria Math"/>
                  <w:i/>
                  <w:color w:val="auto"/>
                </w:rPr>
              </m:ctrlPr>
            </m:sSubPr>
            <m:e>
              <m:r>
                <m:rPr/>
                <w:rPr>
                  <w:rFonts w:ascii="Cambria Math" w:hAnsi="Cambria Math"/>
                  <w:color w:val="auto"/>
                </w:rPr>
                <m:t>M</m:t>
              </m:r>
              <m:ctrlPr>
                <w:rPr>
                  <w:rFonts w:ascii="Cambria Math" w:hAnsi="Cambria Math"/>
                  <w:i/>
                  <w:color w:val="auto"/>
                </w:rPr>
              </m:ctrlPr>
            </m:e>
            <m:sub>
              <m:r>
                <m:rPr>
                  <m:sty m:val="p"/>
                </m:rPr>
                <w:rPr>
                  <w:rFonts w:ascii="Cambria Math" w:hAnsi="Cambria Math"/>
                  <w:color w:val="auto"/>
                </w:rPr>
                <m:t>w</m:t>
              </m:r>
              <m:ctrlPr>
                <w:rPr>
                  <w:rFonts w:ascii="Cambria Math" w:hAnsi="Cambria Math"/>
                  <w:i/>
                  <w:color w:val="auto"/>
                </w:rPr>
              </m:ctrlPr>
            </m:sub>
          </m:sSub>
          <m:r>
            <m:rPr>
              <m:nor/>
              <m:sty m:val="p"/>
            </m:rPr>
            <w:rPr>
              <w:color w:val="auto"/>
            </w:rPr>
            <m:t>=</m:t>
          </m:r>
          <m:f>
            <m:fPr>
              <m:ctrlPr>
                <w:rPr>
                  <w:rFonts w:ascii="Cambria Math" w:hAnsi="Cambria Math"/>
                  <w:color w:val="auto"/>
                </w:rPr>
              </m:ctrlPr>
            </m:fPr>
            <m:num>
              <m:r>
                <m:rPr>
                  <m:nor/>
                </m:rPr>
                <w:rPr>
                  <w:i/>
                  <w:color w:val="auto"/>
                </w:rPr>
                <m:t>WB</m:t>
              </m:r>
              <m:sSup>
                <m:sSupPr>
                  <m:ctrlPr>
                    <w:rPr>
                      <w:rFonts w:ascii="Cambria Math" w:hAnsi="Cambria Math"/>
                      <w:color w:val="auto"/>
                    </w:rPr>
                  </m:ctrlPr>
                </m:sSupPr>
                <m:e>
                  <m:r>
                    <m:rPr>
                      <m:nor/>
                    </m:rPr>
                    <w:rPr>
                      <w:i/>
                      <w:color w:val="auto"/>
                    </w:rPr>
                    <m:t>H</m:t>
                  </m:r>
                  <m:ctrlPr>
                    <w:rPr>
                      <w:rFonts w:ascii="Cambria Math" w:hAnsi="Cambria Math"/>
                      <w:color w:val="auto"/>
                    </w:rPr>
                  </m:ctrlPr>
                </m:e>
                <m:sup>
                  <m:r>
                    <m:rPr>
                      <m:nor/>
                      <m:sty m:val="p"/>
                    </m:rPr>
                    <w:rPr>
                      <w:color w:val="auto"/>
                    </w:rPr>
                    <m:t>2</m:t>
                  </m:r>
                  <m:ctrlPr>
                    <w:rPr>
                      <w:rFonts w:ascii="Cambria Math" w:hAnsi="Cambria Math"/>
                      <w:color w:val="auto"/>
                    </w:rPr>
                  </m:ctrlPr>
                </m:sup>
              </m:sSup>
              <m:ctrlPr>
                <w:rPr>
                  <w:rFonts w:ascii="Cambria Math" w:hAnsi="Cambria Math"/>
                  <w:color w:val="auto"/>
                </w:rPr>
              </m:ctrlPr>
            </m:num>
            <m:den>
              <m:r>
                <m:rPr>
                  <m:nor/>
                  <m:sty m:val="p"/>
                </m:rPr>
                <w:rPr>
                  <w:color w:val="auto"/>
                </w:rPr>
                <m:t>2</m:t>
              </m:r>
              <m:ctrlPr>
                <w:rPr>
                  <w:rFonts w:ascii="Cambria Math" w:hAnsi="Cambria Math"/>
                  <w:color w:val="auto"/>
                </w:rPr>
              </m:ctrlPr>
            </m:den>
          </m:f>
        </m:oMath>
      </m:oMathPara>
    </w:p>
    <w:p w14:paraId="5F7C4E3A">
      <w:pPr>
        <w:rPr>
          <w:color w:val="auto"/>
        </w:rPr>
      </w:pPr>
      <m:oMathPara>
        <m:oMathParaPr>
          <m:jc m:val="center"/>
        </m:oMathParaPr>
        <m:oMath>
          <m:sSub>
            <m:sSubPr>
              <m:ctrlPr>
                <w:rPr>
                  <w:rFonts w:ascii="Cambria Math" w:hAnsi="Cambria Math"/>
                  <w:i/>
                  <w:color w:val="auto"/>
                </w:rPr>
              </m:ctrlPr>
            </m:sSubPr>
            <m:e>
              <m:r>
                <m:rPr/>
                <w:rPr>
                  <w:rFonts w:ascii="Cambria Math" w:hAnsi="Cambria Math"/>
                  <w:color w:val="auto"/>
                </w:rPr>
                <m:t>M</m:t>
              </m:r>
              <m:ctrlPr>
                <w:rPr>
                  <w:rFonts w:ascii="Cambria Math" w:hAnsi="Cambria Math"/>
                  <w:i/>
                  <w:color w:val="auto"/>
                </w:rPr>
              </m:ctrlPr>
            </m:e>
            <m:sub>
              <m:r>
                <m:rPr>
                  <m:sty m:val="p"/>
                </m:rPr>
                <w:rPr>
                  <w:rFonts w:ascii="Cambria Math" w:hAnsi="Cambria Math"/>
                  <w:color w:val="auto"/>
                </w:rPr>
                <m:t>g</m:t>
              </m:r>
              <m:ctrlPr>
                <w:rPr>
                  <w:rFonts w:ascii="Cambria Math" w:hAnsi="Cambria Math"/>
                  <w:i/>
                  <w:color w:val="auto"/>
                </w:rPr>
              </m:ctrlPr>
            </m:sub>
          </m:sSub>
          <m:r>
            <m:rPr>
              <m:nor/>
              <m:sty m:val="p"/>
            </m:rPr>
            <w:rPr>
              <w:color w:val="auto"/>
            </w:rPr>
            <m:t>=</m:t>
          </m:r>
          <m:r>
            <m:rPr>
              <m:nor/>
            </m:rPr>
            <w:rPr>
              <w:i/>
              <w:color w:val="auto"/>
            </w:rPr>
            <m:t>GL</m:t>
          </m:r>
        </m:oMath>
      </m:oMathPara>
    </w:p>
    <w:p w14:paraId="5265C127">
      <w:pPr>
        <w:rPr>
          <w:color w:val="auto"/>
        </w:rPr>
      </w:pPr>
      <m:oMathPara>
        <m:oMath>
          <m:sSub>
            <m:sSubPr>
              <m:ctrlPr>
                <w:rPr>
                  <w:rFonts w:ascii="Cambria Math" w:hAnsi="Cambria Math"/>
                  <w:i/>
                  <w:color w:val="auto"/>
                </w:rPr>
              </m:ctrlPr>
            </m:sSubPr>
            <m:e>
              <m:r>
                <m:rPr/>
                <w:rPr>
                  <w:rFonts w:ascii="Cambria Math" w:hAnsi="Cambria Math"/>
                  <w:color w:val="auto"/>
                </w:rPr>
                <m:t>N</m:t>
              </m:r>
              <m:ctrlPr>
                <w:rPr>
                  <w:rFonts w:ascii="Cambria Math" w:hAnsi="Cambria Math"/>
                  <w:i/>
                  <w:color w:val="auto"/>
                </w:rPr>
              </m:ctrlPr>
            </m:e>
            <m:sub>
              <m:r>
                <m:rPr>
                  <m:sty m:val="p"/>
                </m:rPr>
                <w:rPr>
                  <w:rFonts w:ascii="Cambria Math" w:hAnsi="Cambria Math"/>
                  <w:color w:val="auto"/>
                </w:rPr>
                <m:t>w</m:t>
              </m:r>
              <m:ctrlPr>
                <w:rPr>
                  <w:rFonts w:ascii="Cambria Math" w:hAnsi="Cambria Math"/>
                  <w:i/>
                  <w:color w:val="auto"/>
                </w:rPr>
              </m:ctrlPr>
            </m:sub>
          </m:sSub>
          <m:r>
            <m:rPr>
              <m:nor/>
              <m:sty m:val="p"/>
            </m:rPr>
            <w:rPr>
              <w:color w:val="auto"/>
            </w:rPr>
            <m:t>=</m:t>
          </m:r>
          <m:r>
            <m:rPr>
              <m:nor/>
            </m:rPr>
            <w:rPr>
              <w:i/>
              <w:iCs/>
              <w:color w:val="auto"/>
            </w:rPr>
            <m:t>WBH</m:t>
          </m:r>
        </m:oMath>
      </m:oMathPara>
    </w:p>
    <w:p w14:paraId="7AAFBB32">
      <w:pPr>
        <w:spacing w:line="312" w:lineRule="auto"/>
        <w:rPr>
          <w:rFonts w:eastAsia="楷体"/>
          <w:color w:val="auto"/>
        </w:rPr>
      </w:pPr>
      <w:r>
        <w:rPr>
          <w:rFonts w:eastAsia="楷体"/>
          <w:color w:val="auto"/>
        </w:rPr>
        <w:t>式中：</w:t>
      </w:r>
    </w:p>
    <w:p w14:paraId="7369FF8B">
      <w:pPr>
        <w:spacing w:line="312" w:lineRule="auto"/>
        <w:ind w:firstLine="420" w:firstLineChars="200"/>
        <w:rPr>
          <w:rFonts w:eastAsia="楷体"/>
          <w:color w:val="auto"/>
        </w:rPr>
      </w:pPr>
      <w:r>
        <w:rPr>
          <w:rFonts w:eastAsia="楷体"/>
          <w:i/>
          <w:color w:val="auto"/>
        </w:rPr>
        <w:t>M</w:t>
      </w:r>
      <w:r>
        <w:rPr>
          <w:rFonts w:eastAsia="楷体"/>
          <w:color w:val="auto"/>
          <w:vertAlign w:val="subscript"/>
        </w:rPr>
        <w:t>w</w:t>
      </w:r>
      <w:r>
        <w:rPr>
          <w:rFonts w:eastAsia="楷体"/>
          <w:color w:val="auto"/>
        </w:rPr>
        <w:t xml:space="preserve"> – 风荷载标准值作用下的倾覆力矩；</w:t>
      </w:r>
    </w:p>
    <w:p w14:paraId="6C8D7C1B">
      <w:pPr>
        <w:spacing w:line="312" w:lineRule="auto"/>
        <w:ind w:firstLine="420" w:firstLineChars="200"/>
        <w:rPr>
          <w:rFonts w:eastAsia="楷体"/>
          <w:color w:val="auto"/>
        </w:rPr>
      </w:pPr>
      <w:r>
        <w:rPr>
          <w:rFonts w:eastAsia="楷体"/>
          <w:i/>
          <w:color w:val="auto"/>
        </w:rPr>
        <w:t>M</w:t>
      </w:r>
      <w:r>
        <w:rPr>
          <w:rFonts w:eastAsia="楷体"/>
          <w:color w:val="auto"/>
          <w:vertAlign w:val="subscript"/>
        </w:rPr>
        <w:t>g</w:t>
      </w:r>
      <w:r>
        <w:rPr>
          <w:rFonts w:eastAsia="楷体"/>
          <w:color w:val="auto"/>
        </w:rPr>
        <w:t xml:space="preserve"> – 模块单元自重标准值下的抗倾覆力矩；</w:t>
      </w:r>
    </w:p>
    <w:p w14:paraId="05A4B4C1">
      <w:pPr>
        <w:spacing w:line="312" w:lineRule="auto"/>
        <w:ind w:firstLine="420" w:firstLineChars="200"/>
        <w:rPr>
          <w:rFonts w:eastAsia="楷体"/>
          <w:color w:val="auto"/>
        </w:rPr>
      </w:pPr>
      <w:r>
        <w:rPr>
          <w:rFonts w:eastAsia="楷体"/>
          <w:i/>
          <w:color w:val="auto"/>
        </w:rPr>
        <w:t>N</w:t>
      </w:r>
      <w:r>
        <w:rPr>
          <w:rFonts w:eastAsia="楷体"/>
          <w:color w:val="auto"/>
          <w:vertAlign w:val="subscript"/>
        </w:rPr>
        <w:t>w</w:t>
      </w:r>
      <w:r>
        <w:rPr>
          <w:rFonts w:eastAsia="楷体"/>
          <w:color w:val="auto"/>
        </w:rPr>
        <w:t xml:space="preserve"> – 风荷载标准值作用下的水平力；</w:t>
      </w:r>
    </w:p>
    <w:p w14:paraId="4AB5D811">
      <w:pPr>
        <w:spacing w:line="312" w:lineRule="auto"/>
        <w:ind w:firstLine="420" w:firstLineChars="200"/>
        <w:rPr>
          <w:rFonts w:eastAsia="楷体"/>
          <w:color w:val="auto"/>
        </w:rPr>
      </w:pPr>
      <w:r>
        <w:rPr>
          <w:rFonts w:eastAsia="楷体"/>
          <w:i/>
          <w:color w:val="auto"/>
        </w:rPr>
        <w:t>G</w:t>
      </w:r>
      <w:r>
        <w:rPr>
          <w:rFonts w:eastAsia="楷体"/>
          <w:color w:val="auto"/>
        </w:rPr>
        <w:t xml:space="preserve"> – 模块单元的重力荷载标准值；</w:t>
      </w:r>
    </w:p>
    <w:p w14:paraId="56A8F8CF">
      <w:pPr>
        <w:spacing w:line="312" w:lineRule="auto"/>
        <w:ind w:firstLine="420" w:firstLineChars="200"/>
        <w:rPr>
          <w:rFonts w:eastAsia="楷体"/>
          <w:color w:val="auto"/>
        </w:rPr>
      </w:pPr>
      <w:r>
        <w:rPr>
          <w:rFonts w:eastAsia="楷体"/>
          <w:i/>
          <w:color w:val="auto"/>
        </w:rPr>
        <w:t>W</w:t>
      </w:r>
      <w:r>
        <w:rPr>
          <w:rFonts w:eastAsia="楷体"/>
          <w:color w:val="auto"/>
        </w:rPr>
        <w:t xml:space="preserve"> – 模块单元的墙面所受风荷载标准值；</w:t>
      </w:r>
    </w:p>
    <w:p w14:paraId="3633C16A">
      <w:pPr>
        <w:spacing w:line="312" w:lineRule="auto"/>
        <w:ind w:firstLine="420" w:firstLineChars="200"/>
        <w:rPr>
          <w:rFonts w:eastAsia="楷体"/>
          <w:color w:val="auto"/>
        </w:rPr>
      </w:pPr>
      <w:r>
        <w:rPr>
          <w:rFonts w:eastAsia="楷体"/>
          <w:i/>
          <w:color w:val="auto"/>
        </w:rPr>
        <w:t>H</w:t>
      </w:r>
      <w:r>
        <w:rPr>
          <w:rFonts w:eastAsia="楷体"/>
          <w:color w:val="auto"/>
        </w:rPr>
        <w:t xml:space="preserve"> – 模块单元的高度；</w:t>
      </w:r>
    </w:p>
    <w:p w14:paraId="2880915B">
      <w:pPr>
        <w:spacing w:line="312" w:lineRule="auto"/>
        <w:ind w:firstLine="420" w:firstLineChars="200"/>
        <w:rPr>
          <w:rFonts w:eastAsia="楷体"/>
          <w:color w:val="auto"/>
        </w:rPr>
      </w:pPr>
      <w:r>
        <w:rPr>
          <w:rFonts w:eastAsia="楷体"/>
          <w:i/>
          <w:iCs/>
          <w:color w:val="auto"/>
        </w:rPr>
        <w:t xml:space="preserve">B </w:t>
      </w:r>
      <w:r>
        <w:rPr>
          <w:rFonts w:eastAsia="楷体"/>
          <w:color w:val="auto"/>
        </w:rPr>
        <w:t>– 模块单元迎风面宽度；</w:t>
      </w:r>
    </w:p>
    <w:p w14:paraId="4568F149">
      <w:pPr>
        <w:spacing w:line="312" w:lineRule="auto"/>
        <w:ind w:firstLine="420" w:firstLineChars="200"/>
        <w:rPr>
          <w:rFonts w:eastAsia="楷体"/>
          <w:color w:val="auto"/>
        </w:rPr>
      </w:pPr>
      <w:r>
        <w:rPr>
          <w:rFonts w:eastAsia="楷体"/>
          <w:i/>
          <w:color w:val="auto"/>
        </w:rPr>
        <w:t>L</w:t>
      </w:r>
      <w:r>
        <w:rPr>
          <w:rFonts w:eastAsia="楷体"/>
          <w:color w:val="auto"/>
        </w:rPr>
        <w:t xml:space="preserve"> – 模块单元重心点到倾覆支点的距离。</w:t>
      </w:r>
    </w:p>
    <w:p w14:paraId="473EFA76">
      <w:pPr>
        <w:pStyle w:val="3"/>
        <w:rPr>
          <w:color w:val="auto"/>
        </w:rPr>
      </w:pPr>
      <w:bookmarkStart w:id="235" w:name="_Toc22977"/>
      <w:bookmarkStart w:id="236" w:name="_Toc31448"/>
      <w:bookmarkStart w:id="237" w:name="_Toc7112"/>
      <w:bookmarkStart w:id="238" w:name="_Toc1193"/>
      <w:bookmarkStart w:id="239" w:name="_Toc6579"/>
      <w:bookmarkStart w:id="240" w:name="_Toc22077"/>
      <w:bookmarkStart w:id="241" w:name="_Toc6862"/>
      <w:bookmarkStart w:id="242" w:name="_Toc1001"/>
      <w:bookmarkStart w:id="243" w:name="_Toc4120"/>
      <w:r>
        <w:rPr>
          <w:b/>
          <w:bCs w:val="0"/>
          <w:color w:val="auto"/>
        </w:rPr>
        <w:t>7</w:t>
      </w:r>
      <w:r>
        <w:rPr>
          <w:rFonts w:hint="eastAsia"/>
          <w:b/>
          <w:bCs w:val="0"/>
          <w:color w:val="auto"/>
        </w:rPr>
        <w:t>.</w:t>
      </w:r>
      <w:r>
        <w:rPr>
          <w:b/>
          <w:bCs w:val="0"/>
          <w:color w:val="auto"/>
        </w:rPr>
        <w:t>3</w:t>
      </w:r>
      <w:r>
        <w:rPr>
          <w:rFonts w:hint="eastAsia"/>
          <w:color w:val="auto"/>
        </w:rPr>
        <w:t xml:space="preserve">  构造要求</w:t>
      </w:r>
      <w:bookmarkEnd w:id="235"/>
      <w:bookmarkEnd w:id="236"/>
      <w:bookmarkEnd w:id="237"/>
      <w:bookmarkEnd w:id="238"/>
      <w:bookmarkEnd w:id="239"/>
      <w:bookmarkEnd w:id="240"/>
      <w:bookmarkEnd w:id="241"/>
      <w:bookmarkEnd w:id="242"/>
      <w:bookmarkEnd w:id="243"/>
    </w:p>
    <w:p w14:paraId="16B87E8B">
      <w:pPr>
        <w:numPr>
          <w:ilvl w:val="0"/>
          <w:numId w:val="20"/>
        </w:numPr>
        <w:spacing w:line="312" w:lineRule="auto"/>
        <w:rPr>
          <w:color w:val="auto"/>
        </w:rPr>
      </w:pPr>
      <w:r>
        <w:rPr>
          <w:color w:val="auto"/>
        </w:rPr>
        <w:t>框架式模块中，承重构件的截面设计应符合下列规定：</w:t>
      </w:r>
    </w:p>
    <w:p w14:paraId="2CAC51CA">
      <w:pPr>
        <w:spacing w:line="312" w:lineRule="auto"/>
        <w:ind w:firstLine="422" w:firstLineChars="200"/>
        <w:rPr>
          <w:color w:val="auto"/>
          <w:szCs w:val="21"/>
        </w:rPr>
      </w:pPr>
      <w:r>
        <w:rPr>
          <w:b/>
          <w:color w:val="auto"/>
          <w:szCs w:val="21"/>
        </w:rPr>
        <w:t xml:space="preserve">1  </w:t>
      </w:r>
      <w:r>
        <w:rPr>
          <w:color w:val="auto"/>
          <w:szCs w:val="21"/>
        </w:rPr>
        <w:t>框架梁的宽度不</w:t>
      </w:r>
      <w:r>
        <w:rPr>
          <w:rFonts w:hint="eastAsia"/>
          <w:color w:val="auto"/>
          <w:szCs w:val="21"/>
        </w:rPr>
        <w:t>应</w:t>
      </w:r>
      <w:r>
        <w:rPr>
          <w:color w:val="auto"/>
          <w:szCs w:val="21"/>
        </w:rPr>
        <w:t>小于200mm，短跨和长跨框架梁宜采用不同的高度；</w:t>
      </w:r>
    </w:p>
    <w:p w14:paraId="147011CE">
      <w:pPr>
        <w:spacing w:line="312" w:lineRule="auto"/>
        <w:ind w:firstLine="422" w:firstLineChars="200"/>
        <w:rPr>
          <w:color w:val="auto"/>
          <w:szCs w:val="21"/>
        </w:rPr>
      </w:pPr>
      <w:r>
        <w:rPr>
          <w:b/>
          <w:color w:val="auto"/>
          <w:szCs w:val="21"/>
        </w:rPr>
        <w:t xml:space="preserve">2  </w:t>
      </w:r>
      <w:r>
        <w:rPr>
          <w:color w:val="auto"/>
          <w:szCs w:val="21"/>
        </w:rPr>
        <w:t>抗震等级为四级或不超过2层时，柱的截面</w:t>
      </w:r>
      <w:r>
        <w:rPr>
          <w:rFonts w:hint="eastAsia"/>
          <w:color w:val="auto"/>
          <w:szCs w:val="21"/>
        </w:rPr>
        <w:t>尺寸</w:t>
      </w:r>
      <w:r>
        <w:rPr>
          <w:color w:val="auto"/>
          <w:szCs w:val="21"/>
        </w:rPr>
        <w:t>不宜小于</w:t>
      </w:r>
      <w:r>
        <w:rPr>
          <w:rFonts w:hint="eastAsia"/>
          <w:color w:val="auto"/>
          <w:szCs w:val="21"/>
        </w:rPr>
        <w:t>300</w:t>
      </w:r>
      <w:r>
        <w:rPr>
          <w:color w:val="auto"/>
          <w:szCs w:val="21"/>
        </w:rPr>
        <w:t>mm</w:t>
      </w:r>
      <w:r>
        <w:rPr>
          <w:rFonts w:hint="eastAsia"/>
          <w:color w:val="auto"/>
          <w:szCs w:val="21"/>
        </w:rPr>
        <w:t>。</w:t>
      </w:r>
      <w:r>
        <w:rPr>
          <w:color w:val="auto"/>
          <w:szCs w:val="21"/>
        </w:rPr>
        <w:t>二、三级且超过2层时不宜小于</w:t>
      </w:r>
      <w:r>
        <w:rPr>
          <w:rFonts w:hint="eastAsia"/>
          <w:color w:val="auto"/>
          <w:szCs w:val="21"/>
        </w:rPr>
        <w:t>40</w:t>
      </w:r>
      <w:r>
        <w:rPr>
          <w:color w:val="auto"/>
          <w:szCs w:val="21"/>
        </w:rPr>
        <w:t>0mm</w:t>
      </w:r>
      <w:r>
        <w:rPr>
          <w:rFonts w:hint="eastAsia"/>
          <w:color w:val="auto"/>
          <w:szCs w:val="21"/>
        </w:rPr>
        <w:t>。</w:t>
      </w:r>
    </w:p>
    <w:p w14:paraId="0337B1D9">
      <w:pPr>
        <w:numPr>
          <w:ilvl w:val="0"/>
          <w:numId w:val="20"/>
        </w:numPr>
        <w:spacing w:line="312" w:lineRule="auto"/>
        <w:rPr>
          <w:color w:val="auto"/>
        </w:rPr>
      </w:pPr>
      <w:r>
        <w:rPr>
          <w:rFonts w:hint="eastAsia"/>
          <w:color w:val="auto"/>
        </w:rPr>
        <w:t>剪力墙式模块与箱</w:t>
      </w:r>
      <w:r>
        <w:rPr>
          <w:color w:val="auto"/>
        </w:rPr>
        <w:t>模式模块中的</w:t>
      </w:r>
      <w:r>
        <w:rPr>
          <w:rFonts w:hint="eastAsia"/>
          <w:color w:val="auto"/>
        </w:rPr>
        <w:t>模壳板</w:t>
      </w:r>
      <w:r>
        <w:rPr>
          <w:color w:val="auto"/>
        </w:rPr>
        <w:t>应符合下列规定：</w:t>
      </w:r>
    </w:p>
    <w:p w14:paraId="197D28C4">
      <w:pPr>
        <w:spacing w:line="312" w:lineRule="auto"/>
        <w:ind w:firstLine="422" w:firstLineChars="200"/>
        <w:rPr>
          <w:b/>
          <w:bCs/>
          <w:color w:val="auto"/>
        </w:rPr>
      </w:pPr>
      <w:r>
        <w:rPr>
          <w:b/>
          <w:bCs/>
          <w:color w:val="auto"/>
        </w:rPr>
        <w:t xml:space="preserve">1  </w:t>
      </w:r>
      <w:r>
        <w:rPr>
          <w:color w:val="auto"/>
        </w:rPr>
        <w:t>混凝</w:t>
      </w:r>
      <w:r>
        <w:rPr>
          <w:rFonts w:hint="eastAsia"/>
          <w:color w:val="auto"/>
        </w:rPr>
        <w:t>土</w:t>
      </w:r>
      <w:r>
        <w:rPr>
          <w:color w:val="auto"/>
        </w:rPr>
        <w:t>强度等级不宜低于C50</w:t>
      </w:r>
      <w:r>
        <w:rPr>
          <w:rFonts w:hint="eastAsia"/>
          <w:color w:val="auto"/>
        </w:rPr>
        <w:t>；</w:t>
      </w:r>
    </w:p>
    <w:p w14:paraId="111C8209">
      <w:pPr>
        <w:spacing w:line="312" w:lineRule="auto"/>
        <w:ind w:firstLine="422" w:firstLineChars="200"/>
        <w:rPr>
          <w:color w:val="auto"/>
        </w:rPr>
      </w:pPr>
      <w:r>
        <w:rPr>
          <w:rFonts w:hint="eastAsia"/>
          <w:b/>
          <w:bCs/>
          <w:color w:val="auto"/>
        </w:rPr>
        <w:t>2</w:t>
      </w:r>
      <w:r>
        <w:rPr>
          <w:rFonts w:hint="eastAsia"/>
          <w:color w:val="auto"/>
        </w:rPr>
        <w:t xml:space="preserve">  </w:t>
      </w:r>
      <w:r>
        <w:rPr>
          <w:color w:val="auto"/>
        </w:rPr>
        <w:t>厚度</w:t>
      </w:r>
      <w:r>
        <w:rPr>
          <w:rFonts w:hint="eastAsia"/>
          <w:color w:val="auto"/>
        </w:rPr>
        <w:t>不应小于3</w:t>
      </w:r>
      <w:r>
        <w:rPr>
          <w:color w:val="auto"/>
        </w:rPr>
        <w:t>0</w:t>
      </w:r>
      <w:r>
        <w:rPr>
          <w:rFonts w:hint="eastAsia"/>
          <w:color w:val="auto"/>
        </w:rPr>
        <w:t>mm</w:t>
      </w:r>
      <w:r>
        <w:rPr>
          <w:color w:val="auto"/>
        </w:rPr>
        <w:t>；</w:t>
      </w:r>
    </w:p>
    <w:p w14:paraId="244E55E1">
      <w:pPr>
        <w:spacing w:line="312" w:lineRule="auto"/>
        <w:ind w:firstLine="422" w:firstLineChars="200"/>
        <w:rPr>
          <w:color w:val="auto"/>
          <w:szCs w:val="21"/>
        </w:rPr>
      </w:pPr>
      <w:r>
        <w:rPr>
          <w:rFonts w:hint="eastAsia"/>
          <w:b/>
          <w:color w:val="auto"/>
        </w:rPr>
        <w:t>3</w:t>
      </w:r>
      <w:r>
        <w:rPr>
          <w:b/>
          <w:color w:val="auto"/>
        </w:rPr>
        <w:t xml:space="preserve">  </w:t>
      </w:r>
      <w:r>
        <w:rPr>
          <w:color w:val="auto"/>
          <w:szCs w:val="21"/>
        </w:rPr>
        <w:t>分布钢筋直径不宜小于6mm，间距不宜大于200mm</w:t>
      </w:r>
      <w:r>
        <w:rPr>
          <w:rFonts w:hint="eastAsia"/>
          <w:color w:val="auto"/>
          <w:szCs w:val="21"/>
        </w:rPr>
        <w:t>。</w:t>
      </w:r>
    </w:p>
    <w:p w14:paraId="65745927">
      <w:pPr>
        <w:pStyle w:val="33"/>
        <w:rPr>
          <w:color w:val="auto"/>
        </w:rPr>
      </w:pPr>
      <w:r>
        <w:rPr>
          <w:rFonts w:hint="eastAsia" w:ascii="楷体" w:hAnsi="楷体" w:cs="楷体"/>
          <w:color w:val="auto"/>
          <w:szCs w:val="21"/>
        </w:rPr>
        <w:t>【条文说明】</w:t>
      </w:r>
      <w:r>
        <w:rPr>
          <w:rFonts w:hint="eastAsia"/>
          <w:color w:val="auto"/>
        </w:rPr>
        <w:t>墙模、梁模作为剪力墙式模块和箱模式模块的重要组成部分，既作为模块单元的围护墙体，又兼做混凝土浇筑时的模板，其厚度不宜过大，避免过度侵占室内使用空间，为满足墙模、梁模在施工过程中，不出现较大变形或开裂，应加入钢筋，且宜选用C50以上强度等级的混凝土，设置可靠的拉节点，保证其受力性能，增强抗裂性。此外，还需分析墙模抗涨模性能。</w:t>
      </w:r>
    </w:p>
    <w:p w14:paraId="7F0A6719">
      <w:pPr>
        <w:numPr>
          <w:ilvl w:val="0"/>
          <w:numId w:val="20"/>
        </w:numPr>
        <w:spacing w:line="312" w:lineRule="auto"/>
        <w:rPr>
          <w:color w:val="auto"/>
        </w:rPr>
      </w:pPr>
      <w:r>
        <w:rPr>
          <w:rFonts w:hint="eastAsia"/>
          <w:color w:val="auto"/>
        </w:rPr>
        <w:t>模块单元</w:t>
      </w:r>
      <w:r>
        <w:rPr>
          <w:color w:val="auto"/>
        </w:rPr>
        <w:t>底板应符合下列规定：</w:t>
      </w:r>
    </w:p>
    <w:p w14:paraId="562412C1">
      <w:pPr>
        <w:spacing w:line="312" w:lineRule="auto"/>
        <w:ind w:firstLine="422" w:firstLineChars="200"/>
        <w:rPr>
          <w:b/>
          <w:color w:val="auto"/>
        </w:rPr>
      </w:pPr>
      <w:r>
        <w:rPr>
          <w:rFonts w:hint="eastAsia"/>
          <w:b/>
          <w:bCs/>
          <w:color w:val="auto"/>
          <w:szCs w:val="21"/>
        </w:rPr>
        <w:t>1</w:t>
      </w:r>
      <w:r>
        <w:rPr>
          <w:b/>
          <w:bCs/>
          <w:color w:val="auto"/>
          <w:szCs w:val="21"/>
        </w:rPr>
        <w:t xml:space="preserve">  </w:t>
      </w:r>
      <w:r>
        <w:rPr>
          <w:color w:val="auto"/>
          <w:szCs w:val="21"/>
        </w:rPr>
        <w:t>厚度不宜小于60mm；</w:t>
      </w:r>
    </w:p>
    <w:p w14:paraId="73AE7591">
      <w:pPr>
        <w:spacing w:line="312" w:lineRule="auto"/>
        <w:ind w:firstLine="422" w:firstLineChars="200"/>
        <w:rPr>
          <w:color w:val="auto"/>
          <w:szCs w:val="21"/>
        </w:rPr>
      </w:pPr>
      <w:r>
        <w:rPr>
          <w:rFonts w:hint="eastAsia" w:eastAsia="黑体"/>
          <w:b/>
          <w:color w:val="auto"/>
          <w:szCs w:val="21"/>
        </w:rPr>
        <w:t>2</w:t>
      </w:r>
      <w:r>
        <w:rPr>
          <w:rFonts w:eastAsia="黑体"/>
          <w:b/>
          <w:color w:val="auto"/>
          <w:szCs w:val="21"/>
        </w:rPr>
        <w:t xml:space="preserve">  </w:t>
      </w:r>
      <w:r>
        <w:rPr>
          <w:rFonts w:hint="eastAsia" w:ascii="宋体" w:hAnsi="宋体" w:cs="宋体"/>
          <w:bCs/>
          <w:color w:val="auto"/>
          <w:szCs w:val="21"/>
        </w:rPr>
        <w:t>宜采用单层双向配筋，并应符合</w:t>
      </w:r>
      <w:r>
        <w:rPr>
          <w:color w:val="auto"/>
          <w:szCs w:val="21"/>
        </w:rPr>
        <w:t>现行国家标准《混凝土结构设计</w:t>
      </w:r>
      <w:r>
        <w:rPr>
          <w:rFonts w:hint="eastAsia"/>
          <w:color w:val="auto"/>
          <w:szCs w:val="21"/>
        </w:rPr>
        <w:t>标准</w:t>
      </w:r>
      <w:r>
        <w:rPr>
          <w:color w:val="auto"/>
          <w:szCs w:val="21"/>
        </w:rPr>
        <w:t>》GB</w:t>
      </w:r>
      <w:r>
        <w:rPr>
          <w:rFonts w:hint="eastAsia"/>
          <w:color w:val="auto"/>
          <w:szCs w:val="21"/>
        </w:rPr>
        <w:t>/T</w:t>
      </w:r>
      <w:r>
        <w:rPr>
          <w:color w:val="auto"/>
          <w:szCs w:val="21"/>
        </w:rPr>
        <w:t xml:space="preserve"> 50010的规定。</w:t>
      </w:r>
    </w:p>
    <w:p w14:paraId="570B3144">
      <w:pPr>
        <w:spacing w:line="312" w:lineRule="auto"/>
        <w:ind w:firstLine="420" w:firstLineChars="200"/>
        <w:rPr>
          <w:rFonts w:eastAsia="楷体"/>
          <w:color w:val="auto"/>
          <w:szCs w:val="21"/>
        </w:rPr>
      </w:pPr>
      <w:r>
        <w:rPr>
          <w:rFonts w:eastAsia="楷体"/>
          <w:color w:val="auto"/>
          <w:szCs w:val="21"/>
        </w:rPr>
        <w:t>【条文说明】六面体模块单元中底板仅作为构造底板，可在构造底板上完成装修作业，底板厚度不宜小于60mm，以保证模块单元的整体刚度和稳定性，底板配筋应采用单层双向配筋，确保满足抗裂要求。</w:t>
      </w:r>
    </w:p>
    <w:p w14:paraId="42713539">
      <w:pPr>
        <w:numPr>
          <w:ilvl w:val="0"/>
          <w:numId w:val="20"/>
        </w:numPr>
        <w:spacing w:line="312" w:lineRule="auto"/>
        <w:rPr>
          <w:color w:val="auto"/>
        </w:rPr>
      </w:pPr>
      <w:r>
        <w:rPr>
          <w:rFonts w:hint="eastAsia"/>
          <w:color w:val="auto"/>
        </w:rPr>
        <w:t>模块单元与后浇混凝土、灌浆料、座浆材料的结合面应设置粗糙面、键槽，粗糙面、键槽的设置应符合设计要求和现行行业标准《装配式混凝土结构技术规程》JGJ 1的规定。</w:t>
      </w:r>
    </w:p>
    <w:p w14:paraId="05F0D6FE">
      <w:pPr>
        <w:spacing w:line="312" w:lineRule="auto"/>
        <w:ind w:firstLine="420" w:firstLineChars="200"/>
        <w:rPr>
          <w:rFonts w:eastAsia="楷体"/>
          <w:color w:val="auto"/>
          <w:szCs w:val="21"/>
        </w:rPr>
      </w:pPr>
      <w:r>
        <w:rPr>
          <w:rFonts w:eastAsia="楷体"/>
          <w:color w:val="auto"/>
          <w:szCs w:val="21"/>
        </w:rPr>
        <w:t>【条文说明】</w:t>
      </w:r>
      <w:r>
        <w:rPr>
          <w:rFonts w:hint="eastAsia" w:eastAsia="楷体"/>
          <w:color w:val="auto"/>
          <w:szCs w:val="21"/>
        </w:rPr>
        <w:t>模块单元中的墙模、梁模、柱模、顶板应设置粗糙面。当模块单元采用提前生产的预制构件在模具中通过二次浇筑形成整体时，预制构件与后浇混凝土的结合位置应根据工艺和设计要求设置粗糙面。</w:t>
      </w:r>
    </w:p>
    <w:p w14:paraId="74F72107">
      <w:pPr>
        <w:spacing w:line="312" w:lineRule="auto"/>
        <w:ind w:firstLine="420" w:firstLineChars="200"/>
        <w:rPr>
          <w:rFonts w:eastAsia="楷体"/>
          <w:color w:val="auto"/>
          <w:szCs w:val="21"/>
        </w:rPr>
      </w:pPr>
    </w:p>
    <w:p w14:paraId="60F26E8D">
      <w:pPr>
        <w:spacing w:line="312" w:lineRule="auto"/>
        <w:ind w:firstLine="420" w:firstLineChars="200"/>
        <w:rPr>
          <w:rFonts w:eastAsia="楷体"/>
          <w:color w:val="auto"/>
          <w:szCs w:val="21"/>
        </w:rPr>
        <w:sectPr>
          <w:pgSz w:w="11906" w:h="16838"/>
          <w:pgMar w:top="1440" w:right="1800" w:bottom="1440" w:left="1800" w:header="851" w:footer="992" w:gutter="0"/>
          <w:cols w:space="425" w:num="1"/>
          <w:docGrid w:type="lines" w:linePitch="312" w:charSpace="0"/>
        </w:sectPr>
      </w:pPr>
    </w:p>
    <w:p w14:paraId="6671D9D4">
      <w:pPr>
        <w:pStyle w:val="2"/>
        <w:rPr>
          <w:color w:val="auto"/>
        </w:rPr>
      </w:pPr>
      <w:bookmarkStart w:id="244" w:name="_Toc30198"/>
      <w:bookmarkStart w:id="245" w:name="_Toc28881"/>
      <w:bookmarkStart w:id="246" w:name="_Toc10218"/>
      <w:bookmarkStart w:id="247" w:name="_Toc18632"/>
      <w:bookmarkStart w:id="248" w:name="_Toc8466"/>
      <w:bookmarkStart w:id="249" w:name="_Toc6093"/>
      <w:bookmarkStart w:id="250" w:name="_Toc17308"/>
      <w:bookmarkStart w:id="251" w:name="_Toc4035"/>
      <w:bookmarkStart w:id="252" w:name="_Toc15082"/>
      <w:bookmarkStart w:id="253" w:name="_Toc110952717"/>
      <w:bookmarkStart w:id="254" w:name="_Toc110958485"/>
      <w:r>
        <w:rPr>
          <w:b/>
          <w:bCs/>
          <w:color w:val="auto"/>
        </w:rPr>
        <w:t>8</w:t>
      </w:r>
      <w:r>
        <w:rPr>
          <w:rFonts w:hint="eastAsia"/>
          <w:color w:val="auto"/>
        </w:rPr>
        <w:t xml:space="preserve">  设备、管线与内装系统设计</w:t>
      </w:r>
      <w:bookmarkEnd w:id="244"/>
      <w:bookmarkEnd w:id="245"/>
      <w:bookmarkEnd w:id="246"/>
      <w:bookmarkEnd w:id="247"/>
      <w:bookmarkEnd w:id="248"/>
      <w:bookmarkEnd w:id="249"/>
      <w:bookmarkEnd w:id="250"/>
      <w:bookmarkEnd w:id="251"/>
    </w:p>
    <w:p w14:paraId="504A8B76">
      <w:pPr>
        <w:pStyle w:val="3"/>
        <w:rPr>
          <w:color w:val="auto"/>
        </w:rPr>
      </w:pPr>
      <w:bookmarkStart w:id="255" w:name="_Toc26414"/>
      <w:bookmarkStart w:id="256" w:name="_Toc2946"/>
      <w:bookmarkStart w:id="257" w:name="_Toc10321"/>
      <w:bookmarkStart w:id="258" w:name="_Toc17473"/>
      <w:bookmarkStart w:id="259" w:name="_Toc7571"/>
      <w:bookmarkStart w:id="260" w:name="_Toc20149"/>
      <w:bookmarkStart w:id="261" w:name="_Toc599"/>
      <w:bookmarkStart w:id="262" w:name="_Toc4451"/>
      <w:r>
        <w:rPr>
          <w:b/>
          <w:bCs w:val="0"/>
          <w:color w:val="auto"/>
        </w:rPr>
        <w:t>8</w:t>
      </w:r>
      <w:r>
        <w:rPr>
          <w:rFonts w:hint="eastAsia"/>
          <w:b/>
          <w:bCs w:val="0"/>
          <w:color w:val="auto"/>
        </w:rPr>
        <w:t>.</w:t>
      </w:r>
      <w:r>
        <w:rPr>
          <w:b/>
          <w:bCs w:val="0"/>
          <w:color w:val="auto"/>
        </w:rPr>
        <w:t>1</w:t>
      </w:r>
      <w:r>
        <w:rPr>
          <w:rFonts w:hint="eastAsia"/>
          <w:color w:val="auto"/>
        </w:rPr>
        <w:t xml:space="preserve">  一般规定</w:t>
      </w:r>
      <w:bookmarkEnd w:id="255"/>
      <w:bookmarkEnd w:id="256"/>
      <w:bookmarkEnd w:id="257"/>
      <w:bookmarkEnd w:id="258"/>
      <w:bookmarkEnd w:id="259"/>
      <w:bookmarkEnd w:id="260"/>
      <w:bookmarkEnd w:id="261"/>
      <w:bookmarkEnd w:id="262"/>
    </w:p>
    <w:p w14:paraId="073EDCD5">
      <w:pPr>
        <w:numPr>
          <w:ilvl w:val="0"/>
          <w:numId w:val="21"/>
        </w:numPr>
        <w:spacing w:line="312" w:lineRule="auto"/>
        <w:rPr>
          <w:color w:val="auto"/>
        </w:rPr>
      </w:pPr>
      <w:r>
        <w:rPr>
          <w:rFonts w:hint="eastAsia"/>
          <w:color w:val="auto"/>
        </w:rPr>
        <w:t>设备、管线与内装系统设计应与建筑、结构等专业同步进行，设备、管线设计宜结合内装设计暗敷管线及设备。</w:t>
      </w:r>
    </w:p>
    <w:p w14:paraId="28D91CAF">
      <w:pPr>
        <w:pStyle w:val="33"/>
        <w:rPr>
          <w:color w:val="auto"/>
        </w:rPr>
      </w:pPr>
      <w:r>
        <w:rPr>
          <w:rFonts w:hint="eastAsia" w:ascii="楷体" w:hAnsi="楷体" w:cs="楷体"/>
          <w:color w:val="auto"/>
          <w:szCs w:val="21"/>
        </w:rPr>
        <w:t>【条文说明】</w:t>
      </w:r>
      <w:r>
        <w:rPr>
          <w:rFonts w:hint="eastAsia"/>
          <w:color w:val="auto"/>
        </w:rPr>
        <w:t>模块化建筑的设备、管线与内装系统的设计应结合模块单元的拆分与安装选择适合的系统，并进行综合论证。</w:t>
      </w:r>
    </w:p>
    <w:p w14:paraId="5296AE8B">
      <w:pPr>
        <w:numPr>
          <w:ilvl w:val="0"/>
          <w:numId w:val="21"/>
        </w:numPr>
        <w:spacing w:line="312" w:lineRule="auto"/>
        <w:rPr>
          <w:color w:val="auto"/>
        </w:rPr>
      </w:pPr>
      <w:r>
        <w:rPr>
          <w:rFonts w:hint="eastAsia"/>
          <w:color w:val="auto"/>
        </w:rPr>
        <w:t>设备、管线与内装系统设计应满足模块单元标准化设计、集成化安装的要求，并应满足运输、吊装及成品保护的要求。</w:t>
      </w:r>
    </w:p>
    <w:p w14:paraId="5844545D">
      <w:pPr>
        <w:pStyle w:val="33"/>
        <w:rPr>
          <w:color w:val="auto"/>
        </w:rPr>
      </w:pPr>
      <w:r>
        <w:rPr>
          <w:rFonts w:hint="eastAsia" w:ascii="楷体" w:hAnsi="楷体" w:cs="楷体"/>
          <w:color w:val="auto"/>
          <w:szCs w:val="21"/>
        </w:rPr>
        <w:t>【条文说明】</w:t>
      </w:r>
      <w:r>
        <w:rPr>
          <w:rFonts w:hint="eastAsia"/>
          <w:color w:val="auto"/>
        </w:rPr>
        <w:t>机电设备、管线与内装系统的设计应从建造的全过程考虑，考虑运输、吊装及成品保护的要求。</w:t>
      </w:r>
    </w:p>
    <w:p w14:paraId="7652E365">
      <w:pPr>
        <w:numPr>
          <w:ilvl w:val="0"/>
          <w:numId w:val="21"/>
        </w:numPr>
        <w:spacing w:line="312" w:lineRule="auto"/>
        <w:rPr>
          <w:color w:val="auto"/>
        </w:rPr>
      </w:pPr>
      <w:r>
        <w:rPr>
          <w:rFonts w:hint="eastAsia"/>
          <w:color w:val="auto"/>
        </w:rPr>
        <w:t>设备、管线的连接应采用标准化接口，应选用耐腐蚀、抗老化、连接可靠的管线及设备。</w:t>
      </w:r>
    </w:p>
    <w:p w14:paraId="44BD0B09">
      <w:pPr>
        <w:numPr>
          <w:ilvl w:val="0"/>
          <w:numId w:val="21"/>
        </w:numPr>
        <w:spacing w:line="312" w:lineRule="auto"/>
        <w:rPr>
          <w:color w:val="auto"/>
        </w:rPr>
      </w:pPr>
      <w:r>
        <w:rPr>
          <w:color w:val="auto"/>
        </w:rPr>
        <w:t>公共管线、阀门、检修口、计量仪表、电表箱、配电箱、智能化配线箱等</w:t>
      </w:r>
      <w:r>
        <w:rPr>
          <w:rFonts w:hint="eastAsia"/>
          <w:color w:val="auto"/>
        </w:rPr>
        <w:t>宜</w:t>
      </w:r>
      <w:r>
        <w:rPr>
          <w:color w:val="auto"/>
        </w:rPr>
        <w:t>统一集中设置在公共区域。</w:t>
      </w:r>
    </w:p>
    <w:p w14:paraId="538F6550">
      <w:pPr>
        <w:numPr>
          <w:ilvl w:val="0"/>
          <w:numId w:val="21"/>
        </w:numPr>
        <w:spacing w:line="312" w:lineRule="auto"/>
        <w:rPr>
          <w:color w:val="auto"/>
        </w:rPr>
      </w:pPr>
      <w:r>
        <w:rPr>
          <w:color w:val="auto"/>
        </w:rPr>
        <w:t>设备</w:t>
      </w:r>
      <w:r>
        <w:rPr>
          <w:rFonts w:hint="eastAsia"/>
          <w:color w:val="auto"/>
        </w:rPr>
        <w:t>、</w:t>
      </w:r>
      <w:r>
        <w:rPr>
          <w:color w:val="auto"/>
        </w:rPr>
        <w:t>管线</w:t>
      </w:r>
      <w:r>
        <w:rPr>
          <w:rFonts w:hint="eastAsia"/>
          <w:color w:val="auto"/>
        </w:rPr>
        <w:t>的布置应符合下列规定：</w:t>
      </w:r>
    </w:p>
    <w:p w14:paraId="10FC44C2">
      <w:pPr>
        <w:spacing w:line="312" w:lineRule="auto"/>
        <w:ind w:firstLine="422" w:firstLineChars="200"/>
        <w:rPr>
          <w:color w:val="auto"/>
        </w:rPr>
      </w:pPr>
      <w:r>
        <w:rPr>
          <w:b/>
          <w:color w:val="auto"/>
        </w:rPr>
        <w:t>1</w:t>
      </w:r>
      <w:r>
        <w:rPr>
          <w:color w:val="auto"/>
        </w:rPr>
        <w:t xml:space="preserve">  </w:t>
      </w:r>
      <w:r>
        <w:rPr>
          <w:rFonts w:hint="eastAsia"/>
          <w:color w:val="auto"/>
        </w:rPr>
        <w:t>应减少上下层模块单元间管线的竖向连接；</w:t>
      </w:r>
    </w:p>
    <w:p w14:paraId="6F12B9D6">
      <w:pPr>
        <w:spacing w:line="312" w:lineRule="auto"/>
        <w:ind w:firstLine="422" w:firstLineChars="200"/>
        <w:rPr>
          <w:color w:val="auto"/>
        </w:rPr>
      </w:pPr>
      <w:r>
        <w:rPr>
          <w:b/>
          <w:bCs/>
          <w:color w:val="auto"/>
        </w:rPr>
        <w:t>2</w:t>
      </w:r>
      <w:r>
        <w:rPr>
          <w:color w:val="auto"/>
        </w:rPr>
        <w:t xml:space="preserve">  </w:t>
      </w:r>
      <w:r>
        <w:rPr>
          <w:rFonts w:hint="eastAsia"/>
          <w:color w:val="auto"/>
        </w:rPr>
        <w:t>宜布置在架空层或吊顶内；</w:t>
      </w:r>
    </w:p>
    <w:p w14:paraId="30A6D418">
      <w:pPr>
        <w:spacing w:line="312" w:lineRule="auto"/>
        <w:ind w:firstLine="422" w:firstLineChars="200"/>
        <w:rPr>
          <w:color w:val="auto"/>
        </w:rPr>
      </w:pPr>
      <w:r>
        <w:rPr>
          <w:b/>
          <w:color w:val="auto"/>
        </w:rPr>
        <w:t>3</w:t>
      </w:r>
      <w:r>
        <w:rPr>
          <w:color w:val="auto"/>
        </w:rPr>
        <w:t xml:space="preserve">  </w:t>
      </w:r>
      <w:r>
        <w:rPr>
          <w:rFonts w:hint="eastAsia"/>
          <w:color w:val="auto"/>
        </w:rPr>
        <w:t>竖向管线宜集中布置在管道井内。</w:t>
      </w:r>
    </w:p>
    <w:p w14:paraId="439E0F58">
      <w:pPr>
        <w:numPr>
          <w:ilvl w:val="0"/>
          <w:numId w:val="21"/>
        </w:numPr>
        <w:spacing w:line="312" w:lineRule="auto"/>
        <w:rPr>
          <w:color w:val="auto"/>
        </w:rPr>
      </w:pPr>
      <w:r>
        <w:rPr>
          <w:rFonts w:hint="eastAsia"/>
          <w:color w:val="auto"/>
        </w:rPr>
        <w:t>设备、管线与内装系统的安装应符合下列规定：</w:t>
      </w:r>
    </w:p>
    <w:p w14:paraId="2A451B0B">
      <w:pPr>
        <w:spacing w:line="312" w:lineRule="auto"/>
        <w:ind w:firstLine="422" w:firstLineChars="200"/>
        <w:rPr>
          <w:color w:val="auto"/>
        </w:rPr>
      </w:pPr>
      <w:r>
        <w:rPr>
          <w:rFonts w:hint="eastAsia"/>
          <w:b/>
          <w:color w:val="auto"/>
        </w:rPr>
        <w:t>1</w:t>
      </w:r>
      <w:r>
        <w:rPr>
          <w:color w:val="auto"/>
        </w:rPr>
        <w:t xml:space="preserve">  </w:t>
      </w:r>
      <w:r>
        <w:rPr>
          <w:rFonts w:hint="eastAsia"/>
          <w:color w:val="auto"/>
        </w:rPr>
        <w:t>应结合模块化建筑的特点，区分工厂与现场安装的工作内容；</w:t>
      </w:r>
    </w:p>
    <w:p w14:paraId="59F294C9">
      <w:pPr>
        <w:spacing w:line="312" w:lineRule="auto"/>
        <w:ind w:firstLine="422" w:firstLineChars="200"/>
        <w:rPr>
          <w:color w:val="auto"/>
        </w:rPr>
      </w:pPr>
      <w:r>
        <w:rPr>
          <w:rFonts w:hint="eastAsia"/>
          <w:b/>
          <w:color w:val="auto"/>
        </w:rPr>
        <w:t>2</w:t>
      </w:r>
      <w:r>
        <w:rPr>
          <w:color w:val="auto"/>
        </w:rPr>
        <w:t xml:space="preserve">  </w:t>
      </w:r>
      <w:r>
        <w:rPr>
          <w:rFonts w:hint="eastAsia"/>
          <w:color w:val="auto"/>
        </w:rPr>
        <w:t>当管线跨越模块单元时，应结合内装设计预留对接槽口；</w:t>
      </w:r>
    </w:p>
    <w:p w14:paraId="716B82A7">
      <w:pPr>
        <w:spacing w:line="312" w:lineRule="auto"/>
        <w:ind w:firstLine="422" w:firstLineChars="200"/>
        <w:rPr>
          <w:color w:val="auto"/>
        </w:rPr>
      </w:pPr>
      <w:r>
        <w:rPr>
          <w:rFonts w:hint="eastAsia"/>
          <w:b/>
          <w:color w:val="auto"/>
        </w:rPr>
        <w:t>3</w:t>
      </w:r>
      <w:r>
        <w:rPr>
          <w:color w:val="auto"/>
        </w:rPr>
        <w:t xml:space="preserve">  </w:t>
      </w:r>
      <w:r>
        <w:rPr>
          <w:rFonts w:hint="eastAsia"/>
          <w:color w:val="auto"/>
        </w:rPr>
        <w:t>当工厂内安装的管道、设备固定在梁模或墙模上时，固定件不应穿透梁模或墙模；</w:t>
      </w:r>
    </w:p>
    <w:p w14:paraId="3CE3A089">
      <w:pPr>
        <w:spacing w:line="312" w:lineRule="auto"/>
        <w:ind w:firstLine="422" w:firstLineChars="200"/>
        <w:rPr>
          <w:color w:val="auto"/>
        </w:rPr>
      </w:pPr>
      <w:r>
        <w:rPr>
          <w:rFonts w:hint="eastAsia"/>
          <w:b/>
          <w:color w:val="auto"/>
        </w:rPr>
        <w:t>4</w:t>
      </w:r>
      <w:r>
        <w:rPr>
          <w:color w:val="auto"/>
        </w:rPr>
        <w:t xml:space="preserve">  </w:t>
      </w:r>
      <w:r>
        <w:rPr>
          <w:rFonts w:hint="eastAsia"/>
          <w:color w:val="auto"/>
        </w:rPr>
        <w:t>当设备、管线穿越预制楼板或预制墙体时，应在工厂内预留套管或孔洞，不应在模块单元安装后凿剃沟、槽或孔洞。</w:t>
      </w:r>
    </w:p>
    <w:p w14:paraId="026601F4">
      <w:pPr>
        <w:pStyle w:val="33"/>
        <w:rPr>
          <w:color w:val="auto"/>
        </w:rPr>
      </w:pPr>
      <w:r>
        <w:rPr>
          <w:rFonts w:hint="eastAsia" w:ascii="楷体" w:hAnsi="楷体" w:cs="楷体"/>
          <w:color w:val="auto"/>
          <w:szCs w:val="21"/>
        </w:rPr>
        <w:t>【条文说明】</w:t>
      </w:r>
      <w:r>
        <w:rPr>
          <w:rFonts w:hint="eastAsia"/>
          <w:color w:val="auto"/>
        </w:rPr>
        <w:t>机电设备、管线与内装系统的设计应明确工厂和现场的范围，根据施工工序，指导预制部分和现场施工部分的有序衔接。</w:t>
      </w:r>
    </w:p>
    <w:p w14:paraId="1DF6192B">
      <w:pPr>
        <w:numPr>
          <w:ilvl w:val="0"/>
          <w:numId w:val="21"/>
        </w:numPr>
        <w:spacing w:line="312" w:lineRule="auto"/>
        <w:rPr>
          <w:color w:val="auto"/>
        </w:rPr>
      </w:pPr>
      <w:r>
        <w:rPr>
          <w:rFonts w:hint="eastAsia"/>
          <w:color w:val="auto"/>
        </w:rPr>
        <w:t>设备、管线设计宜采用建筑信息模型（BIM）技术，设备、管线宜共用支吊架并满足一体化生产的要求。</w:t>
      </w:r>
    </w:p>
    <w:p w14:paraId="13B836F8">
      <w:pPr>
        <w:pStyle w:val="32"/>
        <w:numPr>
          <w:ilvl w:val="0"/>
          <w:numId w:val="21"/>
        </w:numPr>
        <w:spacing w:line="312" w:lineRule="auto"/>
        <w:ind w:firstLine="420"/>
        <w:rPr>
          <w:color w:val="auto"/>
        </w:rPr>
      </w:pPr>
      <w:r>
        <w:rPr>
          <w:rFonts w:hint="eastAsia"/>
          <w:color w:val="auto"/>
        </w:rPr>
        <w:t>模块化建筑宜采用工业化生产的集成化部品进行装配式装修。</w:t>
      </w:r>
    </w:p>
    <w:p w14:paraId="1ACC2A57">
      <w:pPr>
        <w:pStyle w:val="32"/>
        <w:numPr>
          <w:ilvl w:val="0"/>
          <w:numId w:val="21"/>
        </w:numPr>
        <w:spacing w:line="312" w:lineRule="auto"/>
        <w:ind w:firstLine="420"/>
        <w:rPr>
          <w:color w:val="auto"/>
        </w:rPr>
      </w:pPr>
      <w:r>
        <w:rPr>
          <w:rFonts w:hint="eastAsia"/>
          <w:color w:val="auto"/>
        </w:rPr>
        <w:t>装配式内装设计时应充分考虑部品部件、设备管线维护与更新的要求，采用易维护、易拆换的技术和部品，对易损坏和经常更换的部位按照可逆安装的方式进行设计。</w:t>
      </w:r>
    </w:p>
    <w:p w14:paraId="5A004AAD">
      <w:pPr>
        <w:pStyle w:val="3"/>
        <w:rPr>
          <w:color w:val="auto"/>
        </w:rPr>
      </w:pPr>
      <w:bookmarkStart w:id="263" w:name="_Toc12740"/>
      <w:bookmarkStart w:id="264" w:name="_Toc5189"/>
      <w:bookmarkStart w:id="265" w:name="_Toc13803"/>
      <w:bookmarkStart w:id="266" w:name="_Toc12937"/>
      <w:bookmarkStart w:id="267" w:name="_Toc17977"/>
      <w:bookmarkStart w:id="268" w:name="_Toc9904"/>
      <w:bookmarkStart w:id="269" w:name="_Toc25139"/>
      <w:bookmarkStart w:id="270" w:name="_Toc32476"/>
      <w:r>
        <w:rPr>
          <w:b/>
          <w:bCs w:val="0"/>
          <w:color w:val="auto"/>
        </w:rPr>
        <w:t>8</w:t>
      </w:r>
      <w:r>
        <w:rPr>
          <w:rFonts w:hint="eastAsia"/>
          <w:b/>
          <w:bCs w:val="0"/>
          <w:color w:val="auto"/>
        </w:rPr>
        <w:t>.</w:t>
      </w:r>
      <w:r>
        <w:rPr>
          <w:b/>
          <w:bCs w:val="0"/>
          <w:color w:val="auto"/>
        </w:rPr>
        <w:t>2</w:t>
      </w:r>
      <w:r>
        <w:rPr>
          <w:rFonts w:hint="eastAsia"/>
          <w:color w:val="auto"/>
        </w:rPr>
        <w:t xml:space="preserve">  给水排水</w:t>
      </w:r>
      <w:bookmarkEnd w:id="263"/>
      <w:bookmarkEnd w:id="264"/>
      <w:bookmarkEnd w:id="265"/>
      <w:bookmarkEnd w:id="266"/>
      <w:bookmarkEnd w:id="267"/>
      <w:bookmarkEnd w:id="268"/>
      <w:bookmarkEnd w:id="269"/>
      <w:bookmarkEnd w:id="270"/>
    </w:p>
    <w:p w14:paraId="3E607856">
      <w:pPr>
        <w:numPr>
          <w:ilvl w:val="0"/>
          <w:numId w:val="22"/>
        </w:numPr>
        <w:spacing w:line="312" w:lineRule="auto"/>
        <w:rPr>
          <w:color w:val="auto"/>
        </w:rPr>
      </w:pPr>
      <w:r>
        <w:rPr>
          <w:rFonts w:hint="eastAsia" w:ascii="宋体" w:hAnsi="宋体" w:cs="宋体"/>
          <w:color w:val="auto"/>
          <w:kern w:val="0"/>
          <w:szCs w:val="21"/>
        </w:rPr>
        <w:t>混凝土模块化建筑给水排水系统设计应符合国家、地方现行标准《建筑给水排水设计标准》</w:t>
      </w:r>
      <w:r>
        <w:rPr>
          <w:color w:val="auto"/>
          <w:kern w:val="0"/>
          <w:szCs w:val="21"/>
        </w:rPr>
        <w:t xml:space="preserve">GB 50015 </w:t>
      </w:r>
      <w:r>
        <w:rPr>
          <w:rFonts w:hint="eastAsia"/>
          <w:color w:val="auto"/>
          <w:kern w:val="0"/>
          <w:szCs w:val="21"/>
        </w:rPr>
        <w:t>、</w:t>
      </w:r>
      <w:r>
        <w:rPr>
          <w:rFonts w:hint="eastAsia" w:ascii="宋体" w:hAnsi="宋体" w:cs="宋体"/>
          <w:color w:val="auto"/>
          <w:kern w:val="0"/>
          <w:szCs w:val="21"/>
        </w:rPr>
        <w:t>《建筑给水排水与节水通用规范》</w:t>
      </w:r>
      <w:r>
        <w:rPr>
          <w:color w:val="auto"/>
          <w:kern w:val="0"/>
          <w:szCs w:val="21"/>
        </w:rPr>
        <w:t>GB 55020</w:t>
      </w:r>
      <w:r>
        <w:rPr>
          <w:rFonts w:hint="eastAsia"/>
          <w:color w:val="auto"/>
          <w:kern w:val="0"/>
          <w:szCs w:val="21"/>
        </w:rPr>
        <w:t>、</w:t>
      </w:r>
      <w:r>
        <w:rPr>
          <w:rFonts w:hint="eastAsia"/>
          <w:color w:val="auto"/>
        </w:rPr>
        <w:t>《广州市住宅建筑排水系统技术规范》DBJ 44/T 126等</w:t>
      </w:r>
      <w:r>
        <w:rPr>
          <w:rFonts w:hint="eastAsia" w:ascii="宋体" w:hAnsi="宋体" w:cs="宋体"/>
          <w:color w:val="auto"/>
          <w:kern w:val="0"/>
          <w:szCs w:val="21"/>
        </w:rPr>
        <w:t>有关规定。</w:t>
      </w:r>
    </w:p>
    <w:p w14:paraId="1EB3CF13">
      <w:pPr>
        <w:numPr>
          <w:ilvl w:val="0"/>
          <w:numId w:val="22"/>
        </w:numPr>
        <w:spacing w:line="312" w:lineRule="auto"/>
        <w:rPr>
          <w:color w:val="auto"/>
        </w:rPr>
      </w:pPr>
      <w:r>
        <w:rPr>
          <w:rFonts w:hint="eastAsia"/>
          <w:color w:val="auto"/>
        </w:rPr>
        <w:t>给水系统设计应符合下列规定：</w:t>
      </w:r>
    </w:p>
    <w:p w14:paraId="7ECE2258">
      <w:pPr>
        <w:spacing w:line="312" w:lineRule="auto"/>
        <w:ind w:firstLine="422" w:firstLineChars="200"/>
        <w:rPr>
          <w:color w:val="auto"/>
        </w:rPr>
      </w:pPr>
      <w:r>
        <w:rPr>
          <w:rFonts w:hint="eastAsia"/>
          <w:b/>
          <w:bCs/>
          <w:color w:val="auto"/>
        </w:rPr>
        <w:t>1</w:t>
      </w:r>
      <w:r>
        <w:rPr>
          <w:rFonts w:hint="eastAsia"/>
          <w:color w:val="auto"/>
        </w:rPr>
        <w:t xml:space="preserve">  室内给水横管宜结合室内装修敷设于吊顶内，阀门、模块单元间管道连接接头处应设置可拆卸吊顶；</w:t>
      </w:r>
    </w:p>
    <w:p w14:paraId="12F087D6">
      <w:pPr>
        <w:spacing w:line="312" w:lineRule="auto"/>
        <w:ind w:firstLine="422" w:firstLineChars="200"/>
        <w:rPr>
          <w:color w:val="auto"/>
        </w:rPr>
      </w:pPr>
      <w:r>
        <w:rPr>
          <w:b/>
          <w:color w:val="auto"/>
        </w:rPr>
        <w:t xml:space="preserve">2 </w:t>
      </w:r>
      <w:r>
        <w:rPr>
          <w:rFonts w:hint="eastAsia"/>
          <w:b/>
          <w:color w:val="auto"/>
        </w:rPr>
        <w:t xml:space="preserve"> </w:t>
      </w:r>
      <w:r>
        <w:rPr>
          <w:rFonts w:hint="eastAsia"/>
          <w:color w:val="auto"/>
        </w:rPr>
        <w:t>接卫生器具给水支管应结合墙体构造及墙面装饰做法暗敷，暗敷在墙模、叠合墙、后浇混凝土墙中的给水管应提前预留管槽。</w:t>
      </w:r>
    </w:p>
    <w:p w14:paraId="72100AAA">
      <w:pPr>
        <w:pStyle w:val="33"/>
        <w:rPr>
          <w:color w:val="auto"/>
          <w:szCs w:val="21"/>
        </w:rPr>
      </w:pPr>
      <w:r>
        <w:rPr>
          <w:color w:val="auto"/>
          <w:szCs w:val="21"/>
        </w:rPr>
        <w:t>【条文说明】为满足管道检修及模块单元之间管道接头的现场连接，吊顶内的阀门或管道接头处宜设计为可拆卸吊顶；当连接卫生器具给水支管必须在墙模上留槽设置时，墙模厚度不宜过薄，防止混凝土浇筑时出现墙模胀模或明显开裂，应结合墙体装饰层厚度确定开槽深度。</w:t>
      </w:r>
    </w:p>
    <w:p w14:paraId="50980921">
      <w:pPr>
        <w:numPr>
          <w:ilvl w:val="0"/>
          <w:numId w:val="22"/>
        </w:numPr>
        <w:spacing w:line="312" w:lineRule="auto"/>
        <w:rPr>
          <w:color w:val="auto"/>
        </w:rPr>
      </w:pPr>
      <w:r>
        <w:rPr>
          <w:rFonts w:hint="eastAsia"/>
          <w:color w:val="auto"/>
        </w:rPr>
        <w:t>排水设计应符合下列规定：</w:t>
      </w:r>
    </w:p>
    <w:p w14:paraId="3687C5DB">
      <w:pPr>
        <w:spacing w:line="312" w:lineRule="auto"/>
        <w:ind w:firstLine="422" w:firstLineChars="200"/>
        <w:rPr>
          <w:color w:val="auto"/>
        </w:rPr>
      </w:pPr>
      <w:r>
        <w:rPr>
          <w:b/>
          <w:color w:val="auto"/>
        </w:rPr>
        <w:t xml:space="preserve">1  </w:t>
      </w:r>
      <w:r>
        <w:rPr>
          <w:rFonts w:hint="eastAsia"/>
          <w:color w:val="auto"/>
        </w:rPr>
        <w:t>卫生间宜采用不降板同层排水技术；</w:t>
      </w:r>
    </w:p>
    <w:p w14:paraId="2A876D7E">
      <w:pPr>
        <w:spacing w:line="312" w:lineRule="auto"/>
        <w:ind w:firstLine="422" w:firstLineChars="200"/>
        <w:rPr>
          <w:color w:val="auto"/>
        </w:rPr>
      </w:pPr>
      <w:r>
        <w:rPr>
          <w:b/>
          <w:color w:val="auto"/>
        </w:rPr>
        <w:t xml:space="preserve">2  </w:t>
      </w:r>
      <w:r>
        <w:rPr>
          <w:rFonts w:hint="eastAsia"/>
          <w:color w:val="auto"/>
        </w:rPr>
        <w:t>排水立管宜沿外墙明敷；当必须设置于室内时，应设置于排水管道井中，管道井的设置应便于上下层管道连接和检修。</w:t>
      </w:r>
    </w:p>
    <w:p w14:paraId="4F70AEF9">
      <w:pPr>
        <w:pStyle w:val="33"/>
        <w:jc w:val="left"/>
        <w:rPr>
          <w:color w:val="auto"/>
          <w:szCs w:val="21"/>
        </w:rPr>
      </w:pPr>
      <w:r>
        <w:rPr>
          <w:color w:val="auto"/>
          <w:szCs w:val="21"/>
        </w:rPr>
        <w:t>【条文说明】</w:t>
      </w:r>
      <w:r>
        <w:rPr>
          <w:rFonts w:hint="eastAsia"/>
          <w:color w:val="auto"/>
          <w:szCs w:val="21"/>
        </w:rPr>
        <w:t>本条也与现行国家标准《建筑给水排水设计标准》GB 50015第4.4.6条“住宅卫生间宜采用不降板同层排水”相协调。当采用不降板同层排水时，卫生间生产模具简单、产品质量优良、运输及吊装方便，可结合精装包管假墙，提高卫生间的储存和收纳空间。</w:t>
      </w:r>
    </w:p>
    <w:p w14:paraId="27A7C618">
      <w:pPr>
        <w:pStyle w:val="33"/>
        <w:jc w:val="left"/>
        <w:rPr>
          <w:color w:val="auto"/>
          <w:szCs w:val="21"/>
        </w:rPr>
      </w:pPr>
      <w:r>
        <w:rPr>
          <w:color w:val="auto"/>
          <w:szCs w:val="21"/>
        </w:rPr>
        <w:t>为预留工厂预装排水横管与立管的施工操作空间，排水立管宜在外墙明敷；当立管设置于室内时，应预留施工及检修空间。</w:t>
      </w:r>
      <w:bookmarkEnd w:id="252"/>
    </w:p>
    <w:p w14:paraId="34A7B248">
      <w:pPr>
        <w:pStyle w:val="3"/>
        <w:rPr>
          <w:color w:val="auto"/>
        </w:rPr>
      </w:pPr>
      <w:bookmarkStart w:id="271" w:name="_Toc17289"/>
      <w:bookmarkStart w:id="272" w:name="_Toc14170"/>
      <w:bookmarkStart w:id="273" w:name="_Toc21894"/>
      <w:bookmarkStart w:id="274" w:name="_Toc15794"/>
      <w:bookmarkStart w:id="275" w:name="_Toc21355"/>
      <w:bookmarkStart w:id="276" w:name="_Toc5477"/>
      <w:bookmarkStart w:id="277" w:name="_Toc4459"/>
      <w:bookmarkStart w:id="278" w:name="_Toc31159"/>
      <w:bookmarkStart w:id="279" w:name="_Toc27423"/>
      <w:r>
        <w:rPr>
          <w:b/>
          <w:bCs w:val="0"/>
          <w:color w:val="auto"/>
        </w:rPr>
        <w:t>8</w:t>
      </w:r>
      <w:r>
        <w:rPr>
          <w:rFonts w:hint="eastAsia"/>
          <w:b/>
          <w:bCs w:val="0"/>
          <w:color w:val="auto"/>
        </w:rPr>
        <w:t>.</w:t>
      </w:r>
      <w:r>
        <w:rPr>
          <w:b/>
          <w:bCs w:val="0"/>
          <w:color w:val="auto"/>
        </w:rPr>
        <w:t>3</w:t>
      </w:r>
      <w:r>
        <w:rPr>
          <w:rFonts w:hint="eastAsia"/>
          <w:color w:val="auto"/>
        </w:rPr>
        <w:t xml:space="preserve">  供暖、通风、空调及燃气</w:t>
      </w:r>
      <w:bookmarkEnd w:id="271"/>
      <w:bookmarkEnd w:id="272"/>
      <w:bookmarkEnd w:id="273"/>
      <w:bookmarkEnd w:id="274"/>
      <w:bookmarkEnd w:id="275"/>
      <w:bookmarkEnd w:id="276"/>
      <w:bookmarkEnd w:id="277"/>
      <w:bookmarkEnd w:id="278"/>
    </w:p>
    <w:p w14:paraId="002D8349">
      <w:pPr>
        <w:numPr>
          <w:ilvl w:val="0"/>
          <w:numId w:val="23"/>
        </w:numPr>
        <w:spacing w:line="312" w:lineRule="auto"/>
        <w:rPr>
          <w:color w:val="auto"/>
        </w:rPr>
      </w:pPr>
      <w:r>
        <w:rPr>
          <w:rFonts w:hint="eastAsia"/>
          <w:color w:val="auto"/>
        </w:rPr>
        <w:t>混凝土模块化建筑的供暖、通风、空调设计应符合现行国家标准《民用建筑供暖通风与空气调节设计规范》</w:t>
      </w:r>
      <w:r>
        <w:rPr>
          <w:color w:val="auto"/>
        </w:rPr>
        <w:t xml:space="preserve">GB 50736 </w:t>
      </w:r>
      <w:r>
        <w:rPr>
          <w:rFonts w:hint="eastAsia"/>
          <w:color w:val="auto"/>
        </w:rPr>
        <w:t>等有关规定。</w:t>
      </w:r>
    </w:p>
    <w:p w14:paraId="54B231B0">
      <w:pPr>
        <w:numPr>
          <w:ilvl w:val="0"/>
          <w:numId w:val="23"/>
        </w:numPr>
        <w:spacing w:line="312" w:lineRule="auto"/>
        <w:rPr>
          <w:color w:val="auto"/>
        </w:rPr>
      </w:pPr>
      <w:r>
        <w:rPr>
          <w:color w:val="auto"/>
        </w:rPr>
        <w:t>供暖、通风</w:t>
      </w:r>
      <w:r>
        <w:rPr>
          <w:rFonts w:hint="eastAsia"/>
          <w:color w:val="auto"/>
        </w:rPr>
        <w:t>与</w:t>
      </w:r>
      <w:r>
        <w:rPr>
          <w:color w:val="auto"/>
        </w:rPr>
        <w:t>空调设备</w:t>
      </w:r>
      <w:r>
        <w:rPr>
          <w:rFonts w:hint="eastAsia"/>
          <w:color w:val="auto"/>
        </w:rPr>
        <w:t>及</w:t>
      </w:r>
      <w:r>
        <w:rPr>
          <w:color w:val="auto"/>
        </w:rPr>
        <w:t>管线</w:t>
      </w:r>
      <w:r>
        <w:rPr>
          <w:rFonts w:hint="eastAsia"/>
          <w:color w:val="auto"/>
        </w:rPr>
        <w:t>设计</w:t>
      </w:r>
      <w:r>
        <w:rPr>
          <w:color w:val="auto"/>
        </w:rPr>
        <w:t>应符合下列规定：</w:t>
      </w:r>
    </w:p>
    <w:p w14:paraId="6A0409CF">
      <w:pPr>
        <w:spacing w:line="312" w:lineRule="auto"/>
        <w:ind w:firstLine="422" w:firstLineChars="200"/>
        <w:rPr>
          <w:color w:val="auto"/>
        </w:rPr>
      </w:pPr>
      <w:r>
        <w:rPr>
          <w:b/>
          <w:color w:val="auto"/>
        </w:rPr>
        <w:t xml:space="preserve">1  </w:t>
      </w:r>
      <w:r>
        <w:rPr>
          <w:color w:val="auto"/>
        </w:rPr>
        <w:t>应方便维修更换，维修更换时不应影响主体结构</w:t>
      </w:r>
      <w:r>
        <w:rPr>
          <w:rFonts w:hint="eastAsia"/>
          <w:color w:val="auto"/>
        </w:rPr>
        <w:t>，</w:t>
      </w:r>
      <w:r>
        <w:rPr>
          <w:color w:val="auto"/>
        </w:rPr>
        <w:t>宜与主体结构相分离</w:t>
      </w:r>
      <w:r>
        <w:rPr>
          <w:rFonts w:hint="eastAsia"/>
          <w:color w:val="auto"/>
        </w:rPr>
        <w:t>；</w:t>
      </w:r>
    </w:p>
    <w:p w14:paraId="3AE768C9">
      <w:pPr>
        <w:spacing w:line="312" w:lineRule="auto"/>
        <w:ind w:firstLine="422" w:firstLineChars="200"/>
        <w:rPr>
          <w:color w:val="auto"/>
        </w:rPr>
      </w:pPr>
      <w:r>
        <w:rPr>
          <w:b/>
          <w:color w:val="auto"/>
        </w:rPr>
        <w:t xml:space="preserve">2  </w:t>
      </w:r>
      <w:r>
        <w:rPr>
          <w:rFonts w:hint="eastAsia"/>
          <w:color w:val="auto"/>
        </w:rPr>
        <w:t>应定位准确，并宜</w:t>
      </w:r>
      <w:r>
        <w:rPr>
          <w:color w:val="auto"/>
        </w:rPr>
        <w:t>集中设置</w:t>
      </w:r>
      <w:r>
        <w:rPr>
          <w:rFonts w:hint="eastAsia"/>
          <w:color w:val="auto"/>
        </w:rPr>
        <w:t>，</w:t>
      </w:r>
      <w:r>
        <w:rPr>
          <w:color w:val="auto"/>
        </w:rPr>
        <w:t>减少平面交叉</w:t>
      </w:r>
      <w:r>
        <w:rPr>
          <w:rFonts w:hint="eastAsia"/>
          <w:color w:val="auto"/>
        </w:rPr>
        <w:t>。</w:t>
      </w:r>
    </w:p>
    <w:p w14:paraId="400D7159">
      <w:pPr>
        <w:numPr>
          <w:ilvl w:val="0"/>
          <w:numId w:val="23"/>
        </w:numPr>
        <w:spacing w:line="312" w:lineRule="auto"/>
        <w:rPr>
          <w:color w:val="auto"/>
        </w:rPr>
      </w:pPr>
      <w:r>
        <w:rPr>
          <w:color w:val="auto"/>
        </w:rPr>
        <w:t>供暖、通风</w:t>
      </w:r>
      <w:r>
        <w:rPr>
          <w:rFonts w:hint="eastAsia"/>
          <w:color w:val="auto"/>
        </w:rPr>
        <w:t>与</w:t>
      </w:r>
      <w:r>
        <w:rPr>
          <w:color w:val="auto"/>
        </w:rPr>
        <w:t>空调设备</w:t>
      </w:r>
      <w:r>
        <w:rPr>
          <w:rFonts w:hint="eastAsia"/>
          <w:color w:val="auto"/>
        </w:rPr>
        <w:t>及</w:t>
      </w:r>
      <w:r>
        <w:rPr>
          <w:color w:val="auto"/>
        </w:rPr>
        <w:t>管线的</w:t>
      </w:r>
      <w:r>
        <w:rPr>
          <w:rFonts w:hint="eastAsia"/>
          <w:color w:val="auto"/>
        </w:rPr>
        <w:t>安装及敷设宜在工厂内完成，当设备整体安装时，管线应与模块单元上的预埋件可靠连接，并宜采取隔振、隔音措施。</w:t>
      </w:r>
    </w:p>
    <w:p w14:paraId="3E39F6EA">
      <w:pPr>
        <w:pStyle w:val="33"/>
        <w:rPr>
          <w:color w:val="auto"/>
        </w:rPr>
      </w:pPr>
      <w:r>
        <w:rPr>
          <w:rFonts w:hint="eastAsia" w:ascii="楷体" w:hAnsi="楷体" w:cs="楷体"/>
          <w:color w:val="auto"/>
          <w:szCs w:val="21"/>
        </w:rPr>
        <w:t>【条文说明】</w:t>
      </w:r>
      <w:r>
        <w:rPr>
          <w:rFonts w:hint="eastAsia"/>
          <w:color w:val="auto"/>
        </w:rPr>
        <w:t>根据模块建筑装修集成的特点，供暖通风与空调设备的安装与管线敷设宜集成在模块内部并在工厂内完成，为方便维修与更换宜与主体结构分离，并应集中设置，减少平面交叉，便于施工。</w:t>
      </w:r>
    </w:p>
    <w:p w14:paraId="537F2B33">
      <w:pPr>
        <w:numPr>
          <w:ilvl w:val="0"/>
          <w:numId w:val="23"/>
        </w:numPr>
        <w:spacing w:line="312" w:lineRule="auto"/>
        <w:rPr>
          <w:color w:val="auto"/>
        </w:rPr>
      </w:pPr>
      <w:r>
        <w:rPr>
          <w:rFonts w:hint="eastAsia"/>
          <w:color w:val="auto"/>
        </w:rPr>
        <w:t>燃气系统设计应符合现行国家标准《城镇燃气设计规范》GB 50028的规定。</w:t>
      </w:r>
    </w:p>
    <w:p w14:paraId="528F6C9A">
      <w:pPr>
        <w:pStyle w:val="3"/>
        <w:rPr>
          <w:color w:val="auto"/>
        </w:rPr>
      </w:pPr>
      <w:bookmarkStart w:id="280" w:name="_Toc15802"/>
      <w:bookmarkStart w:id="281" w:name="_Toc10309"/>
      <w:bookmarkStart w:id="282" w:name="_Toc31794"/>
      <w:bookmarkStart w:id="283" w:name="_Toc790"/>
      <w:bookmarkStart w:id="284" w:name="_Toc1843"/>
      <w:bookmarkStart w:id="285" w:name="_Toc27779"/>
      <w:bookmarkStart w:id="286" w:name="_Toc20396"/>
      <w:bookmarkStart w:id="287" w:name="_Toc2777"/>
      <w:r>
        <w:rPr>
          <w:b/>
          <w:bCs w:val="0"/>
          <w:color w:val="auto"/>
        </w:rPr>
        <w:t>8</w:t>
      </w:r>
      <w:r>
        <w:rPr>
          <w:rFonts w:hint="eastAsia"/>
          <w:b/>
          <w:bCs w:val="0"/>
          <w:color w:val="auto"/>
        </w:rPr>
        <w:t>.</w:t>
      </w:r>
      <w:r>
        <w:rPr>
          <w:b/>
          <w:bCs w:val="0"/>
          <w:color w:val="auto"/>
        </w:rPr>
        <w:t>4</w:t>
      </w:r>
      <w:r>
        <w:rPr>
          <w:rFonts w:hint="eastAsia"/>
          <w:color w:val="auto"/>
        </w:rPr>
        <w:t xml:space="preserve">  电气</w:t>
      </w:r>
      <w:bookmarkEnd w:id="280"/>
      <w:bookmarkEnd w:id="281"/>
      <w:bookmarkEnd w:id="282"/>
      <w:bookmarkEnd w:id="283"/>
      <w:bookmarkEnd w:id="284"/>
      <w:bookmarkEnd w:id="285"/>
      <w:bookmarkEnd w:id="286"/>
      <w:bookmarkEnd w:id="287"/>
    </w:p>
    <w:p w14:paraId="240D9F15">
      <w:pPr>
        <w:numPr>
          <w:ilvl w:val="0"/>
          <w:numId w:val="24"/>
        </w:numPr>
        <w:spacing w:line="312" w:lineRule="auto"/>
        <w:rPr>
          <w:color w:val="auto"/>
        </w:rPr>
      </w:pPr>
      <w:r>
        <w:rPr>
          <w:rFonts w:hint="eastAsia"/>
          <w:color w:val="auto"/>
        </w:rPr>
        <w:t>混凝土模块化建筑的配电、防雷、接地、消防、智能化设计应符合国家、地方现行标准《供配电系统设计规范》</w:t>
      </w:r>
      <w:r>
        <w:rPr>
          <w:color w:val="auto"/>
        </w:rPr>
        <w:t>GB 50052</w:t>
      </w:r>
      <w:r>
        <w:rPr>
          <w:rFonts w:hint="eastAsia"/>
          <w:color w:val="auto"/>
        </w:rPr>
        <w:t>、《建筑物防雷设计规范》</w:t>
      </w:r>
      <w:r>
        <w:rPr>
          <w:color w:val="auto"/>
        </w:rPr>
        <w:t>GB 50057</w:t>
      </w:r>
      <w:r>
        <w:rPr>
          <w:rFonts w:hint="eastAsia"/>
          <w:color w:val="auto"/>
        </w:rPr>
        <w:t>、《交流电气装置的接地设计规范》</w:t>
      </w:r>
      <w:r>
        <w:rPr>
          <w:color w:val="auto"/>
        </w:rPr>
        <w:t>GB/T 50065</w:t>
      </w:r>
      <w:r>
        <w:rPr>
          <w:rFonts w:hint="eastAsia"/>
          <w:color w:val="auto"/>
        </w:rPr>
        <w:t>、《低压配电设计规范》</w:t>
      </w:r>
      <w:r>
        <w:rPr>
          <w:color w:val="auto"/>
        </w:rPr>
        <w:t>GB 50054</w:t>
      </w:r>
      <w:r>
        <w:rPr>
          <w:rFonts w:hint="eastAsia"/>
          <w:color w:val="auto"/>
        </w:rPr>
        <w:t>、《民用建筑电气设计标准》</w:t>
      </w:r>
      <w:r>
        <w:rPr>
          <w:color w:val="auto"/>
        </w:rPr>
        <w:t>GB 51348</w:t>
      </w:r>
      <w:r>
        <w:rPr>
          <w:rFonts w:hint="eastAsia"/>
          <w:color w:val="auto"/>
        </w:rPr>
        <w:t>、《建筑电气与智能化通用规范》</w:t>
      </w:r>
      <w:r>
        <w:rPr>
          <w:color w:val="auto"/>
        </w:rPr>
        <w:t>GB 55024</w:t>
      </w:r>
      <w:r>
        <w:rPr>
          <w:rFonts w:hint="eastAsia"/>
          <w:color w:val="auto"/>
        </w:rPr>
        <w:t>、《广州市防雷装置检测技术规范》DB4401/T 148等有关规定。</w:t>
      </w:r>
    </w:p>
    <w:p w14:paraId="2A9DF820">
      <w:pPr>
        <w:numPr>
          <w:ilvl w:val="0"/>
          <w:numId w:val="24"/>
        </w:numPr>
        <w:spacing w:line="312" w:lineRule="auto"/>
        <w:rPr>
          <w:color w:val="auto"/>
        </w:rPr>
      </w:pPr>
      <w:r>
        <w:rPr>
          <w:rFonts w:hint="eastAsia"/>
          <w:color w:val="auto"/>
        </w:rPr>
        <w:t>电气管线、安装盒的选择及敷设应符合下列规定：</w:t>
      </w:r>
    </w:p>
    <w:p w14:paraId="64F5F410">
      <w:pPr>
        <w:spacing w:line="312" w:lineRule="auto"/>
        <w:ind w:firstLine="422" w:firstLineChars="200"/>
        <w:rPr>
          <w:color w:val="auto"/>
        </w:rPr>
      </w:pPr>
      <w:r>
        <w:rPr>
          <w:b/>
          <w:color w:val="auto"/>
        </w:rPr>
        <w:t xml:space="preserve">1 </w:t>
      </w:r>
      <w:r>
        <w:rPr>
          <w:rFonts w:hint="eastAsia"/>
          <w:b/>
          <w:color w:val="auto"/>
        </w:rPr>
        <w:t xml:space="preserve"> </w:t>
      </w:r>
      <w:r>
        <w:rPr>
          <w:color w:val="auto"/>
        </w:rPr>
        <w:t>设备</w:t>
      </w:r>
      <w:r>
        <w:rPr>
          <w:rFonts w:hint="eastAsia"/>
          <w:color w:val="auto"/>
        </w:rPr>
        <w:t>、</w:t>
      </w:r>
      <w:r>
        <w:rPr>
          <w:color w:val="auto"/>
        </w:rPr>
        <w:t>管线宜与主体结构相分离；</w:t>
      </w:r>
    </w:p>
    <w:p w14:paraId="6D24D909">
      <w:pPr>
        <w:spacing w:line="312" w:lineRule="auto"/>
        <w:ind w:firstLine="422" w:firstLineChars="200"/>
        <w:rPr>
          <w:color w:val="auto"/>
        </w:rPr>
      </w:pPr>
      <w:r>
        <w:rPr>
          <w:b/>
          <w:color w:val="auto"/>
        </w:rPr>
        <w:t xml:space="preserve">2 </w:t>
      </w:r>
      <w:r>
        <w:rPr>
          <w:rFonts w:hint="eastAsia"/>
          <w:b/>
          <w:color w:val="auto"/>
        </w:rPr>
        <w:t xml:space="preserve"> </w:t>
      </w:r>
      <w:r>
        <w:rPr>
          <w:color w:val="auto"/>
        </w:rPr>
        <w:t>电气管线应综合排布，同一</w:t>
      </w:r>
      <w:r>
        <w:rPr>
          <w:rFonts w:hint="eastAsia"/>
          <w:color w:val="auto"/>
        </w:rPr>
        <w:t>部位不应有</w:t>
      </w:r>
      <w:r>
        <w:rPr>
          <w:color w:val="auto"/>
        </w:rPr>
        <w:t>2根以上电气导管交叉敷设</w:t>
      </w:r>
      <w:r>
        <w:rPr>
          <w:rFonts w:hint="eastAsia"/>
          <w:color w:val="auto"/>
        </w:rPr>
        <w:t>；</w:t>
      </w:r>
    </w:p>
    <w:p w14:paraId="54390E7D">
      <w:pPr>
        <w:spacing w:line="312" w:lineRule="auto"/>
        <w:ind w:firstLine="422" w:firstLineChars="200"/>
        <w:rPr>
          <w:color w:val="auto"/>
        </w:rPr>
      </w:pPr>
      <w:r>
        <w:rPr>
          <w:b/>
          <w:color w:val="auto"/>
        </w:rPr>
        <w:t>3</w:t>
      </w:r>
      <w:r>
        <w:rPr>
          <w:color w:val="auto"/>
        </w:rPr>
        <w:t xml:space="preserve"> </w:t>
      </w:r>
      <w:r>
        <w:rPr>
          <w:rFonts w:hint="eastAsia"/>
          <w:color w:val="auto"/>
        </w:rPr>
        <w:t xml:space="preserve"> 模块单元间</w:t>
      </w:r>
      <w:r>
        <w:rPr>
          <w:color w:val="auto"/>
        </w:rPr>
        <w:t>的连接管宜采用可弯曲导管</w:t>
      </w:r>
      <w:r>
        <w:rPr>
          <w:rFonts w:hint="eastAsia"/>
          <w:color w:val="auto"/>
        </w:rPr>
        <w:t>；</w:t>
      </w:r>
    </w:p>
    <w:p w14:paraId="024F7CF5">
      <w:pPr>
        <w:spacing w:line="312" w:lineRule="auto"/>
        <w:ind w:firstLine="422" w:firstLineChars="200"/>
        <w:rPr>
          <w:color w:val="auto"/>
        </w:rPr>
      </w:pPr>
      <w:r>
        <w:rPr>
          <w:b/>
          <w:color w:val="auto"/>
        </w:rPr>
        <w:t xml:space="preserve">4 </w:t>
      </w:r>
      <w:r>
        <w:rPr>
          <w:rFonts w:hint="eastAsia"/>
          <w:b/>
          <w:color w:val="auto"/>
        </w:rPr>
        <w:t xml:space="preserve"> </w:t>
      </w:r>
      <w:r>
        <w:rPr>
          <w:rFonts w:hint="eastAsia"/>
          <w:color w:val="auto"/>
        </w:rPr>
        <w:t>安装底盒应根据模块化建筑的特点和管材敷设部位确定位置和深度；</w:t>
      </w:r>
    </w:p>
    <w:p w14:paraId="2E47836D">
      <w:pPr>
        <w:spacing w:line="312" w:lineRule="auto"/>
        <w:ind w:firstLine="422" w:firstLineChars="200"/>
        <w:rPr>
          <w:color w:val="auto"/>
        </w:rPr>
      </w:pPr>
      <w:r>
        <w:rPr>
          <w:rFonts w:hint="eastAsia"/>
          <w:b/>
          <w:color w:val="auto"/>
        </w:rPr>
        <w:t xml:space="preserve">5  </w:t>
      </w:r>
      <w:r>
        <w:rPr>
          <w:rFonts w:hint="eastAsia"/>
          <w:color w:val="auto"/>
        </w:rPr>
        <w:t>暗装的强、弱电箱宜设置在模块单元的户内隔墙上。</w:t>
      </w:r>
    </w:p>
    <w:p w14:paraId="523B5EE1">
      <w:pPr>
        <w:numPr>
          <w:ilvl w:val="255"/>
          <w:numId w:val="0"/>
        </w:numPr>
        <w:spacing w:line="312" w:lineRule="auto"/>
        <w:ind w:firstLine="420" w:firstLineChars="200"/>
        <w:rPr>
          <w:rFonts w:eastAsia="楷体"/>
          <w:color w:val="auto"/>
          <w:szCs w:val="21"/>
        </w:rPr>
      </w:pPr>
      <w:r>
        <w:rPr>
          <w:rFonts w:eastAsia="楷体"/>
          <w:color w:val="auto"/>
          <w:szCs w:val="21"/>
        </w:rPr>
        <w:t>【条文说明】当建筑设计有吊顶时，宜优先考虑在吊顶内明敷。无条件时需要暗敷在结构层时，应根据模块建筑的结构类型，选择合适的敷设方式，例如当模块建筑预制层厚度为30mm时，后浇层厚度为170mm时，管线应敷设在后浇层；当模块建筑预制层厚度为100mm时，后浇层厚度为100mm时，管线可敷设在模块建筑预制层内。</w:t>
      </w:r>
    </w:p>
    <w:p w14:paraId="17B7A2F4">
      <w:pPr>
        <w:pStyle w:val="33"/>
        <w:rPr>
          <w:color w:val="auto"/>
        </w:rPr>
      </w:pPr>
      <w:r>
        <w:rPr>
          <w:color w:val="auto"/>
        </w:rPr>
        <w:t>当无现行国家、行业、地方标准强制要求使用金属管时，因为模块建筑经常需要拼接，为了便于拼接时管线安装对接方便，宜采用塑料材质导管。</w:t>
      </w:r>
    </w:p>
    <w:p w14:paraId="00C0F6C6">
      <w:pPr>
        <w:pStyle w:val="33"/>
        <w:rPr>
          <w:color w:val="auto"/>
        </w:rPr>
      </w:pPr>
      <w:r>
        <w:rPr>
          <w:color w:val="auto"/>
        </w:rPr>
        <w:t>结构考虑楼板预制层厚度为60mm，后浇层厚度为60mm，电气导管考虑采用外径为20mm的PVC电气导管，此时需要选择合适深度的安装盒（本图例采用深度100mm的底盒），确保安装盒的孔洞不被遮挡，确保线管能和底盒能顺利对接。</w:t>
      </w:r>
    </w:p>
    <w:p w14:paraId="05CE9582">
      <w:pPr>
        <w:jc w:val="center"/>
        <w:rPr>
          <w:color w:val="auto"/>
        </w:rPr>
      </w:pPr>
      <w:r>
        <w:rPr>
          <w:color w:val="auto"/>
        </w:rPr>
        <w:object>
          <v:shape id="_x0000_i1031" o:spt="75" type="#_x0000_t75" style="height:109.5pt;width:229.5pt;" o:ole="t" filled="f" o:preferrelative="t" stroked="f" coordsize="21600,21600">
            <v:path/>
            <v:fill on="f" focussize="0,0"/>
            <v:stroke on="f" joinstyle="miter"/>
            <v:imagedata r:id="rId75" o:title=""/>
            <o:lock v:ext="edit" aspectratio="t"/>
            <w10:wrap type="none"/>
            <w10:anchorlock/>
          </v:shape>
          <o:OLEObject Type="Embed" ProgID="Visio.Drawing.15" ShapeID="_x0000_i1031" DrawAspect="Content" ObjectID="_1468075731" r:id="rId74">
            <o:LockedField>false</o:LockedField>
          </o:OLEObject>
        </w:object>
      </w:r>
    </w:p>
    <w:p w14:paraId="28733F03">
      <w:pPr>
        <w:pStyle w:val="26"/>
        <w:rPr>
          <w:rFonts w:eastAsia="楷体"/>
          <w:color w:val="auto"/>
          <w:sz w:val="21"/>
          <w:szCs w:val="24"/>
        </w:rPr>
      </w:pPr>
      <w:r>
        <w:rPr>
          <w:rFonts w:eastAsia="楷体"/>
          <w:color w:val="auto"/>
          <w:sz w:val="21"/>
          <w:szCs w:val="24"/>
        </w:rPr>
        <w:t>图</w:t>
      </w:r>
      <w:r>
        <w:rPr>
          <w:rFonts w:hint="eastAsia" w:eastAsia="楷体"/>
          <w:color w:val="auto"/>
          <w:sz w:val="21"/>
          <w:szCs w:val="24"/>
        </w:rPr>
        <w:t>27</w:t>
      </w:r>
      <w:r>
        <w:rPr>
          <w:rFonts w:eastAsia="楷体"/>
          <w:color w:val="auto"/>
          <w:sz w:val="21"/>
          <w:szCs w:val="24"/>
        </w:rPr>
        <w:t xml:space="preserve">  100 mm深灯头盒吸顶安装</w:t>
      </w:r>
      <w:r>
        <w:rPr>
          <w:rFonts w:hint="eastAsia" w:eastAsia="楷体"/>
          <w:color w:val="auto"/>
          <w:sz w:val="21"/>
          <w:szCs w:val="24"/>
        </w:rPr>
        <w:t>示意</w:t>
      </w:r>
    </w:p>
    <w:p w14:paraId="7379AC49">
      <w:pPr>
        <w:numPr>
          <w:ilvl w:val="0"/>
          <w:numId w:val="24"/>
        </w:numPr>
        <w:spacing w:line="312" w:lineRule="auto"/>
        <w:rPr>
          <w:color w:val="auto"/>
        </w:rPr>
      </w:pPr>
      <w:r>
        <w:rPr>
          <w:rFonts w:hint="eastAsia"/>
          <w:color w:val="auto"/>
        </w:rPr>
        <w:t>电气管线的预留接口应符合下列规定：</w:t>
      </w:r>
    </w:p>
    <w:p w14:paraId="4CFE01A2">
      <w:pPr>
        <w:spacing w:line="312" w:lineRule="auto"/>
        <w:ind w:firstLine="422" w:firstLineChars="200"/>
        <w:rPr>
          <w:color w:val="auto"/>
        </w:rPr>
      </w:pPr>
      <w:r>
        <w:rPr>
          <w:b/>
          <w:color w:val="auto"/>
        </w:rPr>
        <w:t xml:space="preserve">1 </w:t>
      </w:r>
      <w:r>
        <w:rPr>
          <w:rFonts w:hint="eastAsia"/>
          <w:b/>
          <w:color w:val="auto"/>
        </w:rPr>
        <w:t xml:space="preserve"> </w:t>
      </w:r>
      <w:r>
        <w:rPr>
          <w:color w:val="auto"/>
        </w:rPr>
        <w:t>部品与配管及配管之间的连接应采用标准化接口，且</w:t>
      </w:r>
      <w:r>
        <w:rPr>
          <w:rFonts w:hint="eastAsia"/>
          <w:color w:val="auto"/>
        </w:rPr>
        <w:t>便于安装维护；</w:t>
      </w:r>
    </w:p>
    <w:p w14:paraId="694BEDD5">
      <w:pPr>
        <w:spacing w:line="312" w:lineRule="auto"/>
        <w:ind w:firstLine="422" w:firstLineChars="200"/>
        <w:rPr>
          <w:color w:val="auto"/>
        </w:rPr>
      </w:pPr>
      <w:r>
        <w:rPr>
          <w:b/>
          <w:color w:val="auto"/>
        </w:rPr>
        <w:t>2</w:t>
      </w:r>
      <w:r>
        <w:rPr>
          <w:rFonts w:hint="eastAsia"/>
          <w:color w:val="auto"/>
        </w:rPr>
        <w:t xml:space="preserve">  </w:t>
      </w:r>
      <w:r>
        <w:rPr>
          <w:color w:val="auto"/>
        </w:rPr>
        <w:t>连接管、接线盒等应适当预留，出线口和接线盒应准确定位，预留孔洞的大小</w:t>
      </w:r>
      <w:r>
        <w:rPr>
          <w:rFonts w:hint="eastAsia"/>
          <w:color w:val="auto"/>
        </w:rPr>
        <w:t>应满足相应公差要求；</w:t>
      </w:r>
    </w:p>
    <w:p w14:paraId="5A521676">
      <w:pPr>
        <w:spacing w:line="312" w:lineRule="auto"/>
        <w:ind w:firstLine="422" w:firstLineChars="200"/>
        <w:rPr>
          <w:color w:val="auto"/>
        </w:rPr>
      </w:pPr>
      <w:r>
        <w:rPr>
          <w:b/>
          <w:color w:val="auto"/>
        </w:rPr>
        <w:t xml:space="preserve">3 </w:t>
      </w:r>
      <w:r>
        <w:rPr>
          <w:rFonts w:hint="eastAsia"/>
          <w:b/>
          <w:color w:val="auto"/>
        </w:rPr>
        <w:t xml:space="preserve"> </w:t>
      </w:r>
      <w:r>
        <w:rPr>
          <w:color w:val="auto"/>
        </w:rPr>
        <w:t>同一建筑的土建接口宜集中设置</w:t>
      </w:r>
      <w:r>
        <w:rPr>
          <w:rFonts w:hint="eastAsia"/>
          <w:color w:val="auto"/>
        </w:rPr>
        <w:t>；</w:t>
      </w:r>
    </w:p>
    <w:p w14:paraId="64364F6E">
      <w:pPr>
        <w:spacing w:line="312" w:lineRule="auto"/>
        <w:ind w:firstLine="422" w:firstLineChars="200"/>
        <w:rPr>
          <w:color w:val="auto"/>
          <w:szCs w:val="28"/>
        </w:rPr>
      </w:pPr>
      <w:r>
        <w:rPr>
          <w:b/>
          <w:color w:val="auto"/>
          <w:szCs w:val="28"/>
        </w:rPr>
        <w:t xml:space="preserve">4 </w:t>
      </w:r>
      <w:r>
        <w:rPr>
          <w:rFonts w:hint="eastAsia"/>
          <w:b/>
          <w:color w:val="auto"/>
          <w:szCs w:val="28"/>
        </w:rPr>
        <w:t xml:space="preserve"> </w:t>
      </w:r>
      <w:r>
        <w:rPr>
          <w:rFonts w:hint="eastAsia"/>
          <w:color w:val="auto"/>
          <w:szCs w:val="28"/>
        </w:rPr>
        <w:t>孔洞及接线盒不应在模块单元受力部位和节点连接区域设置</w:t>
      </w:r>
      <w:r>
        <w:rPr>
          <w:color w:val="auto"/>
          <w:szCs w:val="28"/>
        </w:rPr>
        <w:t>，隔墙两侧的电气设备不应直接连通设置。</w:t>
      </w:r>
    </w:p>
    <w:p w14:paraId="1F5E762D">
      <w:pPr>
        <w:pStyle w:val="33"/>
        <w:rPr>
          <w:color w:val="auto"/>
        </w:rPr>
      </w:pPr>
      <w:r>
        <w:rPr>
          <w:rFonts w:hint="eastAsia" w:ascii="楷体" w:hAnsi="楷体" w:cs="楷体"/>
          <w:color w:val="auto"/>
          <w:szCs w:val="21"/>
        </w:rPr>
        <w:t>【条文说明】</w:t>
      </w:r>
      <w:r>
        <w:rPr>
          <w:rFonts w:hint="eastAsia"/>
          <w:color w:val="auto"/>
        </w:rPr>
        <w:t>模块化建筑拼装时，为了保证管线安装对接方便，会留一定安装冗余的土建孔洞。为减少模块单元拼装完成后孔洞现场封堵工作量，需将电气和弱电智能化的土建预留接口集中设置。</w:t>
      </w:r>
    </w:p>
    <w:p w14:paraId="528C8029">
      <w:pPr>
        <w:numPr>
          <w:ilvl w:val="0"/>
          <w:numId w:val="24"/>
        </w:numPr>
        <w:spacing w:line="312" w:lineRule="auto"/>
        <w:rPr>
          <w:color w:val="auto"/>
        </w:rPr>
      </w:pPr>
      <w:r>
        <w:rPr>
          <w:rFonts w:hint="eastAsia"/>
          <w:color w:val="auto"/>
        </w:rPr>
        <w:t>当模块单元外墙上的金属管道、栏杆、门窗、金属围护部（构）件、金属遮阳部（构）件等金属物需要做防雷连接时，应通过与相关模块单元内部的金属件与防雷装置连接成电气通路。</w:t>
      </w:r>
    </w:p>
    <w:p w14:paraId="2807FF56">
      <w:pPr>
        <w:numPr>
          <w:ilvl w:val="0"/>
          <w:numId w:val="24"/>
        </w:numPr>
        <w:spacing w:line="312" w:lineRule="auto"/>
        <w:rPr>
          <w:color w:val="auto"/>
        </w:rPr>
      </w:pPr>
      <w:r>
        <w:rPr>
          <w:rFonts w:hint="eastAsia"/>
          <w:color w:val="auto"/>
        </w:rPr>
        <w:t>电气管线的预留预埋应符合下列规定：</w:t>
      </w:r>
    </w:p>
    <w:p w14:paraId="77BB60AA">
      <w:pPr>
        <w:autoSpaceDE w:val="0"/>
        <w:autoSpaceDN w:val="0"/>
        <w:adjustRightInd w:val="0"/>
        <w:spacing w:line="312" w:lineRule="auto"/>
        <w:ind w:firstLine="422" w:firstLineChars="200"/>
        <w:jc w:val="left"/>
        <w:rPr>
          <w:rFonts w:ascii="宋体" w:cs="宋体"/>
          <w:color w:val="auto"/>
          <w:kern w:val="0"/>
          <w:szCs w:val="21"/>
        </w:rPr>
      </w:pPr>
      <w:r>
        <w:rPr>
          <w:b/>
          <w:color w:val="auto"/>
        </w:rPr>
        <w:t xml:space="preserve">1 </w:t>
      </w:r>
      <w:r>
        <w:rPr>
          <w:rFonts w:hint="eastAsia"/>
          <w:b/>
          <w:color w:val="auto"/>
        </w:rPr>
        <w:t xml:space="preserve"> </w:t>
      </w:r>
      <w:r>
        <w:rPr>
          <w:rFonts w:hint="eastAsia" w:ascii="宋体" w:cs="宋体"/>
          <w:color w:val="auto"/>
          <w:kern w:val="0"/>
          <w:szCs w:val="21"/>
        </w:rPr>
        <w:t>设于模块单元内的开关、插座、灯具、探测器的接线盒、电气导管、穿线管孔、供防雷及接地用的预埋钢板、附加连接导体等应在生产时进行预留预埋</w:t>
      </w:r>
      <w:r>
        <w:rPr>
          <w:rFonts w:hint="eastAsia"/>
          <w:color w:val="auto"/>
        </w:rPr>
        <w:t>；</w:t>
      </w:r>
    </w:p>
    <w:p w14:paraId="37F95165">
      <w:pPr>
        <w:spacing w:line="312" w:lineRule="auto"/>
        <w:ind w:firstLine="420"/>
        <w:rPr>
          <w:color w:val="auto"/>
        </w:rPr>
      </w:pPr>
      <w:r>
        <w:rPr>
          <w:b/>
          <w:color w:val="auto"/>
        </w:rPr>
        <w:t xml:space="preserve">2 </w:t>
      </w:r>
      <w:r>
        <w:rPr>
          <w:rFonts w:hint="eastAsia"/>
          <w:b/>
          <w:color w:val="auto"/>
        </w:rPr>
        <w:t xml:space="preserve"> </w:t>
      </w:r>
      <w:r>
        <w:rPr>
          <w:rFonts w:hint="eastAsia"/>
          <w:color w:val="auto"/>
        </w:rPr>
        <w:t>模块单元生产、运输、安装时，应做好安装盒、预留导管及导管连接头的保护，避免被破坏或杂物污染、封堵。</w:t>
      </w:r>
    </w:p>
    <w:p w14:paraId="22582C6E">
      <w:pPr>
        <w:pStyle w:val="3"/>
        <w:rPr>
          <w:color w:val="auto"/>
        </w:rPr>
      </w:pPr>
      <w:bookmarkStart w:id="288" w:name="_Toc17517"/>
      <w:bookmarkStart w:id="289" w:name="_Toc28924"/>
      <w:bookmarkStart w:id="290" w:name="_Toc27001"/>
      <w:bookmarkStart w:id="291" w:name="_Toc18183"/>
      <w:bookmarkStart w:id="292" w:name="_Toc10139"/>
      <w:bookmarkStart w:id="293" w:name="_Toc20401"/>
      <w:bookmarkStart w:id="294" w:name="_Toc21235"/>
      <w:bookmarkStart w:id="295" w:name="_Toc6917"/>
      <w:r>
        <w:rPr>
          <w:b/>
          <w:bCs w:val="0"/>
          <w:color w:val="auto"/>
        </w:rPr>
        <w:t>8</w:t>
      </w:r>
      <w:r>
        <w:rPr>
          <w:rFonts w:hint="eastAsia"/>
          <w:b/>
          <w:bCs w:val="0"/>
          <w:color w:val="auto"/>
        </w:rPr>
        <w:t>.</w:t>
      </w:r>
      <w:r>
        <w:rPr>
          <w:b/>
          <w:bCs w:val="0"/>
          <w:color w:val="auto"/>
        </w:rPr>
        <w:t>5</w:t>
      </w:r>
      <w:r>
        <w:rPr>
          <w:rFonts w:hint="eastAsia"/>
          <w:color w:val="auto"/>
        </w:rPr>
        <w:t xml:space="preserve">  内装系统</w:t>
      </w:r>
      <w:bookmarkEnd w:id="288"/>
      <w:bookmarkEnd w:id="289"/>
      <w:bookmarkEnd w:id="290"/>
      <w:bookmarkEnd w:id="291"/>
      <w:bookmarkEnd w:id="292"/>
      <w:bookmarkEnd w:id="293"/>
      <w:bookmarkEnd w:id="294"/>
      <w:bookmarkEnd w:id="295"/>
    </w:p>
    <w:p w14:paraId="6F686959">
      <w:pPr>
        <w:numPr>
          <w:ilvl w:val="0"/>
          <w:numId w:val="25"/>
        </w:numPr>
        <w:spacing w:line="312" w:lineRule="auto"/>
        <w:rPr>
          <w:color w:val="auto"/>
        </w:rPr>
      </w:pPr>
      <w:r>
        <w:rPr>
          <w:rFonts w:hint="eastAsia"/>
          <w:color w:val="auto"/>
        </w:rPr>
        <w:t>内装系统宜采用装配式装修，并应符合下列规定：</w:t>
      </w:r>
    </w:p>
    <w:p w14:paraId="176D3A3A">
      <w:pPr>
        <w:spacing w:line="312" w:lineRule="auto"/>
        <w:ind w:firstLine="422" w:firstLineChars="200"/>
        <w:rPr>
          <w:color w:val="auto"/>
        </w:rPr>
      </w:pPr>
      <w:r>
        <w:rPr>
          <w:rFonts w:hint="eastAsia"/>
          <w:b/>
          <w:bCs/>
          <w:color w:val="auto"/>
        </w:rPr>
        <w:t xml:space="preserve">1  </w:t>
      </w:r>
      <w:r>
        <w:rPr>
          <w:rFonts w:hint="eastAsia"/>
          <w:color w:val="auto"/>
        </w:rPr>
        <w:t>设计</w:t>
      </w:r>
      <w:r>
        <w:rPr>
          <w:color w:val="auto"/>
        </w:rPr>
        <w:t>应遵循标准化设计和模数协调的原则</w:t>
      </w:r>
      <w:r>
        <w:rPr>
          <w:rFonts w:hint="eastAsia"/>
          <w:color w:val="auto"/>
        </w:rPr>
        <w:t>；</w:t>
      </w:r>
    </w:p>
    <w:p w14:paraId="03074362">
      <w:pPr>
        <w:spacing w:line="312" w:lineRule="auto"/>
        <w:ind w:firstLine="422" w:firstLineChars="200"/>
        <w:rPr>
          <w:color w:val="auto"/>
        </w:rPr>
      </w:pPr>
      <w:r>
        <w:rPr>
          <w:rFonts w:hint="eastAsia"/>
          <w:b/>
          <w:color w:val="auto"/>
        </w:rPr>
        <w:t>2</w:t>
      </w:r>
      <w:r>
        <w:rPr>
          <w:b/>
          <w:color w:val="auto"/>
        </w:rPr>
        <w:t xml:space="preserve"> </w:t>
      </w:r>
      <w:r>
        <w:rPr>
          <w:rFonts w:hint="eastAsia"/>
          <w:b/>
          <w:color w:val="auto"/>
        </w:rPr>
        <w:t xml:space="preserve"> </w:t>
      </w:r>
      <w:r>
        <w:rPr>
          <w:rFonts w:hint="eastAsia"/>
          <w:color w:val="auto"/>
        </w:rPr>
        <w:t>模块内部装修，除内部接口位置外，宜在工厂内完成；</w:t>
      </w:r>
    </w:p>
    <w:p w14:paraId="74376C96">
      <w:pPr>
        <w:spacing w:line="312" w:lineRule="auto"/>
        <w:ind w:firstLine="422" w:firstLineChars="200"/>
        <w:rPr>
          <w:color w:val="auto"/>
        </w:rPr>
      </w:pPr>
      <w:r>
        <w:rPr>
          <w:rFonts w:hint="eastAsia"/>
          <w:b/>
          <w:bCs/>
          <w:color w:val="auto"/>
        </w:rPr>
        <w:t>3</w:t>
      </w:r>
      <w:r>
        <w:rPr>
          <w:b/>
          <w:bCs/>
          <w:color w:val="auto"/>
        </w:rPr>
        <w:t xml:space="preserve"> </w:t>
      </w:r>
      <w:r>
        <w:rPr>
          <w:rFonts w:hint="eastAsia"/>
          <w:b/>
          <w:bCs/>
          <w:color w:val="auto"/>
        </w:rPr>
        <w:t xml:space="preserve"> </w:t>
      </w:r>
      <w:r>
        <w:rPr>
          <w:rFonts w:hint="eastAsia"/>
          <w:color w:val="auto"/>
        </w:rPr>
        <w:t>装修材料及部品应根据不同的使用年限，做到安全可靠，连接牢固，维护便利；</w:t>
      </w:r>
    </w:p>
    <w:p w14:paraId="7C6E3DEE">
      <w:pPr>
        <w:spacing w:line="312" w:lineRule="auto"/>
        <w:ind w:firstLine="422" w:firstLineChars="200"/>
        <w:rPr>
          <w:color w:val="auto"/>
        </w:rPr>
      </w:pPr>
      <w:r>
        <w:rPr>
          <w:rFonts w:hint="eastAsia"/>
          <w:b/>
          <w:bCs/>
          <w:color w:val="auto"/>
        </w:rPr>
        <w:t>4</w:t>
      </w:r>
      <w:r>
        <w:rPr>
          <w:b/>
          <w:bCs/>
          <w:color w:val="auto"/>
        </w:rPr>
        <w:t xml:space="preserve"> </w:t>
      </w:r>
      <w:r>
        <w:rPr>
          <w:rFonts w:hint="eastAsia"/>
          <w:b/>
          <w:bCs/>
          <w:color w:val="auto"/>
        </w:rPr>
        <w:t xml:space="preserve"> </w:t>
      </w:r>
      <w:r>
        <w:rPr>
          <w:color w:val="auto"/>
        </w:rPr>
        <w:t>应</w:t>
      </w:r>
      <w:r>
        <w:rPr>
          <w:rFonts w:hint="eastAsia"/>
          <w:color w:val="auto"/>
        </w:rPr>
        <w:t>根据部品规格和安装顺序</w:t>
      </w:r>
      <w:r>
        <w:rPr>
          <w:color w:val="auto"/>
        </w:rPr>
        <w:t>统一编号，在生产、安装阶段按编号实施。</w:t>
      </w:r>
    </w:p>
    <w:p w14:paraId="463D965A">
      <w:pPr>
        <w:numPr>
          <w:ilvl w:val="0"/>
          <w:numId w:val="25"/>
        </w:numPr>
        <w:spacing w:line="312" w:lineRule="auto"/>
        <w:rPr>
          <w:color w:val="auto"/>
        </w:rPr>
      </w:pPr>
      <w:r>
        <w:rPr>
          <w:rFonts w:hint="eastAsia"/>
          <w:color w:val="auto"/>
        </w:rPr>
        <w:t>内装设计深化时，应明确机电点位定位并避免在钢筋密集区域设置。</w:t>
      </w:r>
    </w:p>
    <w:p w14:paraId="413962A0">
      <w:pPr>
        <w:pStyle w:val="33"/>
        <w:rPr>
          <w:rFonts w:ascii="楷体" w:hAnsi="楷体" w:cs="楷体"/>
          <w:color w:val="auto"/>
          <w:szCs w:val="21"/>
        </w:rPr>
      </w:pPr>
      <w:r>
        <w:rPr>
          <w:rFonts w:hint="eastAsia" w:ascii="楷体" w:hAnsi="楷体" w:cs="楷体"/>
          <w:color w:val="auto"/>
          <w:szCs w:val="21"/>
        </w:rPr>
        <w:t>【条文说明】内装设计应在给排水、暖通、电气等专业设计图纸基础上进行深化设计，避免设备点位在建筑的平、立面位置上发生冲突，解决因各专业繁多的设备点位带来的功能与美观相冲突的问题。</w:t>
      </w:r>
    </w:p>
    <w:p w14:paraId="3F565B45">
      <w:pPr>
        <w:numPr>
          <w:ilvl w:val="0"/>
          <w:numId w:val="25"/>
        </w:numPr>
        <w:rPr>
          <w:rFonts w:ascii="楷体" w:hAnsi="楷体" w:eastAsia="楷体" w:cs="楷体"/>
          <w:color w:val="auto"/>
          <w:szCs w:val="21"/>
        </w:rPr>
      </w:pPr>
      <w:r>
        <w:rPr>
          <w:rFonts w:hint="eastAsia"/>
          <w:color w:val="auto"/>
        </w:rPr>
        <w:t>部品部件的尺寸、公差应与接口相协调，并应具有通用性和互换性。</w:t>
      </w:r>
    </w:p>
    <w:p w14:paraId="57C43205">
      <w:pPr>
        <w:numPr>
          <w:ilvl w:val="0"/>
          <w:numId w:val="25"/>
        </w:numPr>
        <w:spacing w:line="312" w:lineRule="auto"/>
        <w:rPr>
          <w:color w:val="auto"/>
        </w:rPr>
      </w:pPr>
      <w:r>
        <w:rPr>
          <w:rFonts w:hint="eastAsia"/>
          <w:color w:val="auto"/>
        </w:rPr>
        <w:t>吊顶系统设计应满足室内净高的需求，并应符合下列规定：</w:t>
      </w:r>
    </w:p>
    <w:p w14:paraId="6514A152">
      <w:pPr>
        <w:spacing w:line="312" w:lineRule="auto"/>
        <w:ind w:firstLine="420"/>
        <w:rPr>
          <w:color w:val="auto"/>
        </w:rPr>
      </w:pPr>
      <w:r>
        <w:rPr>
          <w:b/>
          <w:color w:val="auto"/>
        </w:rPr>
        <w:t>1</w:t>
      </w:r>
      <w:r>
        <w:rPr>
          <w:rFonts w:hint="eastAsia"/>
          <w:color w:val="auto"/>
        </w:rPr>
        <w:t xml:space="preserve">  宜采用可拆卸式的吊顶；</w:t>
      </w:r>
    </w:p>
    <w:p w14:paraId="1FFF764D">
      <w:pPr>
        <w:spacing w:line="312" w:lineRule="auto"/>
        <w:ind w:firstLine="422" w:firstLineChars="200"/>
        <w:rPr>
          <w:color w:val="auto"/>
        </w:rPr>
      </w:pPr>
      <w:r>
        <w:rPr>
          <w:rFonts w:hint="eastAsia"/>
          <w:b/>
          <w:color w:val="auto"/>
        </w:rPr>
        <w:t>2</w:t>
      </w:r>
      <w:r>
        <w:rPr>
          <w:b/>
          <w:color w:val="auto"/>
        </w:rPr>
        <w:t xml:space="preserve"> </w:t>
      </w:r>
      <w:r>
        <w:rPr>
          <w:rFonts w:hint="eastAsia"/>
          <w:b/>
          <w:color w:val="auto"/>
        </w:rPr>
        <w:t xml:space="preserve"> </w:t>
      </w:r>
      <w:r>
        <w:rPr>
          <w:rFonts w:hint="eastAsia"/>
          <w:color w:val="auto"/>
        </w:rPr>
        <w:t>应在吊顶内设备管线集中部位设置检修口；</w:t>
      </w:r>
    </w:p>
    <w:p w14:paraId="4AF2EF70">
      <w:pPr>
        <w:spacing w:line="312" w:lineRule="auto"/>
        <w:ind w:firstLine="422" w:firstLineChars="200"/>
        <w:rPr>
          <w:color w:val="auto"/>
        </w:rPr>
      </w:pPr>
      <w:r>
        <w:rPr>
          <w:rFonts w:hint="eastAsia"/>
          <w:b/>
          <w:bCs/>
          <w:color w:val="auto"/>
        </w:rPr>
        <w:t>3</w:t>
      </w:r>
      <w:r>
        <w:rPr>
          <w:b/>
          <w:bCs/>
          <w:color w:val="auto"/>
        </w:rPr>
        <w:t xml:space="preserve"> </w:t>
      </w:r>
      <w:r>
        <w:rPr>
          <w:rFonts w:hint="eastAsia"/>
          <w:b/>
          <w:bCs/>
          <w:color w:val="auto"/>
        </w:rPr>
        <w:t xml:space="preserve"> </w:t>
      </w:r>
      <w:r>
        <w:rPr>
          <w:rFonts w:hint="eastAsia"/>
          <w:color w:val="auto"/>
        </w:rPr>
        <w:t>边沿</w:t>
      </w:r>
      <w:r>
        <w:rPr>
          <w:color w:val="auto"/>
        </w:rPr>
        <w:t>处宜</w:t>
      </w:r>
      <w:r>
        <w:rPr>
          <w:rFonts w:hint="eastAsia"/>
          <w:color w:val="auto"/>
        </w:rPr>
        <w:t>采用成品收口构件</w:t>
      </w:r>
      <w:r>
        <w:rPr>
          <w:color w:val="auto"/>
        </w:rPr>
        <w:t>进行收口</w:t>
      </w:r>
      <w:r>
        <w:rPr>
          <w:rFonts w:hint="eastAsia"/>
          <w:color w:val="auto"/>
        </w:rPr>
        <w:t>。</w:t>
      </w:r>
    </w:p>
    <w:p w14:paraId="70710672">
      <w:pPr>
        <w:numPr>
          <w:ilvl w:val="0"/>
          <w:numId w:val="25"/>
        </w:numPr>
        <w:spacing w:line="312" w:lineRule="auto"/>
        <w:rPr>
          <w:color w:val="auto"/>
        </w:rPr>
      </w:pPr>
      <w:r>
        <w:rPr>
          <w:rFonts w:hint="eastAsia"/>
          <w:color w:val="auto"/>
        </w:rPr>
        <w:t>多个模块单元拼接的区域，楼面装饰层与接驳处理应预留相应的工作面，并应符合下列规定：</w:t>
      </w:r>
    </w:p>
    <w:p w14:paraId="1FAD5E29">
      <w:pPr>
        <w:widowControl/>
        <w:spacing w:line="312" w:lineRule="auto"/>
        <w:ind w:firstLine="422" w:firstLineChars="200"/>
        <w:jc w:val="left"/>
        <w:rPr>
          <w:color w:val="auto"/>
        </w:rPr>
      </w:pPr>
      <w:r>
        <w:rPr>
          <w:b/>
          <w:color w:val="auto"/>
        </w:rPr>
        <w:t>1</w:t>
      </w:r>
      <w:r>
        <w:rPr>
          <w:color w:val="auto"/>
        </w:rPr>
        <w:t xml:space="preserve"> </w:t>
      </w:r>
      <w:r>
        <w:rPr>
          <w:rFonts w:hint="eastAsia"/>
          <w:color w:val="auto"/>
        </w:rPr>
        <w:t xml:space="preserve"> </w:t>
      </w:r>
      <w:r>
        <w:rPr>
          <w:color w:val="auto"/>
        </w:rPr>
        <w:t>多个模块的饰面材料拼接处，应</w:t>
      </w:r>
      <w:r>
        <w:rPr>
          <w:rFonts w:hint="eastAsia"/>
          <w:color w:val="auto"/>
        </w:rPr>
        <w:t>采取</w:t>
      </w:r>
      <w:r>
        <w:rPr>
          <w:color w:val="auto"/>
        </w:rPr>
        <w:t>防水防溢防渗措施；</w:t>
      </w:r>
    </w:p>
    <w:p w14:paraId="070EB5D6">
      <w:pPr>
        <w:widowControl/>
        <w:spacing w:line="312" w:lineRule="auto"/>
        <w:ind w:firstLine="422" w:firstLineChars="200"/>
        <w:jc w:val="left"/>
        <w:rPr>
          <w:b/>
          <w:color w:val="auto"/>
        </w:rPr>
      </w:pPr>
      <w:r>
        <w:rPr>
          <w:rFonts w:hint="eastAsia"/>
          <w:b/>
          <w:color w:val="auto"/>
        </w:rPr>
        <w:t>2</w:t>
      </w:r>
      <w:r>
        <w:rPr>
          <w:color w:val="auto"/>
        </w:rPr>
        <w:t xml:space="preserve"> </w:t>
      </w:r>
      <w:r>
        <w:rPr>
          <w:rFonts w:hint="eastAsia"/>
          <w:color w:val="auto"/>
        </w:rPr>
        <w:t xml:space="preserve"> </w:t>
      </w:r>
      <w:r>
        <w:rPr>
          <w:color w:val="auto"/>
        </w:rPr>
        <w:t>装修施工宜采用具备一定容错的调平工艺</w:t>
      </w:r>
      <w:r>
        <w:rPr>
          <w:rFonts w:hint="eastAsia"/>
          <w:color w:val="auto"/>
        </w:rPr>
        <w:t>；</w:t>
      </w:r>
    </w:p>
    <w:p w14:paraId="66C2619C">
      <w:pPr>
        <w:widowControl/>
        <w:spacing w:line="312" w:lineRule="auto"/>
        <w:ind w:firstLine="422" w:firstLineChars="200"/>
        <w:jc w:val="left"/>
        <w:rPr>
          <w:color w:val="auto"/>
        </w:rPr>
      </w:pPr>
      <w:r>
        <w:rPr>
          <w:rFonts w:hint="eastAsia"/>
          <w:b/>
          <w:color w:val="auto"/>
        </w:rPr>
        <w:t>3</w:t>
      </w:r>
      <w:r>
        <w:rPr>
          <w:color w:val="auto"/>
        </w:rPr>
        <w:t xml:space="preserve"> </w:t>
      </w:r>
      <w:r>
        <w:rPr>
          <w:rFonts w:hint="eastAsia"/>
          <w:color w:val="auto"/>
        </w:rPr>
        <w:t xml:space="preserve"> 当采用</w:t>
      </w:r>
      <w:r>
        <w:rPr>
          <w:color w:val="auto"/>
        </w:rPr>
        <w:t>地胶作为地面饰面时，宜在现场进行地面找平后铺贴；</w:t>
      </w:r>
    </w:p>
    <w:p w14:paraId="51C820F0">
      <w:pPr>
        <w:widowControl/>
        <w:spacing w:line="312" w:lineRule="auto"/>
        <w:ind w:firstLine="422" w:firstLineChars="200"/>
        <w:jc w:val="left"/>
        <w:rPr>
          <w:b/>
          <w:color w:val="auto"/>
        </w:rPr>
      </w:pPr>
      <w:r>
        <w:rPr>
          <w:rFonts w:hint="eastAsia"/>
          <w:b/>
          <w:color w:val="auto"/>
        </w:rPr>
        <w:t xml:space="preserve">4  </w:t>
      </w:r>
      <w:r>
        <w:rPr>
          <w:rFonts w:hint="eastAsia"/>
          <w:bCs/>
          <w:color w:val="auto"/>
        </w:rPr>
        <w:t>当采用瓷砖作为地面饰面时，可采用错缝对齐的铺贴形式；</w:t>
      </w:r>
    </w:p>
    <w:p w14:paraId="43864C26">
      <w:pPr>
        <w:widowControl/>
        <w:spacing w:line="312" w:lineRule="auto"/>
        <w:ind w:firstLine="422" w:firstLineChars="200"/>
        <w:jc w:val="left"/>
        <w:rPr>
          <w:color w:val="auto"/>
        </w:rPr>
      </w:pPr>
      <w:r>
        <w:rPr>
          <w:rFonts w:hint="eastAsia"/>
          <w:b/>
          <w:color w:val="auto"/>
        </w:rPr>
        <w:t>5</w:t>
      </w:r>
      <w:r>
        <w:rPr>
          <w:color w:val="auto"/>
        </w:rPr>
        <w:t xml:space="preserve"> </w:t>
      </w:r>
      <w:r>
        <w:rPr>
          <w:rFonts w:hint="eastAsia"/>
          <w:color w:val="auto"/>
        </w:rPr>
        <w:t xml:space="preserve"> </w:t>
      </w:r>
      <w:r>
        <w:rPr>
          <w:color w:val="auto"/>
        </w:rPr>
        <w:t>多个模块的饰面材料拼接处，宜设置门槛石、门套线</w:t>
      </w:r>
      <w:r>
        <w:rPr>
          <w:rFonts w:hint="eastAsia"/>
          <w:color w:val="auto"/>
        </w:rPr>
        <w:t>。</w:t>
      </w:r>
    </w:p>
    <w:p w14:paraId="3E41386E">
      <w:pPr>
        <w:numPr>
          <w:ilvl w:val="0"/>
          <w:numId w:val="25"/>
        </w:numPr>
        <w:spacing w:line="312" w:lineRule="auto"/>
        <w:rPr>
          <w:color w:val="auto"/>
        </w:rPr>
      </w:pPr>
      <w:r>
        <w:rPr>
          <w:rFonts w:hint="eastAsia"/>
          <w:color w:val="auto"/>
        </w:rPr>
        <w:t>多个模块单元拼接的潮湿区域，宜在现场进行施工，并应进行整体的防水处理。</w:t>
      </w:r>
      <w:bookmarkEnd w:id="253"/>
      <w:bookmarkEnd w:id="254"/>
      <w:bookmarkEnd w:id="279"/>
    </w:p>
    <w:p w14:paraId="383E0F50">
      <w:pPr>
        <w:numPr>
          <w:ilvl w:val="0"/>
          <w:numId w:val="25"/>
        </w:numPr>
        <w:spacing w:line="312" w:lineRule="auto"/>
        <w:rPr>
          <w:color w:val="auto"/>
        </w:rPr>
      </w:pPr>
      <w:r>
        <w:rPr>
          <w:rFonts w:hint="eastAsia"/>
          <w:color w:val="auto"/>
        </w:rPr>
        <w:t>楼地面系统宜采用楼面保温、隔声、装饰一体化的集成化部品。</w:t>
      </w:r>
    </w:p>
    <w:p w14:paraId="66367132">
      <w:pPr>
        <w:widowControl/>
        <w:numPr>
          <w:ilvl w:val="0"/>
          <w:numId w:val="25"/>
        </w:numPr>
        <w:spacing w:line="312" w:lineRule="auto"/>
        <w:rPr>
          <w:color w:val="auto"/>
        </w:rPr>
        <w:sectPr>
          <w:pgSz w:w="11906" w:h="16838"/>
          <w:pgMar w:top="1440" w:right="1800" w:bottom="1440" w:left="1800" w:header="851" w:footer="992" w:gutter="0"/>
          <w:cols w:space="425" w:num="1"/>
          <w:docGrid w:type="lines" w:linePitch="312" w:charSpace="0"/>
        </w:sectPr>
      </w:pPr>
    </w:p>
    <w:p w14:paraId="7653B8DC">
      <w:pPr>
        <w:pStyle w:val="2"/>
        <w:rPr>
          <w:bCs/>
          <w:color w:val="auto"/>
        </w:rPr>
      </w:pPr>
      <w:bookmarkStart w:id="296" w:name="_Toc110952723"/>
      <w:bookmarkStart w:id="297" w:name="_Toc17520"/>
      <w:bookmarkStart w:id="298" w:name="_Toc28037"/>
      <w:bookmarkStart w:id="299" w:name="_Toc110958491"/>
      <w:bookmarkStart w:id="300" w:name="_Toc3221"/>
      <w:bookmarkStart w:id="301" w:name="_Toc10480"/>
      <w:bookmarkStart w:id="302" w:name="_Toc10871"/>
      <w:bookmarkStart w:id="303" w:name="_Toc32759"/>
      <w:bookmarkStart w:id="304" w:name="_Toc8827"/>
      <w:bookmarkStart w:id="305" w:name="_Toc3069"/>
      <w:bookmarkStart w:id="306" w:name="_Toc21754"/>
      <w:r>
        <w:rPr>
          <w:b/>
          <w:bCs/>
          <w:color w:val="auto"/>
        </w:rPr>
        <w:t>9</w:t>
      </w:r>
      <w:r>
        <w:rPr>
          <w:rFonts w:hint="eastAsia"/>
          <w:color w:val="auto"/>
        </w:rPr>
        <w:t xml:space="preserve">  </w:t>
      </w:r>
      <w:r>
        <w:rPr>
          <w:rFonts w:hint="eastAsia"/>
          <w:bCs/>
          <w:color w:val="auto"/>
        </w:rPr>
        <w:t>生产与运输</w:t>
      </w:r>
      <w:bookmarkEnd w:id="296"/>
      <w:bookmarkEnd w:id="297"/>
      <w:bookmarkEnd w:id="298"/>
      <w:bookmarkEnd w:id="299"/>
      <w:bookmarkEnd w:id="300"/>
      <w:bookmarkEnd w:id="301"/>
      <w:bookmarkEnd w:id="302"/>
      <w:bookmarkEnd w:id="303"/>
      <w:bookmarkEnd w:id="304"/>
      <w:bookmarkEnd w:id="305"/>
      <w:bookmarkEnd w:id="306"/>
    </w:p>
    <w:p w14:paraId="5840F32C">
      <w:pPr>
        <w:pStyle w:val="3"/>
        <w:rPr>
          <w:color w:val="auto"/>
        </w:rPr>
      </w:pPr>
      <w:bookmarkStart w:id="307" w:name="_Toc11417"/>
      <w:bookmarkStart w:id="308" w:name="_Toc10747"/>
      <w:bookmarkStart w:id="309" w:name="_Toc3558"/>
      <w:bookmarkStart w:id="310" w:name="_Toc13976"/>
      <w:bookmarkStart w:id="311" w:name="_Toc31825"/>
      <w:bookmarkStart w:id="312" w:name="_Toc32547"/>
      <w:bookmarkStart w:id="313" w:name="_Toc11168"/>
      <w:bookmarkStart w:id="314" w:name="_Toc13986"/>
      <w:bookmarkStart w:id="315" w:name="_Toc110958492"/>
      <w:bookmarkStart w:id="316" w:name="_Toc110952724"/>
      <w:bookmarkStart w:id="317" w:name="_Toc25448"/>
      <w:r>
        <w:rPr>
          <w:b/>
          <w:bCs w:val="0"/>
          <w:color w:val="auto"/>
        </w:rPr>
        <w:t>9</w:t>
      </w:r>
      <w:r>
        <w:rPr>
          <w:rFonts w:hint="eastAsia"/>
          <w:b/>
          <w:bCs w:val="0"/>
          <w:color w:val="auto"/>
        </w:rPr>
        <w:t>.</w:t>
      </w:r>
      <w:r>
        <w:rPr>
          <w:b/>
          <w:bCs w:val="0"/>
          <w:color w:val="auto"/>
        </w:rPr>
        <w:t>1</w:t>
      </w:r>
      <w:r>
        <w:rPr>
          <w:rFonts w:hint="eastAsia"/>
          <w:color w:val="auto"/>
        </w:rPr>
        <w:t xml:space="preserve">  一般规定</w:t>
      </w:r>
      <w:bookmarkEnd w:id="307"/>
      <w:bookmarkEnd w:id="308"/>
      <w:bookmarkEnd w:id="309"/>
      <w:bookmarkEnd w:id="310"/>
      <w:bookmarkEnd w:id="311"/>
      <w:bookmarkEnd w:id="312"/>
      <w:bookmarkEnd w:id="313"/>
      <w:bookmarkEnd w:id="314"/>
      <w:bookmarkEnd w:id="315"/>
      <w:bookmarkEnd w:id="316"/>
      <w:bookmarkEnd w:id="317"/>
    </w:p>
    <w:p w14:paraId="1A05A421">
      <w:pPr>
        <w:numPr>
          <w:ilvl w:val="0"/>
          <w:numId w:val="26"/>
        </w:numPr>
        <w:spacing w:line="312" w:lineRule="auto"/>
        <w:rPr>
          <w:color w:val="auto"/>
        </w:rPr>
      </w:pPr>
      <w:bookmarkStart w:id="318" w:name="_Toc110952725"/>
      <w:bookmarkStart w:id="319" w:name="_Toc110958493"/>
      <w:r>
        <w:rPr>
          <w:rFonts w:hint="eastAsia"/>
          <w:color w:val="auto"/>
        </w:rPr>
        <w:t>生产单位应具备满足模块化建筑质量要求的生产设施和试验检测条件，建立完善的质量管理体系和制度，并宜建立质量可追溯的信息化管理系统。</w:t>
      </w:r>
    </w:p>
    <w:p w14:paraId="64475017">
      <w:pPr>
        <w:tabs>
          <w:tab w:val="left" w:pos="0"/>
        </w:tabs>
        <w:spacing w:line="312" w:lineRule="auto"/>
        <w:ind w:firstLine="420" w:firstLineChars="200"/>
        <w:rPr>
          <w:rFonts w:ascii="楷体" w:hAnsi="楷体" w:eastAsia="楷体" w:cs="楷体"/>
          <w:color w:val="auto"/>
          <w:szCs w:val="21"/>
        </w:rPr>
      </w:pPr>
      <w:r>
        <w:rPr>
          <w:rFonts w:hint="eastAsia" w:ascii="楷体" w:hAnsi="楷体" w:eastAsia="楷体" w:cs="楷体"/>
          <w:color w:val="auto"/>
          <w:szCs w:val="21"/>
        </w:rPr>
        <w:t>【条文说明】质量管理体系主要包括模块单元深化设计、预拌混凝土生产、混凝土预制构件生产、各种材料部品的进厂和加工安装等，并宜采用信息化等可追溯的手段记录生产、质量检测和验收的全过程，并长期保存数据。</w:t>
      </w:r>
    </w:p>
    <w:p w14:paraId="558369CF">
      <w:pPr>
        <w:numPr>
          <w:ilvl w:val="0"/>
          <w:numId w:val="26"/>
        </w:numPr>
        <w:spacing w:line="312" w:lineRule="auto"/>
        <w:rPr>
          <w:color w:val="auto"/>
        </w:rPr>
      </w:pPr>
      <w:r>
        <w:rPr>
          <w:rFonts w:hint="eastAsia"/>
          <w:color w:val="auto"/>
        </w:rPr>
        <w:t>生产单位应具备模块单元的深化设计能力。生产前应进行深化设计绘制加工详图，并根据设计文件、加工详图的要求以及工厂生产的条件，编制生产工艺书。</w:t>
      </w:r>
    </w:p>
    <w:p w14:paraId="50B3A1DC">
      <w:pPr>
        <w:tabs>
          <w:tab w:val="left" w:pos="0"/>
        </w:tabs>
        <w:spacing w:line="312" w:lineRule="auto"/>
        <w:ind w:firstLine="420" w:firstLineChars="200"/>
        <w:rPr>
          <w:color w:val="auto"/>
        </w:rPr>
      </w:pPr>
      <w:r>
        <w:rPr>
          <w:rFonts w:ascii="楷体" w:hAnsi="楷体" w:eastAsia="楷体" w:cs="楷体"/>
          <w:color w:val="auto"/>
          <w:szCs w:val="21"/>
        </w:rPr>
        <w:t>【条文说明】</w:t>
      </w:r>
      <w:r>
        <w:rPr>
          <w:rFonts w:hint="eastAsia" w:ascii="楷体" w:hAnsi="楷体" w:eastAsia="楷体" w:cs="楷体"/>
          <w:color w:val="auto"/>
          <w:szCs w:val="21"/>
        </w:rPr>
        <w:t>模块化建筑的</w:t>
      </w:r>
      <w:r>
        <w:rPr>
          <w:rFonts w:ascii="楷体" w:hAnsi="楷体" w:eastAsia="楷体" w:cs="楷体"/>
          <w:color w:val="auto"/>
          <w:szCs w:val="21"/>
        </w:rPr>
        <w:t>深化设计能力</w:t>
      </w:r>
      <w:r>
        <w:rPr>
          <w:rFonts w:hint="eastAsia" w:ascii="楷体" w:hAnsi="楷体" w:eastAsia="楷体" w:cs="楷体"/>
          <w:color w:val="auto"/>
          <w:szCs w:val="21"/>
        </w:rPr>
        <w:t>主要</w:t>
      </w:r>
      <w:r>
        <w:rPr>
          <w:rFonts w:ascii="楷体" w:hAnsi="楷体" w:eastAsia="楷体" w:cs="楷体"/>
          <w:color w:val="auto"/>
          <w:szCs w:val="21"/>
        </w:rPr>
        <w:t>包括模具、吊装、钢筋等的深化设计，铝合金门窗、栏杆、机电、装修等专业的深化设计配合。加工详图应包含单个模块单元的模板图和配筋图、预埋吊件及其拉结件布置及相关构造图、机电设备预埋图、内装施工图、保温、密封和饰面等细部构造图等内容。</w:t>
      </w:r>
      <w:r>
        <w:rPr>
          <w:rFonts w:hint="eastAsia" w:ascii="楷体" w:hAnsi="楷体" w:eastAsia="楷体" w:cs="楷体"/>
          <w:color w:val="auto"/>
          <w:szCs w:val="21"/>
        </w:rPr>
        <w:t>生产工艺书应包括：施工中所依据的标准、生产厂的质量保证体系、成品的质量保证和为保证成品达到规定的要求而制订的措施，采用的加工、焊接设备和工艺装备，焊工和检查人员的资质证明，各类检查项目表格和生产进度计算表等内容。</w:t>
      </w:r>
    </w:p>
    <w:p w14:paraId="6421E782">
      <w:pPr>
        <w:numPr>
          <w:ilvl w:val="0"/>
          <w:numId w:val="26"/>
        </w:numPr>
        <w:spacing w:line="312" w:lineRule="auto"/>
        <w:rPr>
          <w:color w:val="auto"/>
        </w:rPr>
      </w:pPr>
      <w:r>
        <w:rPr>
          <w:rFonts w:hint="eastAsia"/>
          <w:color w:val="auto"/>
        </w:rPr>
        <w:t>模块单元生产前应由建设单位组织设计、生产、施工单位进行设计文件交底和会审。</w:t>
      </w:r>
    </w:p>
    <w:p w14:paraId="007373F4">
      <w:pPr>
        <w:numPr>
          <w:ilvl w:val="0"/>
          <w:numId w:val="26"/>
        </w:numPr>
        <w:spacing w:line="312" w:lineRule="auto"/>
        <w:rPr>
          <w:color w:val="auto"/>
        </w:rPr>
      </w:pPr>
      <w:r>
        <w:rPr>
          <w:rFonts w:hint="eastAsia"/>
          <w:color w:val="auto"/>
        </w:rPr>
        <w:t>模块单元生产前应编制模块单元生产方案，生产方案宜包括生产计划及生产工艺、模具方案及计划、技术质量控制措施、成品存放、运输及成品保护措施等。</w:t>
      </w:r>
    </w:p>
    <w:p w14:paraId="62F5B4D2">
      <w:pPr>
        <w:numPr>
          <w:ilvl w:val="0"/>
          <w:numId w:val="26"/>
        </w:numPr>
        <w:spacing w:line="312" w:lineRule="auto"/>
        <w:rPr>
          <w:color w:val="auto"/>
        </w:rPr>
      </w:pPr>
      <w:r>
        <w:rPr>
          <w:rFonts w:hint="eastAsia"/>
          <w:color w:val="auto"/>
        </w:rPr>
        <w:t>模块单元生产前，应设计相应的吊具和采取满足安全标准要求的生产措施。</w:t>
      </w:r>
    </w:p>
    <w:p w14:paraId="782B9508">
      <w:pPr>
        <w:numPr>
          <w:ilvl w:val="0"/>
          <w:numId w:val="26"/>
        </w:numPr>
        <w:spacing w:line="312" w:lineRule="auto"/>
        <w:rPr>
          <w:color w:val="auto"/>
        </w:rPr>
      </w:pPr>
      <w:r>
        <w:rPr>
          <w:rFonts w:hint="eastAsia"/>
          <w:color w:val="auto"/>
        </w:rPr>
        <w:t>模块单元的原材料及配件应进行进厂检验，并应符合现行国家标准《装配式混凝土建筑技术标准》GB/T 51231等的规定。</w:t>
      </w:r>
    </w:p>
    <w:p w14:paraId="62CF912E">
      <w:pPr>
        <w:numPr>
          <w:ilvl w:val="0"/>
          <w:numId w:val="26"/>
        </w:numPr>
        <w:spacing w:line="312" w:lineRule="auto"/>
        <w:rPr>
          <w:color w:val="auto"/>
        </w:rPr>
      </w:pPr>
      <w:r>
        <w:rPr>
          <w:rFonts w:hint="eastAsia"/>
          <w:color w:val="auto"/>
        </w:rPr>
        <w:t>模块单元生产宜建立首件验收制度，经建设、设计、施工等单位联合验收合格后方可进行批量生产。</w:t>
      </w:r>
    </w:p>
    <w:p w14:paraId="19014533">
      <w:pPr>
        <w:pStyle w:val="33"/>
        <w:rPr>
          <w:color w:val="auto"/>
        </w:rPr>
      </w:pPr>
      <w:r>
        <w:rPr>
          <w:rFonts w:hint="eastAsia" w:ascii="楷体" w:hAnsi="楷体" w:cs="楷体"/>
          <w:color w:val="auto"/>
          <w:szCs w:val="21"/>
        </w:rPr>
        <w:t>【条文说明】</w:t>
      </w:r>
      <w:r>
        <w:rPr>
          <w:rFonts w:hint="eastAsia"/>
          <w:color w:val="auto"/>
        </w:rPr>
        <w:t>对于结构较复杂的模块单元或新型模块单元首次生产或间隔较长时间重新生产时，生产单位需会同建设、设计、施工等单位共同进行样板检验，重点检查模具、构件、预埋件、混凝土浇筑成型中存在的问题，确认该批模块单元生产工艺是否合理，质量能否得到保障，共同验收合格之后方可批量生产。若模块单元作为成熟的标准化的产品时，可不进行样板检验工作。</w:t>
      </w:r>
    </w:p>
    <w:p w14:paraId="09ABF40C">
      <w:pPr>
        <w:numPr>
          <w:ilvl w:val="0"/>
          <w:numId w:val="26"/>
        </w:numPr>
        <w:spacing w:line="312" w:lineRule="auto"/>
        <w:rPr>
          <w:color w:val="auto"/>
        </w:rPr>
      </w:pPr>
      <w:r>
        <w:rPr>
          <w:rFonts w:hint="eastAsia"/>
          <w:color w:val="auto"/>
        </w:rPr>
        <w:t>模块单元生产中采用新技术、新工艺、新材料、新设备时，宜制定专门的生产方案；必要时进行样品试制，经检验合格后方可实施。</w:t>
      </w:r>
    </w:p>
    <w:p w14:paraId="6E61523C">
      <w:pPr>
        <w:numPr>
          <w:ilvl w:val="0"/>
          <w:numId w:val="26"/>
        </w:numPr>
        <w:spacing w:line="312" w:lineRule="auto"/>
        <w:rPr>
          <w:color w:val="auto"/>
        </w:rPr>
      </w:pPr>
      <w:r>
        <w:rPr>
          <w:rFonts w:hint="eastAsia"/>
          <w:color w:val="auto"/>
        </w:rPr>
        <w:t>模块单元经检查合格后，宜设置表面标识，出厂时应出具质量证明文件。</w:t>
      </w:r>
    </w:p>
    <w:p w14:paraId="51DF854F">
      <w:pPr>
        <w:pStyle w:val="33"/>
        <w:ind w:firstLineChars="0"/>
        <w:rPr>
          <w:rFonts w:ascii="楷体" w:hAnsi="楷体" w:cs="楷体"/>
          <w:color w:val="auto"/>
          <w:szCs w:val="21"/>
        </w:rPr>
      </w:pPr>
      <w:r>
        <w:rPr>
          <w:rFonts w:hint="eastAsia" w:ascii="楷体" w:hAnsi="楷体" w:cs="楷体"/>
          <w:color w:val="auto"/>
          <w:szCs w:val="21"/>
        </w:rPr>
        <w:t>【条文说明】表面标识宜包括生产单位信息、模块单元型号、生产日期、合格状态等内容，必要时可标记模块单元安装的水平、垂直控制线和安装轴线等。</w:t>
      </w:r>
    </w:p>
    <w:bookmarkEnd w:id="318"/>
    <w:bookmarkEnd w:id="319"/>
    <w:p w14:paraId="6288EE21">
      <w:pPr>
        <w:pStyle w:val="3"/>
        <w:rPr>
          <w:color w:val="auto"/>
        </w:rPr>
      </w:pPr>
      <w:bookmarkStart w:id="320" w:name="_Toc15971"/>
      <w:bookmarkStart w:id="321" w:name="_Toc9857"/>
      <w:bookmarkStart w:id="322" w:name="_Toc15544"/>
      <w:bookmarkStart w:id="323" w:name="_Toc110958494"/>
      <w:bookmarkStart w:id="324" w:name="_Toc9431"/>
      <w:bookmarkStart w:id="325" w:name="_Toc21916"/>
      <w:bookmarkStart w:id="326" w:name="_Toc26157"/>
      <w:bookmarkStart w:id="327" w:name="_Toc110952726"/>
      <w:bookmarkStart w:id="328" w:name="_Toc13651"/>
      <w:bookmarkStart w:id="329" w:name="_Toc24754"/>
      <w:bookmarkStart w:id="330" w:name="_Toc23776"/>
      <w:r>
        <w:rPr>
          <w:b/>
          <w:bCs w:val="0"/>
          <w:color w:val="auto"/>
        </w:rPr>
        <w:t>9</w:t>
      </w:r>
      <w:r>
        <w:rPr>
          <w:rFonts w:hint="eastAsia"/>
          <w:b/>
          <w:bCs w:val="0"/>
          <w:color w:val="auto"/>
        </w:rPr>
        <w:t>.2</w:t>
      </w:r>
      <w:r>
        <w:rPr>
          <w:rFonts w:hint="eastAsia"/>
          <w:color w:val="auto"/>
        </w:rPr>
        <w:t xml:space="preserve">  模具</w:t>
      </w:r>
      <w:bookmarkEnd w:id="320"/>
      <w:bookmarkEnd w:id="321"/>
      <w:bookmarkEnd w:id="322"/>
      <w:bookmarkEnd w:id="323"/>
      <w:bookmarkEnd w:id="324"/>
      <w:bookmarkEnd w:id="325"/>
      <w:bookmarkEnd w:id="326"/>
      <w:bookmarkEnd w:id="327"/>
      <w:bookmarkEnd w:id="328"/>
      <w:bookmarkEnd w:id="329"/>
      <w:bookmarkEnd w:id="330"/>
    </w:p>
    <w:p w14:paraId="05ABB717">
      <w:pPr>
        <w:numPr>
          <w:ilvl w:val="0"/>
          <w:numId w:val="27"/>
        </w:numPr>
        <w:spacing w:line="312" w:lineRule="auto"/>
        <w:rPr>
          <w:color w:val="auto"/>
        </w:rPr>
      </w:pPr>
      <w:r>
        <w:rPr>
          <w:rFonts w:hint="eastAsia"/>
          <w:color w:val="auto"/>
        </w:rPr>
        <w:t>模块单元生产应根据生产工艺、产品类型等制定模具方案，建立模具制作、验收、使用、维修、报废制度。</w:t>
      </w:r>
    </w:p>
    <w:p w14:paraId="1E4F1220">
      <w:pPr>
        <w:pStyle w:val="33"/>
        <w:rPr>
          <w:color w:val="auto"/>
        </w:rPr>
      </w:pPr>
      <w:r>
        <w:rPr>
          <w:rFonts w:hint="eastAsia" w:ascii="楷体" w:hAnsi="楷体" w:cs="楷体"/>
          <w:color w:val="auto"/>
          <w:szCs w:val="21"/>
        </w:rPr>
        <w:t>【条文说明】</w:t>
      </w:r>
      <w:r>
        <w:rPr>
          <w:rFonts w:hint="eastAsia"/>
          <w:color w:val="auto"/>
        </w:rPr>
        <w:t>模具是专门用来生产模块单元各部件的模板系统，可采用固定在生产场地的固定模具，也可采用移动模具。对于形状复杂、数量少的构件也可采用木模或其他材料制作。清水混凝土构件建议采用精度较高的模具制作。流水线平台上的各种边模可采用玻璃钢、铝合金、高品质复合板等轻质材料制作。在模台上用磁盒固定边模具有简单方便的优势，能够更好地满足流水线生产节拍需要。虽然磁盒在模台上的吸力很大，但是振动状态下抗剪切能力不足，容易造成偏移，影响几何尺寸，用磁盒生产高精度几何尺寸预制构件时，需要采取辅助定位措施。</w:t>
      </w:r>
    </w:p>
    <w:p w14:paraId="5F439BF4">
      <w:pPr>
        <w:numPr>
          <w:ilvl w:val="0"/>
          <w:numId w:val="27"/>
        </w:numPr>
        <w:spacing w:line="312" w:lineRule="auto"/>
        <w:rPr>
          <w:color w:val="auto"/>
        </w:rPr>
      </w:pPr>
      <w:r>
        <w:rPr>
          <w:rFonts w:hint="eastAsia"/>
          <w:color w:val="auto"/>
        </w:rPr>
        <w:t>模具应具有足够的强度、刚度和整体稳固性，并应符合下列规定：</w:t>
      </w:r>
    </w:p>
    <w:p w14:paraId="11BB88A8">
      <w:pPr>
        <w:spacing w:line="312" w:lineRule="auto"/>
        <w:ind w:firstLine="422" w:firstLineChars="200"/>
        <w:rPr>
          <w:color w:val="auto"/>
        </w:rPr>
      </w:pPr>
      <w:r>
        <w:rPr>
          <w:b/>
          <w:color w:val="auto"/>
        </w:rPr>
        <w:t xml:space="preserve">1  </w:t>
      </w:r>
      <w:r>
        <w:rPr>
          <w:rFonts w:hint="eastAsia"/>
          <w:color w:val="auto"/>
        </w:rPr>
        <w:t>模具应装拆方便，并应满足模块单元质量、生产工艺和周转次数等要求；</w:t>
      </w:r>
    </w:p>
    <w:p w14:paraId="0BC4B849">
      <w:pPr>
        <w:spacing w:line="312" w:lineRule="auto"/>
        <w:ind w:firstLine="422" w:firstLineChars="200"/>
        <w:rPr>
          <w:color w:val="auto"/>
        </w:rPr>
      </w:pPr>
      <w:r>
        <w:rPr>
          <w:b/>
          <w:color w:val="auto"/>
        </w:rPr>
        <w:t xml:space="preserve">2  </w:t>
      </w:r>
      <w:r>
        <w:rPr>
          <w:rFonts w:hint="eastAsia"/>
          <w:color w:val="auto"/>
        </w:rPr>
        <w:t>模具应制作样板，经检验合格后方可批量制作；</w:t>
      </w:r>
    </w:p>
    <w:p w14:paraId="20DAEFF4">
      <w:pPr>
        <w:spacing w:line="312" w:lineRule="auto"/>
        <w:ind w:firstLine="422" w:firstLineChars="200"/>
        <w:rPr>
          <w:color w:val="auto"/>
        </w:rPr>
      </w:pPr>
      <w:r>
        <w:rPr>
          <w:b/>
          <w:color w:val="auto"/>
        </w:rPr>
        <w:t xml:space="preserve">3  </w:t>
      </w:r>
      <w:r>
        <w:rPr>
          <w:rFonts w:hint="eastAsia"/>
          <w:color w:val="auto"/>
        </w:rPr>
        <w:t>模具各部件之间应连接牢固，接缝紧密，附带的埋件或工装应定位准确，安装牢固；</w:t>
      </w:r>
    </w:p>
    <w:p w14:paraId="45153068">
      <w:pPr>
        <w:spacing w:line="312" w:lineRule="auto"/>
        <w:ind w:firstLine="422" w:firstLineChars="200"/>
        <w:rPr>
          <w:color w:val="auto"/>
        </w:rPr>
      </w:pPr>
      <w:r>
        <w:rPr>
          <w:b/>
          <w:color w:val="auto"/>
        </w:rPr>
        <w:t xml:space="preserve">4  </w:t>
      </w:r>
      <w:r>
        <w:rPr>
          <w:rFonts w:hint="eastAsia"/>
          <w:color w:val="auto"/>
        </w:rPr>
        <w:t>用作底模的台座、胎模应平整光洁，不得有下沉、裂缝、起砂和起鼓；</w:t>
      </w:r>
    </w:p>
    <w:p w14:paraId="3E214DA8">
      <w:pPr>
        <w:spacing w:line="312" w:lineRule="auto"/>
        <w:ind w:firstLine="422" w:firstLineChars="200"/>
        <w:rPr>
          <w:color w:val="auto"/>
        </w:rPr>
      </w:pPr>
      <w:r>
        <w:rPr>
          <w:b/>
          <w:color w:val="auto"/>
        </w:rPr>
        <w:t xml:space="preserve">5  </w:t>
      </w:r>
      <w:r>
        <w:rPr>
          <w:rFonts w:hint="eastAsia"/>
          <w:color w:val="auto"/>
        </w:rPr>
        <w:t>对于高度大于</w:t>
      </w:r>
      <w:r>
        <w:rPr>
          <w:color w:val="auto"/>
        </w:rPr>
        <w:t>2m</w:t>
      </w:r>
      <w:r>
        <w:rPr>
          <w:rFonts w:hint="eastAsia"/>
          <w:color w:val="auto"/>
        </w:rPr>
        <w:t>的模具应满足高空作业的安全要求；</w:t>
      </w:r>
    </w:p>
    <w:p w14:paraId="2C007C33">
      <w:pPr>
        <w:spacing w:line="312" w:lineRule="auto"/>
        <w:ind w:firstLine="422" w:firstLineChars="200"/>
        <w:rPr>
          <w:color w:val="auto"/>
        </w:rPr>
      </w:pPr>
      <w:r>
        <w:rPr>
          <w:rFonts w:hint="eastAsia"/>
          <w:b/>
          <w:color w:val="auto"/>
        </w:rPr>
        <w:t>6</w:t>
      </w:r>
      <w:r>
        <w:rPr>
          <w:b/>
          <w:color w:val="auto"/>
        </w:rPr>
        <w:t xml:space="preserve">  </w:t>
      </w:r>
      <w:r>
        <w:rPr>
          <w:rFonts w:hint="eastAsia"/>
          <w:color w:val="auto"/>
        </w:rPr>
        <w:t>模具应采取防止变形和锈蚀的措施，侧模、预埋件和预留孔洞定位措施应定期进行检查。</w:t>
      </w:r>
    </w:p>
    <w:p w14:paraId="4BE96ECA">
      <w:pPr>
        <w:numPr>
          <w:ilvl w:val="0"/>
          <w:numId w:val="27"/>
        </w:numPr>
        <w:spacing w:line="312" w:lineRule="auto"/>
        <w:rPr>
          <w:color w:val="auto"/>
        </w:rPr>
      </w:pPr>
      <w:r>
        <w:rPr>
          <w:rFonts w:hint="eastAsia"/>
          <w:color w:val="auto"/>
        </w:rPr>
        <w:t>除设计有特殊要求外，模具尺寸偏差和检验方法应符合表9.2.3的规定。</w:t>
      </w:r>
    </w:p>
    <w:p w14:paraId="1268BA79">
      <w:pPr>
        <w:pStyle w:val="26"/>
        <w:spacing w:line="288" w:lineRule="auto"/>
        <w:rPr>
          <w:color w:val="auto"/>
        </w:rPr>
      </w:pPr>
      <w:r>
        <w:rPr>
          <w:rFonts w:hint="eastAsia"/>
          <w:color w:val="auto"/>
        </w:rPr>
        <w:t>表</w:t>
      </w:r>
      <w:r>
        <w:rPr>
          <w:b/>
          <w:color w:val="auto"/>
        </w:rPr>
        <w:t>9</w:t>
      </w:r>
      <w:r>
        <w:rPr>
          <w:rFonts w:ascii="宋体" w:hAnsi="宋体"/>
          <w:b/>
          <w:color w:val="auto"/>
        </w:rPr>
        <w:t>.</w:t>
      </w:r>
      <w:r>
        <w:rPr>
          <w:rFonts w:hint="eastAsia"/>
          <w:b/>
          <w:color w:val="auto"/>
        </w:rPr>
        <w:t>2</w:t>
      </w:r>
      <w:r>
        <w:rPr>
          <w:rFonts w:ascii="宋体" w:hAnsi="宋体"/>
          <w:b/>
          <w:color w:val="auto"/>
        </w:rPr>
        <w:t>.</w:t>
      </w:r>
      <w:r>
        <w:rPr>
          <w:rFonts w:hint="eastAsia"/>
          <w:b/>
          <w:color w:val="auto"/>
        </w:rPr>
        <w:t>3</w:t>
      </w:r>
      <w:r>
        <w:rPr>
          <w:rFonts w:hint="eastAsia"/>
          <w:color w:val="auto"/>
        </w:rPr>
        <w:t xml:space="preserve"> </w:t>
      </w:r>
      <w:r>
        <w:rPr>
          <w:color w:val="auto"/>
        </w:rPr>
        <w:t xml:space="preserve"> </w:t>
      </w:r>
      <w:r>
        <w:rPr>
          <w:rFonts w:hint="eastAsia"/>
          <w:color w:val="auto"/>
        </w:rPr>
        <w:t>模块单元模具尺寸的允许偏差和检验方法</w:t>
      </w:r>
    </w:p>
    <w:tbl>
      <w:tblPr>
        <w:tblStyle w:val="17"/>
        <w:tblW w:w="84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46"/>
        <w:gridCol w:w="932"/>
        <w:gridCol w:w="1272"/>
        <w:gridCol w:w="1621"/>
        <w:gridCol w:w="4030"/>
      </w:tblGrid>
      <w:tr w14:paraId="4130DF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546" w:type="dxa"/>
            <w:shd w:val="clear" w:color="auto" w:fill="auto"/>
            <w:vAlign w:val="center"/>
          </w:tcPr>
          <w:p w14:paraId="4BF3AC61">
            <w:pPr>
              <w:pStyle w:val="27"/>
              <w:adjustRightInd/>
              <w:rPr>
                <w:color w:val="auto"/>
              </w:rPr>
            </w:pPr>
            <w:r>
              <w:rPr>
                <w:rFonts w:hint="eastAsia"/>
                <w:color w:val="auto"/>
              </w:rPr>
              <w:t>项次</w:t>
            </w:r>
          </w:p>
        </w:tc>
        <w:tc>
          <w:tcPr>
            <w:tcW w:w="2204" w:type="dxa"/>
            <w:gridSpan w:val="2"/>
            <w:shd w:val="clear" w:color="auto" w:fill="auto"/>
            <w:vAlign w:val="center"/>
          </w:tcPr>
          <w:p w14:paraId="6472B3F2">
            <w:pPr>
              <w:pStyle w:val="27"/>
              <w:adjustRightInd/>
              <w:rPr>
                <w:color w:val="auto"/>
              </w:rPr>
            </w:pPr>
            <w:r>
              <w:rPr>
                <w:rFonts w:hint="eastAsia"/>
                <w:color w:val="auto"/>
              </w:rPr>
              <w:t>检测项目及内容</w:t>
            </w:r>
          </w:p>
        </w:tc>
        <w:tc>
          <w:tcPr>
            <w:tcW w:w="1621" w:type="dxa"/>
            <w:shd w:val="clear" w:color="auto" w:fill="auto"/>
            <w:vAlign w:val="center"/>
          </w:tcPr>
          <w:p w14:paraId="1D171F60">
            <w:pPr>
              <w:pStyle w:val="27"/>
              <w:snapToGrid w:val="0"/>
              <w:rPr>
                <w:color w:val="auto"/>
              </w:rPr>
            </w:pPr>
            <w:r>
              <w:rPr>
                <w:rFonts w:hint="eastAsia"/>
                <w:color w:val="auto"/>
              </w:rPr>
              <w:t>允许偏差</w:t>
            </w:r>
          </w:p>
          <w:p w14:paraId="5DD7C3EC">
            <w:pPr>
              <w:pStyle w:val="27"/>
              <w:snapToGrid w:val="0"/>
              <w:rPr>
                <w:rFonts w:eastAsia="等线"/>
                <w:color w:val="auto"/>
              </w:rPr>
            </w:pPr>
            <w:r>
              <w:rPr>
                <w:rFonts w:eastAsia="等线"/>
                <w:color w:val="auto"/>
              </w:rPr>
              <w:t>(mm)</w:t>
            </w:r>
          </w:p>
        </w:tc>
        <w:tc>
          <w:tcPr>
            <w:tcW w:w="4030" w:type="dxa"/>
            <w:shd w:val="clear" w:color="auto" w:fill="auto"/>
            <w:vAlign w:val="center"/>
          </w:tcPr>
          <w:p w14:paraId="7CBD0DDC">
            <w:pPr>
              <w:pStyle w:val="27"/>
              <w:adjustRightInd/>
              <w:rPr>
                <w:color w:val="auto"/>
              </w:rPr>
            </w:pPr>
            <w:r>
              <w:rPr>
                <w:rFonts w:hint="eastAsia"/>
                <w:color w:val="auto"/>
              </w:rPr>
              <w:t>检验方法</w:t>
            </w:r>
          </w:p>
        </w:tc>
      </w:tr>
      <w:tr w14:paraId="5F2FDC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6" w:type="dxa"/>
            <w:vMerge w:val="restart"/>
            <w:shd w:val="clear" w:color="auto" w:fill="auto"/>
            <w:vAlign w:val="center"/>
          </w:tcPr>
          <w:p w14:paraId="7EDB8614">
            <w:pPr>
              <w:pStyle w:val="27"/>
              <w:adjustRightInd/>
              <w:rPr>
                <w:rFonts w:eastAsia="等线"/>
                <w:color w:val="auto"/>
              </w:rPr>
            </w:pPr>
            <w:r>
              <w:rPr>
                <w:rFonts w:eastAsia="等线"/>
                <w:color w:val="auto"/>
              </w:rPr>
              <w:t>1</w:t>
            </w:r>
          </w:p>
        </w:tc>
        <w:tc>
          <w:tcPr>
            <w:tcW w:w="932" w:type="dxa"/>
            <w:vMerge w:val="restart"/>
            <w:shd w:val="clear" w:color="auto" w:fill="auto"/>
            <w:vAlign w:val="center"/>
          </w:tcPr>
          <w:p w14:paraId="1B490D5A">
            <w:pPr>
              <w:pStyle w:val="27"/>
              <w:adjustRightInd/>
              <w:rPr>
                <w:color w:val="auto"/>
              </w:rPr>
            </w:pPr>
            <w:r>
              <w:rPr>
                <w:rFonts w:hint="eastAsia"/>
                <w:color w:val="auto"/>
              </w:rPr>
              <w:t>长度</w:t>
            </w:r>
          </w:p>
        </w:tc>
        <w:tc>
          <w:tcPr>
            <w:tcW w:w="1272" w:type="dxa"/>
            <w:shd w:val="clear" w:color="auto" w:fill="auto"/>
            <w:vAlign w:val="center"/>
          </w:tcPr>
          <w:p w14:paraId="2200F24E">
            <w:pPr>
              <w:pStyle w:val="27"/>
              <w:adjustRightInd/>
              <w:rPr>
                <w:color w:val="auto"/>
              </w:rPr>
            </w:pPr>
            <w:r>
              <w:rPr>
                <w:rFonts w:hint="eastAsia"/>
                <w:color w:val="auto"/>
              </w:rPr>
              <w:t>≤</w:t>
            </w:r>
            <w:r>
              <w:rPr>
                <w:color w:val="auto"/>
              </w:rPr>
              <w:t>6m</w:t>
            </w:r>
          </w:p>
        </w:tc>
        <w:tc>
          <w:tcPr>
            <w:tcW w:w="1621" w:type="dxa"/>
            <w:shd w:val="clear" w:color="auto" w:fill="auto"/>
            <w:vAlign w:val="center"/>
          </w:tcPr>
          <w:p w14:paraId="4B3D72A3">
            <w:pPr>
              <w:pStyle w:val="27"/>
              <w:adjustRightInd/>
              <w:rPr>
                <w:rFonts w:eastAsia="等线"/>
                <w:color w:val="auto"/>
              </w:rPr>
            </w:pPr>
            <w:r>
              <w:rPr>
                <w:rFonts w:hint="eastAsia" w:eastAsia="等线"/>
                <w:color w:val="auto"/>
              </w:rPr>
              <w:t>0</w:t>
            </w:r>
            <w:r>
              <w:rPr>
                <w:rFonts w:hint="eastAsia"/>
                <w:color w:val="auto"/>
              </w:rPr>
              <w:t>，</w:t>
            </w:r>
            <w:r>
              <w:rPr>
                <w:rFonts w:eastAsia="等线"/>
                <w:color w:val="auto"/>
              </w:rPr>
              <w:t>-</w:t>
            </w:r>
            <w:r>
              <w:rPr>
                <w:rFonts w:hint="eastAsia" w:eastAsia="等线"/>
                <w:color w:val="auto"/>
              </w:rPr>
              <w:t>3</w:t>
            </w:r>
          </w:p>
        </w:tc>
        <w:tc>
          <w:tcPr>
            <w:tcW w:w="4030" w:type="dxa"/>
            <w:vMerge w:val="restart"/>
            <w:shd w:val="clear" w:color="auto" w:fill="auto"/>
            <w:vAlign w:val="center"/>
          </w:tcPr>
          <w:p w14:paraId="56CFF9E6">
            <w:pPr>
              <w:pStyle w:val="27"/>
              <w:adjustRightInd/>
              <w:rPr>
                <w:color w:val="auto"/>
              </w:rPr>
            </w:pPr>
            <w:r>
              <w:rPr>
                <w:rFonts w:hint="eastAsia"/>
                <w:color w:val="auto"/>
              </w:rPr>
              <w:t>用钢尺、激光仪或摄影测量技术</w:t>
            </w:r>
          </w:p>
        </w:tc>
      </w:tr>
      <w:tr w14:paraId="726A13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6" w:type="dxa"/>
            <w:vMerge w:val="continue"/>
            <w:vAlign w:val="center"/>
          </w:tcPr>
          <w:p w14:paraId="32F0F77D">
            <w:pPr>
              <w:pStyle w:val="27"/>
              <w:adjustRightInd/>
              <w:rPr>
                <w:rFonts w:eastAsia="等线"/>
                <w:color w:val="auto"/>
              </w:rPr>
            </w:pPr>
          </w:p>
        </w:tc>
        <w:tc>
          <w:tcPr>
            <w:tcW w:w="932" w:type="dxa"/>
            <w:vMerge w:val="continue"/>
            <w:vAlign w:val="center"/>
          </w:tcPr>
          <w:p w14:paraId="0AD66987">
            <w:pPr>
              <w:pStyle w:val="27"/>
              <w:adjustRightInd/>
              <w:rPr>
                <w:color w:val="auto"/>
              </w:rPr>
            </w:pPr>
          </w:p>
        </w:tc>
        <w:tc>
          <w:tcPr>
            <w:tcW w:w="1272" w:type="dxa"/>
            <w:shd w:val="clear" w:color="auto" w:fill="auto"/>
            <w:vAlign w:val="center"/>
          </w:tcPr>
          <w:p w14:paraId="0F5E7B88">
            <w:pPr>
              <w:pStyle w:val="27"/>
              <w:adjustRightInd/>
              <w:rPr>
                <w:rFonts w:eastAsia="等线"/>
                <w:color w:val="auto"/>
              </w:rPr>
            </w:pPr>
            <w:r>
              <w:rPr>
                <w:rFonts w:eastAsia="等线"/>
                <w:color w:val="auto"/>
              </w:rPr>
              <w:t>&gt;6m</w:t>
            </w:r>
            <w:r>
              <w:rPr>
                <w:rFonts w:hint="eastAsia"/>
                <w:color w:val="auto"/>
              </w:rPr>
              <w:t>且≤</w:t>
            </w:r>
            <w:r>
              <w:rPr>
                <w:rFonts w:eastAsia="等线"/>
                <w:color w:val="auto"/>
              </w:rPr>
              <w:t>12m</w:t>
            </w:r>
          </w:p>
        </w:tc>
        <w:tc>
          <w:tcPr>
            <w:tcW w:w="1621" w:type="dxa"/>
            <w:shd w:val="clear" w:color="auto" w:fill="auto"/>
            <w:vAlign w:val="center"/>
          </w:tcPr>
          <w:p w14:paraId="59DC76F0">
            <w:pPr>
              <w:pStyle w:val="27"/>
              <w:adjustRightInd/>
              <w:rPr>
                <w:rFonts w:eastAsia="等线"/>
                <w:color w:val="auto"/>
              </w:rPr>
            </w:pPr>
            <w:r>
              <w:rPr>
                <w:rFonts w:hint="eastAsia" w:eastAsia="等线"/>
                <w:color w:val="auto"/>
              </w:rPr>
              <w:t>0</w:t>
            </w:r>
            <w:r>
              <w:rPr>
                <w:rFonts w:hint="eastAsia"/>
                <w:color w:val="auto"/>
              </w:rPr>
              <w:t>，</w:t>
            </w:r>
            <w:r>
              <w:rPr>
                <w:rFonts w:eastAsia="等线"/>
                <w:color w:val="auto"/>
              </w:rPr>
              <w:t>-</w:t>
            </w:r>
            <w:r>
              <w:rPr>
                <w:rFonts w:hint="eastAsia" w:eastAsia="等线"/>
                <w:color w:val="auto"/>
              </w:rPr>
              <w:t>5</w:t>
            </w:r>
          </w:p>
        </w:tc>
        <w:tc>
          <w:tcPr>
            <w:tcW w:w="4030" w:type="dxa"/>
            <w:vMerge w:val="continue"/>
            <w:vAlign w:val="center"/>
          </w:tcPr>
          <w:p w14:paraId="11DD6305">
            <w:pPr>
              <w:pStyle w:val="27"/>
              <w:adjustRightInd/>
              <w:rPr>
                <w:color w:val="auto"/>
              </w:rPr>
            </w:pPr>
          </w:p>
        </w:tc>
      </w:tr>
      <w:tr w14:paraId="05963E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46" w:type="dxa"/>
            <w:shd w:val="clear" w:color="auto" w:fill="auto"/>
            <w:vAlign w:val="center"/>
          </w:tcPr>
          <w:p w14:paraId="66E1E6A4">
            <w:pPr>
              <w:pStyle w:val="27"/>
              <w:adjustRightInd/>
              <w:rPr>
                <w:rFonts w:eastAsia="等线"/>
                <w:color w:val="auto"/>
              </w:rPr>
            </w:pPr>
            <w:r>
              <w:rPr>
                <w:rFonts w:eastAsia="等线"/>
                <w:color w:val="auto"/>
              </w:rPr>
              <w:t>2</w:t>
            </w:r>
          </w:p>
        </w:tc>
        <w:tc>
          <w:tcPr>
            <w:tcW w:w="932" w:type="dxa"/>
            <w:shd w:val="clear" w:color="auto" w:fill="auto"/>
            <w:vAlign w:val="center"/>
          </w:tcPr>
          <w:p w14:paraId="3889F6DA">
            <w:pPr>
              <w:pStyle w:val="27"/>
              <w:adjustRightInd/>
              <w:rPr>
                <w:color w:val="auto"/>
              </w:rPr>
            </w:pPr>
            <w:r>
              <w:rPr>
                <w:rFonts w:hint="eastAsia"/>
                <w:color w:val="auto"/>
              </w:rPr>
              <w:t>宽度</w:t>
            </w:r>
          </w:p>
        </w:tc>
        <w:tc>
          <w:tcPr>
            <w:tcW w:w="1272" w:type="dxa"/>
            <w:shd w:val="clear" w:color="auto" w:fill="auto"/>
            <w:vAlign w:val="center"/>
          </w:tcPr>
          <w:p w14:paraId="715EFAAB">
            <w:pPr>
              <w:pStyle w:val="27"/>
              <w:adjustRightInd/>
              <w:rPr>
                <w:color w:val="auto"/>
              </w:rPr>
            </w:pPr>
            <w:r>
              <w:rPr>
                <w:rFonts w:hint="eastAsia"/>
                <w:color w:val="auto"/>
              </w:rPr>
              <w:t>≤</w:t>
            </w:r>
            <w:r>
              <w:rPr>
                <w:color w:val="auto"/>
              </w:rPr>
              <w:t>6m</w:t>
            </w:r>
          </w:p>
        </w:tc>
        <w:tc>
          <w:tcPr>
            <w:tcW w:w="1621" w:type="dxa"/>
            <w:shd w:val="clear" w:color="auto" w:fill="auto"/>
            <w:vAlign w:val="center"/>
          </w:tcPr>
          <w:p w14:paraId="465765DC">
            <w:pPr>
              <w:pStyle w:val="27"/>
              <w:adjustRightInd/>
              <w:rPr>
                <w:rFonts w:eastAsia="等线"/>
                <w:color w:val="auto"/>
              </w:rPr>
            </w:pPr>
            <w:r>
              <w:rPr>
                <w:rFonts w:hint="eastAsia" w:eastAsia="等线"/>
                <w:color w:val="auto"/>
              </w:rPr>
              <w:t>0</w:t>
            </w:r>
            <w:r>
              <w:rPr>
                <w:rFonts w:hint="eastAsia"/>
                <w:color w:val="auto"/>
              </w:rPr>
              <w:t>，</w:t>
            </w:r>
            <w:r>
              <w:rPr>
                <w:rFonts w:eastAsia="等线"/>
                <w:color w:val="auto"/>
              </w:rPr>
              <w:t>-</w:t>
            </w:r>
            <w:r>
              <w:rPr>
                <w:rFonts w:hint="eastAsia" w:eastAsia="等线"/>
                <w:color w:val="auto"/>
              </w:rPr>
              <w:t>3</w:t>
            </w:r>
          </w:p>
        </w:tc>
        <w:tc>
          <w:tcPr>
            <w:tcW w:w="4030" w:type="dxa"/>
            <w:shd w:val="clear" w:color="auto" w:fill="auto"/>
            <w:vAlign w:val="center"/>
          </w:tcPr>
          <w:p w14:paraId="0282C9BC">
            <w:pPr>
              <w:pStyle w:val="27"/>
              <w:adjustRightInd/>
              <w:rPr>
                <w:color w:val="auto"/>
              </w:rPr>
            </w:pPr>
            <w:r>
              <w:rPr>
                <w:rFonts w:hint="eastAsia"/>
                <w:color w:val="auto"/>
              </w:rPr>
              <w:t>用钢尺、激光仪或摄影测量技术</w:t>
            </w:r>
          </w:p>
        </w:tc>
      </w:tr>
      <w:tr w14:paraId="0ECC7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46" w:type="dxa"/>
            <w:shd w:val="clear" w:color="auto" w:fill="auto"/>
            <w:vAlign w:val="center"/>
          </w:tcPr>
          <w:p w14:paraId="314982C6">
            <w:pPr>
              <w:pStyle w:val="27"/>
              <w:adjustRightInd/>
              <w:rPr>
                <w:rFonts w:eastAsia="等线"/>
                <w:color w:val="auto"/>
              </w:rPr>
            </w:pPr>
            <w:r>
              <w:rPr>
                <w:rFonts w:eastAsia="等线"/>
                <w:color w:val="auto"/>
              </w:rPr>
              <w:t>3</w:t>
            </w:r>
          </w:p>
        </w:tc>
        <w:tc>
          <w:tcPr>
            <w:tcW w:w="932" w:type="dxa"/>
            <w:shd w:val="clear" w:color="auto" w:fill="auto"/>
            <w:vAlign w:val="center"/>
          </w:tcPr>
          <w:p w14:paraId="51D7196A">
            <w:pPr>
              <w:pStyle w:val="27"/>
              <w:adjustRightInd/>
              <w:rPr>
                <w:color w:val="auto"/>
              </w:rPr>
            </w:pPr>
            <w:r>
              <w:rPr>
                <w:rFonts w:hint="eastAsia"/>
                <w:color w:val="auto"/>
              </w:rPr>
              <w:t>高度</w:t>
            </w:r>
          </w:p>
        </w:tc>
        <w:tc>
          <w:tcPr>
            <w:tcW w:w="1272" w:type="dxa"/>
            <w:shd w:val="clear" w:color="auto" w:fill="auto"/>
            <w:vAlign w:val="center"/>
          </w:tcPr>
          <w:p w14:paraId="1B9A00A4">
            <w:pPr>
              <w:pStyle w:val="27"/>
              <w:adjustRightInd/>
              <w:rPr>
                <w:color w:val="auto"/>
              </w:rPr>
            </w:pPr>
            <w:r>
              <w:rPr>
                <w:rFonts w:hint="eastAsia"/>
                <w:color w:val="auto"/>
              </w:rPr>
              <w:t>≤</w:t>
            </w:r>
            <w:r>
              <w:rPr>
                <w:color w:val="auto"/>
              </w:rPr>
              <w:t>6m</w:t>
            </w:r>
          </w:p>
        </w:tc>
        <w:tc>
          <w:tcPr>
            <w:tcW w:w="1621" w:type="dxa"/>
            <w:shd w:val="clear" w:color="auto" w:fill="auto"/>
            <w:vAlign w:val="center"/>
          </w:tcPr>
          <w:p w14:paraId="26050E35">
            <w:pPr>
              <w:pStyle w:val="27"/>
              <w:adjustRightInd/>
              <w:rPr>
                <w:rFonts w:eastAsia="等线"/>
                <w:color w:val="auto"/>
              </w:rPr>
            </w:pPr>
            <w:r>
              <w:rPr>
                <w:rFonts w:hint="eastAsia" w:eastAsia="等线"/>
                <w:color w:val="auto"/>
              </w:rPr>
              <w:t>0</w:t>
            </w:r>
            <w:r>
              <w:rPr>
                <w:rFonts w:hint="eastAsia"/>
                <w:color w:val="auto"/>
              </w:rPr>
              <w:t>，</w:t>
            </w:r>
            <w:r>
              <w:rPr>
                <w:rFonts w:eastAsia="等线"/>
                <w:color w:val="auto"/>
              </w:rPr>
              <w:t>-</w:t>
            </w:r>
            <w:r>
              <w:rPr>
                <w:rFonts w:hint="eastAsia" w:eastAsia="等线"/>
                <w:color w:val="auto"/>
              </w:rPr>
              <w:t>3</w:t>
            </w:r>
          </w:p>
        </w:tc>
        <w:tc>
          <w:tcPr>
            <w:tcW w:w="4030" w:type="dxa"/>
            <w:shd w:val="clear" w:color="auto" w:fill="auto"/>
            <w:vAlign w:val="center"/>
          </w:tcPr>
          <w:p w14:paraId="38F24A91">
            <w:pPr>
              <w:pStyle w:val="27"/>
              <w:adjustRightInd/>
              <w:rPr>
                <w:color w:val="auto"/>
              </w:rPr>
            </w:pPr>
            <w:r>
              <w:rPr>
                <w:rFonts w:hint="eastAsia"/>
                <w:color w:val="auto"/>
              </w:rPr>
              <w:t>用钢尺、激光仪或摄影测量技术</w:t>
            </w:r>
          </w:p>
        </w:tc>
      </w:tr>
      <w:tr w14:paraId="7D5F15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6" w:type="dxa"/>
            <w:shd w:val="clear" w:color="auto" w:fill="auto"/>
            <w:vAlign w:val="center"/>
          </w:tcPr>
          <w:p w14:paraId="12C52C0E">
            <w:pPr>
              <w:pStyle w:val="27"/>
              <w:adjustRightInd/>
              <w:rPr>
                <w:rFonts w:eastAsia="等线"/>
                <w:color w:val="auto"/>
              </w:rPr>
            </w:pPr>
            <w:r>
              <w:rPr>
                <w:rFonts w:eastAsia="等线"/>
                <w:color w:val="auto"/>
              </w:rPr>
              <w:t>4</w:t>
            </w:r>
          </w:p>
        </w:tc>
        <w:tc>
          <w:tcPr>
            <w:tcW w:w="2204" w:type="dxa"/>
            <w:gridSpan w:val="2"/>
            <w:shd w:val="clear" w:color="auto" w:fill="auto"/>
            <w:vAlign w:val="center"/>
          </w:tcPr>
          <w:p w14:paraId="3DE139A5">
            <w:pPr>
              <w:pStyle w:val="27"/>
              <w:adjustRightInd/>
              <w:rPr>
                <w:color w:val="auto"/>
              </w:rPr>
            </w:pPr>
            <w:r>
              <w:rPr>
                <w:rFonts w:hint="eastAsia"/>
                <w:color w:val="auto"/>
              </w:rPr>
              <w:t>垂直度</w:t>
            </w:r>
          </w:p>
        </w:tc>
        <w:tc>
          <w:tcPr>
            <w:tcW w:w="1621" w:type="dxa"/>
            <w:shd w:val="clear" w:color="auto" w:fill="auto"/>
            <w:vAlign w:val="center"/>
          </w:tcPr>
          <w:p w14:paraId="2BEA3DFA">
            <w:pPr>
              <w:pStyle w:val="27"/>
              <w:adjustRightInd/>
              <w:rPr>
                <w:rFonts w:eastAsia="等线"/>
                <w:color w:val="auto"/>
              </w:rPr>
            </w:pPr>
            <w:r>
              <w:rPr>
                <w:rFonts w:eastAsia="等线"/>
                <w:color w:val="auto"/>
              </w:rPr>
              <w:t>2</w:t>
            </w:r>
          </w:p>
        </w:tc>
        <w:tc>
          <w:tcPr>
            <w:tcW w:w="4030" w:type="dxa"/>
            <w:shd w:val="clear" w:color="auto" w:fill="auto"/>
            <w:vAlign w:val="center"/>
          </w:tcPr>
          <w:p w14:paraId="6A22BBDB">
            <w:pPr>
              <w:pStyle w:val="27"/>
              <w:adjustRightInd/>
              <w:rPr>
                <w:color w:val="auto"/>
              </w:rPr>
            </w:pPr>
            <w:r>
              <w:rPr>
                <w:rFonts w:hint="eastAsia"/>
                <w:color w:val="auto"/>
              </w:rPr>
              <w:t>用经纬仪或吊线、钢尺、激光仪或摄影测量技术</w:t>
            </w:r>
          </w:p>
        </w:tc>
      </w:tr>
      <w:tr w14:paraId="64B0EB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6" w:type="dxa"/>
            <w:shd w:val="clear" w:color="auto" w:fill="auto"/>
            <w:vAlign w:val="center"/>
          </w:tcPr>
          <w:p w14:paraId="38F87B80">
            <w:pPr>
              <w:pStyle w:val="27"/>
              <w:adjustRightInd/>
              <w:rPr>
                <w:rFonts w:eastAsia="等线"/>
                <w:color w:val="auto"/>
              </w:rPr>
            </w:pPr>
            <w:r>
              <w:rPr>
                <w:rFonts w:eastAsia="等线"/>
                <w:color w:val="auto"/>
              </w:rPr>
              <w:t>6</w:t>
            </w:r>
          </w:p>
        </w:tc>
        <w:tc>
          <w:tcPr>
            <w:tcW w:w="2204" w:type="dxa"/>
            <w:gridSpan w:val="2"/>
            <w:shd w:val="clear" w:color="auto" w:fill="auto"/>
            <w:vAlign w:val="center"/>
          </w:tcPr>
          <w:p w14:paraId="4E4F6C96">
            <w:pPr>
              <w:pStyle w:val="27"/>
              <w:adjustRightInd/>
              <w:rPr>
                <w:color w:val="auto"/>
              </w:rPr>
            </w:pPr>
            <w:r>
              <w:rPr>
                <w:rFonts w:hint="eastAsia"/>
                <w:color w:val="auto"/>
              </w:rPr>
              <w:t>对角线差</w:t>
            </w:r>
          </w:p>
        </w:tc>
        <w:tc>
          <w:tcPr>
            <w:tcW w:w="1621" w:type="dxa"/>
            <w:shd w:val="clear" w:color="auto" w:fill="auto"/>
            <w:vAlign w:val="center"/>
          </w:tcPr>
          <w:p w14:paraId="4F075D19">
            <w:pPr>
              <w:pStyle w:val="27"/>
              <w:adjustRightInd/>
              <w:rPr>
                <w:rFonts w:eastAsia="等线"/>
                <w:color w:val="auto"/>
              </w:rPr>
            </w:pPr>
            <w:r>
              <w:rPr>
                <w:rFonts w:eastAsia="等线"/>
                <w:color w:val="auto"/>
              </w:rPr>
              <w:t>3</w:t>
            </w:r>
          </w:p>
        </w:tc>
        <w:tc>
          <w:tcPr>
            <w:tcW w:w="4030" w:type="dxa"/>
            <w:shd w:val="clear" w:color="auto" w:fill="auto"/>
            <w:vAlign w:val="center"/>
          </w:tcPr>
          <w:p w14:paraId="6FB2A080">
            <w:pPr>
              <w:pStyle w:val="27"/>
              <w:adjustRightInd/>
              <w:rPr>
                <w:color w:val="auto"/>
              </w:rPr>
            </w:pPr>
            <w:r>
              <w:rPr>
                <w:rFonts w:hint="eastAsia"/>
                <w:color w:val="auto"/>
              </w:rPr>
              <w:t>对角拉线，用钢尺测量或摄影测量技术</w:t>
            </w:r>
          </w:p>
        </w:tc>
      </w:tr>
      <w:tr w14:paraId="4F63B2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6" w:type="dxa"/>
            <w:shd w:val="clear" w:color="auto" w:fill="auto"/>
            <w:vAlign w:val="center"/>
          </w:tcPr>
          <w:p w14:paraId="40D01891">
            <w:pPr>
              <w:pStyle w:val="27"/>
              <w:adjustRightInd/>
              <w:rPr>
                <w:rFonts w:eastAsia="等线"/>
                <w:color w:val="auto"/>
              </w:rPr>
            </w:pPr>
            <w:r>
              <w:rPr>
                <w:rFonts w:eastAsia="等线"/>
                <w:color w:val="auto"/>
              </w:rPr>
              <w:t>7</w:t>
            </w:r>
          </w:p>
        </w:tc>
        <w:tc>
          <w:tcPr>
            <w:tcW w:w="2204" w:type="dxa"/>
            <w:gridSpan w:val="2"/>
            <w:shd w:val="clear" w:color="auto" w:fill="auto"/>
            <w:vAlign w:val="center"/>
          </w:tcPr>
          <w:p w14:paraId="7DE64C4F">
            <w:pPr>
              <w:pStyle w:val="27"/>
              <w:adjustRightInd/>
              <w:rPr>
                <w:color w:val="auto"/>
              </w:rPr>
            </w:pPr>
            <w:r>
              <w:rPr>
                <w:rFonts w:hint="eastAsia"/>
                <w:color w:val="auto"/>
              </w:rPr>
              <w:t>侧向弯曲</w:t>
            </w:r>
          </w:p>
        </w:tc>
        <w:tc>
          <w:tcPr>
            <w:tcW w:w="1621" w:type="dxa"/>
            <w:shd w:val="clear" w:color="auto" w:fill="auto"/>
            <w:vAlign w:val="center"/>
          </w:tcPr>
          <w:p w14:paraId="167B468B">
            <w:pPr>
              <w:pStyle w:val="27"/>
              <w:adjustRightInd/>
              <w:rPr>
                <w:rFonts w:eastAsia="等线"/>
                <w:color w:val="auto"/>
              </w:rPr>
            </w:pPr>
            <w:r>
              <w:rPr>
                <w:rFonts w:eastAsia="等线"/>
                <w:i/>
                <w:iCs/>
                <w:color w:val="auto"/>
              </w:rPr>
              <w:t>l</w:t>
            </w:r>
            <w:r>
              <w:rPr>
                <w:rFonts w:eastAsia="等线"/>
                <w:color w:val="auto"/>
              </w:rPr>
              <w:t>/1500</w:t>
            </w:r>
            <w:r>
              <w:rPr>
                <w:rFonts w:hint="eastAsia"/>
                <w:color w:val="auto"/>
              </w:rPr>
              <w:t>且≤</w:t>
            </w:r>
            <w:r>
              <w:rPr>
                <w:rFonts w:eastAsia="等线"/>
                <w:color w:val="auto"/>
              </w:rPr>
              <w:t>5</w:t>
            </w:r>
          </w:p>
        </w:tc>
        <w:tc>
          <w:tcPr>
            <w:tcW w:w="4030" w:type="dxa"/>
            <w:shd w:val="clear" w:color="auto" w:fill="auto"/>
            <w:vAlign w:val="center"/>
          </w:tcPr>
          <w:p w14:paraId="5FDA2788">
            <w:pPr>
              <w:pStyle w:val="27"/>
              <w:adjustRightInd/>
              <w:rPr>
                <w:color w:val="auto"/>
              </w:rPr>
            </w:pPr>
            <w:r>
              <w:rPr>
                <w:rFonts w:hint="eastAsia"/>
                <w:color w:val="auto"/>
              </w:rPr>
              <w:t>拉线，用钢尺量测侧向弯曲最大处</w:t>
            </w:r>
          </w:p>
        </w:tc>
      </w:tr>
      <w:tr w14:paraId="585D5C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6" w:type="dxa"/>
            <w:shd w:val="clear" w:color="auto" w:fill="auto"/>
            <w:vAlign w:val="center"/>
          </w:tcPr>
          <w:p w14:paraId="01AFA1A9">
            <w:pPr>
              <w:pStyle w:val="27"/>
              <w:adjustRightInd/>
              <w:rPr>
                <w:rFonts w:eastAsia="等线"/>
                <w:color w:val="auto"/>
              </w:rPr>
            </w:pPr>
            <w:r>
              <w:rPr>
                <w:rFonts w:eastAsia="等线"/>
                <w:color w:val="auto"/>
              </w:rPr>
              <w:t>8</w:t>
            </w:r>
          </w:p>
        </w:tc>
        <w:tc>
          <w:tcPr>
            <w:tcW w:w="2204" w:type="dxa"/>
            <w:gridSpan w:val="2"/>
            <w:shd w:val="clear" w:color="auto" w:fill="auto"/>
            <w:vAlign w:val="center"/>
          </w:tcPr>
          <w:p w14:paraId="0711E436">
            <w:pPr>
              <w:pStyle w:val="27"/>
              <w:adjustRightInd/>
              <w:rPr>
                <w:color w:val="auto"/>
              </w:rPr>
            </w:pPr>
            <w:r>
              <w:rPr>
                <w:rFonts w:hint="eastAsia"/>
                <w:color w:val="auto"/>
              </w:rPr>
              <w:t>翘曲</w:t>
            </w:r>
          </w:p>
        </w:tc>
        <w:tc>
          <w:tcPr>
            <w:tcW w:w="1621" w:type="dxa"/>
            <w:shd w:val="clear" w:color="auto" w:fill="auto"/>
            <w:vAlign w:val="center"/>
          </w:tcPr>
          <w:p w14:paraId="45F90D88">
            <w:pPr>
              <w:pStyle w:val="27"/>
              <w:adjustRightInd/>
              <w:rPr>
                <w:rFonts w:eastAsia="等线"/>
                <w:color w:val="auto"/>
              </w:rPr>
            </w:pPr>
            <w:r>
              <w:rPr>
                <w:rFonts w:eastAsia="等线"/>
                <w:i/>
                <w:iCs/>
                <w:color w:val="auto"/>
              </w:rPr>
              <w:t>l</w:t>
            </w:r>
            <w:r>
              <w:rPr>
                <w:rFonts w:eastAsia="等线"/>
                <w:color w:val="auto"/>
              </w:rPr>
              <w:t>/1500</w:t>
            </w:r>
          </w:p>
        </w:tc>
        <w:tc>
          <w:tcPr>
            <w:tcW w:w="4030" w:type="dxa"/>
            <w:shd w:val="clear" w:color="auto" w:fill="auto"/>
            <w:vAlign w:val="center"/>
          </w:tcPr>
          <w:p w14:paraId="4C16A409">
            <w:pPr>
              <w:pStyle w:val="27"/>
              <w:adjustRightInd/>
              <w:rPr>
                <w:color w:val="auto"/>
              </w:rPr>
            </w:pPr>
            <w:r>
              <w:rPr>
                <w:rFonts w:hint="eastAsia"/>
                <w:color w:val="auto"/>
              </w:rPr>
              <w:t>对角拉线测量交点间距离值的两倍</w:t>
            </w:r>
          </w:p>
        </w:tc>
      </w:tr>
      <w:tr w14:paraId="46F272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6" w:type="dxa"/>
            <w:shd w:val="clear" w:color="auto" w:fill="auto"/>
            <w:vAlign w:val="center"/>
          </w:tcPr>
          <w:p w14:paraId="27E2E770">
            <w:pPr>
              <w:pStyle w:val="27"/>
              <w:adjustRightInd/>
              <w:rPr>
                <w:rFonts w:eastAsia="等线"/>
                <w:color w:val="auto"/>
              </w:rPr>
            </w:pPr>
            <w:r>
              <w:rPr>
                <w:rFonts w:eastAsia="等线"/>
                <w:color w:val="auto"/>
              </w:rPr>
              <w:t>9</w:t>
            </w:r>
          </w:p>
        </w:tc>
        <w:tc>
          <w:tcPr>
            <w:tcW w:w="2204" w:type="dxa"/>
            <w:gridSpan w:val="2"/>
            <w:shd w:val="clear" w:color="auto" w:fill="auto"/>
            <w:vAlign w:val="center"/>
          </w:tcPr>
          <w:p w14:paraId="295E6448">
            <w:pPr>
              <w:pStyle w:val="27"/>
              <w:adjustRightInd/>
              <w:rPr>
                <w:color w:val="auto"/>
              </w:rPr>
            </w:pPr>
            <w:r>
              <w:rPr>
                <w:rFonts w:hint="eastAsia"/>
                <w:color w:val="auto"/>
              </w:rPr>
              <w:t>底模表面平整度</w:t>
            </w:r>
          </w:p>
        </w:tc>
        <w:tc>
          <w:tcPr>
            <w:tcW w:w="1621" w:type="dxa"/>
            <w:shd w:val="clear" w:color="auto" w:fill="auto"/>
            <w:vAlign w:val="center"/>
          </w:tcPr>
          <w:p w14:paraId="49E5EDAB">
            <w:pPr>
              <w:pStyle w:val="27"/>
              <w:adjustRightInd/>
              <w:rPr>
                <w:rFonts w:eastAsia="等线"/>
                <w:color w:val="auto"/>
              </w:rPr>
            </w:pPr>
            <w:r>
              <w:rPr>
                <w:rFonts w:eastAsia="等线"/>
                <w:color w:val="auto"/>
              </w:rPr>
              <w:t>2</w:t>
            </w:r>
          </w:p>
        </w:tc>
        <w:tc>
          <w:tcPr>
            <w:tcW w:w="4030" w:type="dxa"/>
            <w:shd w:val="clear" w:color="auto" w:fill="auto"/>
            <w:vAlign w:val="center"/>
          </w:tcPr>
          <w:p w14:paraId="1CEAA03A">
            <w:pPr>
              <w:pStyle w:val="27"/>
              <w:adjustRightInd/>
              <w:rPr>
                <w:color w:val="auto"/>
              </w:rPr>
            </w:pPr>
            <w:r>
              <w:rPr>
                <w:rFonts w:hint="eastAsia"/>
                <w:color w:val="auto"/>
              </w:rPr>
              <w:t>用</w:t>
            </w:r>
            <w:r>
              <w:rPr>
                <w:color w:val="auto"/>
              </w:rPr>
              <w:t>2m</w:t>
            </w:r>
            <w:r>
              <w:rPr>
                <w:rFonts w:hint="eastAsia"/>
                <w:color w:val="auto"/>
              </w:rPr>
              <w:t>靠尺和塞尺量</w:t>
            </w:r>
          </w:p>
        </w:tc>
      </w:tr>
      <w:tr w14:paraId="3873CF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6" w:type="dxa"/>
            <w:shd w:val="clear" w:color="auto" w:fill="auto"/>
            <w:vAlign w:val="center"/>
          </w:tcPr>
          <w:p w14:paraId="3165147A">
            <w:pPr>
              <w:pStyle w:val="27"/>
              <w:adjustRightInd/>
              <w:rPr>
                <w:rFonts w:eastAsia="等线"/>
                <w:color w:val="auto"/>
              </w:rPr>
            </w:pPr>
            <w:r>
              <w:rPr>
                <w:rFonts w:eastAsia="等线"/>
                <w:color w:val="auto"/>
              </w:rPr>
              <w:t>10</w:t>
            </w:r>
          </w:p>
        </w:tc>
        <w:tc>
          <w:tcPr>
            <w:tcW w:w="2204" w:type="dxa"/>
            <w:gridSpan w:val="2"/>
            <w:shd w:val="clear" w:color="auto" w:fill="auto"/>
            <w:vAlign w:val="center"/>
          </w:tcPr>
          <w:p w14:paraId="5DD9577A">
            <w:pPr>
              <w:pStyle w:val="27"/>
              <w:adjustRightInd/>
              <w:rPr>
                <w:color w:val="auto"/>
              </w:rPr>
            </w:pPr>
            <w:r>
              <w:rPr>
                <w:rFonts w:hint="eastAsia"/>
                <w:color w:val="auto"/>
              </w:rPr>
              <w:t>组装缝隙</w:t>
            </w:r>
          </w:p>
        </w:tc>
        <w:tc>
          <w:tcPr>
            <w:tcW w:w="1621" w:type="dxa"/>
            <w:shd w:val="clear" w:color="auto" w:fill="auto"/>
            <w:vAlign w:val="center"/>
          </w:tcPr>
          <w:p w14:paraId="28296BAD">
            <w:pPr>
              <w:pStyle w:val="27"/>
              <w:adjustRightInd/>
              <w:rPr>
                <w:rFonts w:eastAsia="等线"/>
                <w:color w:val="auto"/>
              </w:rPr>
            </w:pPr>
            <w:r>
              <w:rPr>
                <w:rFonts w:eastAsia="等线"/>
                <w:color w:val="auto"/>
              </w:rPr>
              <w:t>1</w:t>
            </w:r>
          </w:p>
        </w:tc>
        <w:tc>
          <w:tcPr>
            <w:tcW w:w="4030" w:type="dxa"/>
            <w:shd w:val="clear" w:color="auto" w:fill="auto"/>
            <w:vAlign w:val="center"/>
          </w:tcPr>
          <w:p w14:paraId="0331B69B">
            <w:pPr>
              <w:pStyle w:val="27"/>
              <w:adjustRightInd/>
              <w:rPr>
                <w:color w:val="auto"/>
              </w:rPr>
            </w:pPr>
            <w:r>
              <w:rPr>
                <w:rFonts w:hint="eastAsia"/>
                <w:color w:val="auto"/>
              </w:rPr>
              <w:t>用塞片或塞尺量</w:t>
            </w:r>
          </w:p>
        </w:tc>
      </w:tr>
    </w:tbl>
    <w:p w14:paraId="69EC598B">
      <w:pPr>
        <w:pStyle w:val="28"/>
        <w:rPr>
          <w:color w:val="auto"/>
        </w:rPr>
      </w:pPr>
      <w:r>
        <w:rPr>
          <w:rFonts w:hint="eastAsia"/>
          <w:color w:val="auto"/>
        </w:rPr>
        <w:t>注：</w:t>
      </w:r>
      <w:r>
        <w:rPr>
          <w:rFonts w:hint="eastAsia"/>
          <w:i/>
          <w:color w:val="auto"/>
        </w:rPr>
        <w:t>l</w:t>
      </w:r>
      <w:r>
        <w:rPr>
          <w:rFonts w:hint="eastAsia"/>
          <w:color w:val="auto"/>
        </w:rPr>
        <w:t>为模具与混凝土接触面中最长边的尺寸</w:t>
      </w:r>
    </w:p>
    <w:p w14:paraId="04AEDDF5">
      <w:pPr>
        <w:numPr>
          <w:ilvl w:val="0"/>
          <w:numId w:val="27"/>
        </w:numPr>
        <w:spacing w:line="312" w:lineRule="auto"/>
        <w:rPr>
          <w:color w:val="auto"/>
        </w:rPr>
      </w:pPr>
      <w:r>
        <w:rPr>
          <w:rFonts w:hint="eastAsia"/>
          <w:color w:val="auto"/>
        </w:rPr>
        <w:t>模块单元上的预埋件和预留孔洞宜通过模具进行定位，并安装牢固，其安装偏差应符合表9.2.4的规定。</w:t>
      </w:r>
    </w:p>
    <w:p w14:paraId="5B6FC5F2">
      <w:pPr>
        <w:pStyle w:val="26"/>
        <w:rPr>
          <w:color w:val="auto"/>
        </w:rPr>
      </w:pPr>
      <w:r>
        <w:rPr>
          <w:rFonts w:hint="eastAsia"/>
          <w:color w:val="auto"/>
        </w:rPr>
        <w:t>表</w:t>
      </w:r>
      <w:r>
        <w:rPr>
          <w:b/>
          <w:color w:val="auto"/>
        </w:rPr>
        <w:t>9</w:t>
      </w:r>
      <w:r>
        <w:rPr>
          <w:rFonts w:ascii="宋体" w:hAnsi="宋体"/>
          <w:b/>
          <w:color w:val="auto"/>
        </w:rPr>
        <w:t>.</w:t>
      </w:r>
      <w:r>
        <w:rPr>
          <w:rFonts w:hint="eastAsia"/>
          <w:b/>
          <w:color w:val="auto"/>
        </w:rPr>
        <w:t>2</w:t>
      </w:r>
      <w:r>
        <w:rPr>
          <w:rFonts w:ascii="宋体" w:hAnsi="宋体"/>
          <w:b/>
          <w:color w:val="auto"/>
        </w:rPr>
        <w:t>.</w:t>
      </w:r>
      <w:r>
        <w:rPr>
          <w:rFonts w:hint="eastAsia"/>
          <w:b/>
          <w:color w:val="auto"/>
        </w:rPr>
        <w:t>4</w:t>
      </w:r>
      <w:r>
        <w:rPr>
          <w:color w:val="auto"/>
        </w:rPr>
        <w:t xml:space="preserve">  </w:t>
      </w:r>
      <w:r>
        <w:rPr>
          <w:rFonts w:hint="eastAsia"/>
          <w:color w:val="auto"/>
        </w:rPr>
        <w:t>模具上预埋件、预留孔洞安装允许偏差</w:t>
      </w:r>
    </w:p>
    <w:tbl>
      <w:tblPr>
        <w:tblStyle w:val="17"/>
        <w:tblW w:w="532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6"/>
        <w:gridCol w:w="2592"/>
        <w:gridCol w:w="1788"/>
        <w:gridCol w:w="1294"/>
        <w:gridCol w:w="2911"/>
      </w:tblGrid>
      <w:tr w14:paraId="2BB536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atLeast"/>
          <w:tblHeader/>
          <w:jc w:val="center"/>
        </w:trPr>
        <w:tc>
          <w:tcPr>
            <w:tcW w:w="268" w:type="pct"/>
            <w:vAlign w:val="center"/>
          </w:tcPr>
          <w:p w14:paraId="5199CE0B">
            <w:pPr>
              <w:pStyle w:val="27"/>
              <w:rPr>
                <w:color w:val="auto"/>
              </w:rPr>
            </w:pPr>
            <w:r>
              <w:rPr>
                <w:rFonts w:hint="eastAsia"/>
                <w:color w:val="auto"/>
              </w:rPr>
              <w:t>项次</w:t>
            </w:r>
          </w:p>
        </w:tc>
        <w:tc>
          <w:tcPr>
            <w:tcW w:w="2413" w:type="pct"/>
            <w:gridSpan w:val="2"/>
            <w:vAlign w:val="center"/>
          </w:tcPr>
          <w:p w14:paraId="0CC12B03">
            <w:pPr>
              <w:pStyle w:val="27"/>
              <w:rPr>
                <w:color w:val="auto"/>
              </w:rPr>
            </w:pPr>
            <w:r>
              <w:rPr>
                <w:rFonts w:hint="eastAsia"/>
                <w:color w:val="auto"/>
              </w:rPr>
              <w:t>检测项目及内容</w:t>
            </w:r>
          </w:p>
        </w:tc>
        <w:tc>
          <w:tcPr>
            <w:tcW w:w="713" w:type="pct"/>
            <w:vAlign w:val="center"/>
          </w:tcPr>
          <w:p w14:paraId="5C26204A">
            <w:pPr>
              <w:pStyle w:val="27"/>
              <w:rPr>
                <w:color w:val="auto"/>
              </w:rPr>
            </w:pPr>
            <w:r>
              <w:rPr>
                <w:rFonts w:hint="eastAsia"/>
                <w:color w:val="auto"/>
              </w:rPr>
              <w:t>允许偏差（</w:t>
            </w:r>
            <w:r>
              <w:rPr>
                <w:color w:val="auto"/>
              </w:rPr>
              <w:t>mm</w:t>
            </w:r>
            <w:r>
              <w:rPr>
                <w:rFonts w:hint="eastAsia"/>
                <w:color w:val="auto"/>
              </w:rPr>
              <w:t>）</w:t>
            </w:r>
          </w:p>
        </w:tc>
        <w:tc>
          <w:tcPr>
            <w:tcW w:w="1604" w:type="pct"/>
            <w:vAlign w:val="center"/>
          </w:tcPr>
          <w:p w14:paraId="7972C2A1">
            <w:pPr>
              <w:pStyle w:val="27"/>
              <w:rPr>
                <w:color w:val="auto"/>
              </w:rPr>
            </w:pPr>
            <w:r>
              <w:rPr>
                <w:rFonts w:hint="eastAsia"/>
                <w:color w:val="auto"/>
              </w:rPr>
              <w:t>检验方法</w:t>
            </w:r>
          </w:p>
        </w:tc>
      </w:tr>
      <w:tr w14:paraId="1389C4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68" w:type="pct"/>
            <w:vMerge w:val="restart"/>
            <w:vAlign w:val="center"/>
          </w:tcPr>
          <w:p w14:paraId="78EBEA6C">
            <w:pPr>
              <w:pStyle w:val="27"/>
              <w:rPr>
                <w:color w:val="auto"/>
              </w:rPr>
            </w:pPr>
            <w:r>
              <w:rPr>
                <w:color w:val="auto"/>
              </w:rPr>
              <w:t>1</w:t>
            </w:r>
          </w:p>
        </w:tc>
        <w:tc>
          <w:tcPr>
            <w:tcW w:w="1428" w:type="pct"/>
            <w:vMerge w:val="restart"/>
            <w:vAlign w:val="center"/>
          </w:tcPr>
          <w:p w14:paraId="567DCD3F">
            <w:pPr>
              <w:pStyle w:val="27"/>
              <w:rPr>
                <w:color w:val="auto"/>
              </w:rPr>
            </w:pPr>
            <w:r>
              <w:rPr>
                <w:rFonts w:hint="eastAsia"/>
                <w:color w:val="auto"/>
              </w:rPr>
              <w:t>预埋钢板、建筑幕墙用槽式预埋组件</w:t>
            </w:r>
          </w:p>
        </w:tc>
        <w:tc>
          <w:tcPr>
            <w:tcW w:w="985" w:type="pct"/>
            <w:vAlign w:val="center"/>
          </w:tcPr>
          <w:p w14:paraId="2B64FFAE">
            <w:pPr>
              <w:pStyle w:val="27"/>
              <w:rPr>
                <w:color w:val="auto"/>
              </w:rPr>
            </w:pPr>
            <w:r>
              <w:rPr>
                <w:rFonts w:hint="eastAsia"/>
                <w:color w:val="auto"/>
              </w:rPr>
              <w:t>中心线位置</w:t>
            </w:r>
          </w:p>
        </w:tc>
        <w:tc>
          <w:tcPr>
            <w:tcW w:w="713" w:type="pct"/>
            <w:vAlign w:val="center"/>
          </w:tcPr>
          <w:p w14:paraId="7CC6A518">
            <w:pPr>
              <w:pStyle w:val="27"/>
              <w:rPr>
                <w:color w:val="auto"/>
              </w:rPr>
            </w:pPr>
            <w:r>
              <w:rPr>
                <w:color w:val="auto"/>
              </w:rPr>
              <w:t>3</w:t>
            </w:r>
          </w:p>
        </w:tc>
        <w:tc>
          <w:tcPr>
            <w:tcW w:w="1604" w:type="pct"/>
            <w:vAlign w:val="center"/>
          </w:tcPr>
          <w:p w14:paraId="4E8739FD">
            <w:pPr>
              <w:pStyle w:val="27"/>
              <w:snapToGrid w:val="0"/>
              <w:rPr>
                <w:color w:val="auto"/>
              </w:rPr>
            </w:pPr>
            <w:r>
              <w:rPr>
                <w:rFonts w:hint="eastAsia"/>
                <w:color w:val="auto"/>
              </w:rPr>
              <w:t>用尺量测纵横两个方向的中心线位置，取其中较大值</w:t>
            </w:r>
          </w:p>
        </w:tc>
      </w:tr>
      <w:tr w14:paraId="44C188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68" w:type="pct"/>
            <w:vMerge w:val="continue"/>
            <w:vAlign w:val="center"/>
          </w:tcPr>
          <w:p w14:paraId="156CF96E">
            <w:pPr>
              <w:pStyle w:val="27"/>
              <w:rPr>
                <w:color w:val="auto"/>
              </w:rPr>
            </w:pPr>
          </w:p>
        </w:tc>
        <w:tc>
          <w:tcPr>
            <w:tcW w:w="1428" w:type="pct"/>
            <w:vMerge w:val="continue"/>
            <w:vAlign w:val="center"/>
          </w:tcPr>
          <w:p w14:paraId="7EDCF7BC">
            <w:pPr>
              <w:pStyle w:val="27"/>
              <w:rPr>
                <w:color w:val="auto"/>
              </w:rPr>
            </w:pPr>
          </w:p>
        </w:tc>
        <w:tc>
          <w:tcPr>
            <w:tcW w:w="985" w:type="pct"/>
            <w:vAlign w:val="center"/>
          </w:tcPr>
          <w:p w14:paraId="3E2077C0">
            <w:pPr>
              <w:pStyle w:val="27"/>
              <w:rPr>
                <w:color w:val="auto"/>
              </w:rPr>
            </w:pPr>
            <w:r>
              <w:rPr>
                <w:rFonts w:hint="eastAsia"/>
                <w:color w:val="auto"/>
              </w:rPr>
              <w:t>平面高差</w:t>
            </w:r>
          </w:p>
        </w:tc>
        <w:tc>
          <w:tcPr>
            <w:tcW w:w="713" w:type="pct"/>
            <w:vAlign w:val="center"/>
          </w:tcPr>
          <w:p w14:paraId="4F8F94CB">
            <w:pPr>
              <w:pStyle w:val="27"/>
              <w:rPr>
                <w:color w:val="auto"/>
              </w:rPr>
            </w:pPr>
            <w:r>
              <w:rPr>
                <w:color w:val="auto"/>
              </w:rPr>
              <w:t>±2</w:t>
            </w:r>
          </w:p>
        </w:tc>
        <w:tc>
          <w:tcPr>
            <w:tcW w:w="1604" w:type="pct"/>
            <w:vAlign w:val="center"/>
          </w:tcPr>
          <w:p w14:paraId="2F0F07C6">
            <w:pPr>
              <w:pStyle w:val="27"/>
              <w:snapToGrid w:val="0"/>
              <w:rPr>
                <w:color w:val="auto"/>
              </w:rPr>
            </w:pPr>
            <w:r>
              <w:rPr>
                <w:rFonts w:hint="eastAsia"/>
                <w:color w:val="auto"/>
              </w:rPr>
              <w:t>用钢直尺和塞尺检查</w:t>
            </w:r>
          </w:p>
        </w:tc>
      </w:tr>
      <w:tr w14:paraId="6928D3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8" w:type="pct"/>
            <w:vAlign w:val="center"/>
          </w:tcPr>
          <w:p w14:paraId="416D3C51">
            <w:pPr>
              <w:pStyle w:val="27"/>
              <w:rPr>
                <w:color w:val="auto"/>
              </w:rPr>
            </w:pPr>
            <w:r>
              <w:rPr>
                <w:color w:val="auto"/>
              </w:rPr>
              <w:t>2</w:t>
            </w:r>
          </w:p>
        </w:tc>
        <w:tc>
          <w:tcPr>
            <w:tcW w:w="2413" w:type="pct"/>
            <w:gridSpan w:val="2"/>
            <w:vAlign w:val="center"/>
          </w:tcPr>
          <w:p w14:paraId="011D76BF">
            <w:pPr>
              <w:pStyle w:val="27"/>
              <w:rPr>
                <w:color w:val="auto"/>
              </w:rPr>
            </w:pPr>
            <w:r>
              <w:rPr>
                <w:rFonts w:hint="eastAsia"/>
                <w:color w:val="auto"/>
              </w:rPr>
              <w:t>预埋管、电线盒、电线管水平和垂直方向的中心线位置偏移、预留孔、浆锚搭接预留孔（或波纹管）</w:t>
            </w:r>
          </w:p>
        </w:tc>
        <w:tc>
          <w:tcPr>
            <w:tcW w:w="713" w:type="pct"/>
            <w:vAlign w:val="center"/>
          </w:tcPr>
          <w:p w14:paraId="1AD1F65C">
            <w:pPr>
              <w:pStyle w:val="27"/>
              <w:rPr>
                <w:color w:val="auto"/>
              </w:rPr>
            </w:pPr>
            <w:r>
              <w:rPr>
                <w:color w:val="auto"/>
              </w:rPr>
              <w:t>2</w:t>
            </w:r>
          </w:p>
        </w:tc>
        <w:tc>
          <w:tcPr>
            <w:tcW w:w="1604" w:type="pct"/>
            <w:vAlign w:val="center"/>
          </w:tcPr>
          <w:p w14:paraId="08EF4830">
            <w:pPr>
              <w:pStyle w:val="27"/>
              <w:snapToGrid w:val="0"/>
              <w:rPr>
                <w:color w:val="auto"/>
              </w:rPr>
            </w:pPr>
            <w:r>
              <w:rPr>
                <w:rFonts w:hint="eastAsia"/>
                <w:color w:val="auto"/>
              </w:rPr>
              <w:t>用尺量测纵横两个方向的中心线位置，取其中较大值</w:t>
            </w:r>
          </w:p>
        </w:tc>
      </w:tr>
      <w:tr w14:paraId="657151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8" w:type="pct"/>
            <w:vMerge w:val="restart"/>
            <w:vAlign w:val="center"/>
          </w:tcPr>
          <w:p w14:paraId="25468FDF">
            <w:pPr>
              <w:pStyle w:val="27"/>
              <w:rPr>
                <w:color w:val="auto"/>
              </w:rPr>
            </w:pPr>
            <w:r>
              <w:rPr>
                <w:color w:val="auto"/>
              </w:rPr>
              <w:t>3</w:t>
            </w:r>
          </w:p>
        </w:tc>
        <w:tc>
          <w:tcPr>
            <w:tcW w:w="1428" w:type="pct"/>
            <w:vMerge w:val="restart"/>
            <w:vAlign w:val="center"/>
          </w:tcPr>
          <w:p w14:paraId="2A2E1993">
            <w:pPr>
              <w:pStyle w:val="27"/>
              <w:rPr>
                <w:color w:val="auto"/>
              </w:rPr>
            </w:pPr>
            <w:r>
              <w:rPr>
                <w:rFonts w:hint="eastAsia"/>
                <w:color w:val="auto"/>
              </w:rPr>
              <w:t>插筋</w:t>
            </w:r>
          </w:p>
        </w:tc>
        <w:tc>
          <w:tcPr>
            <w:tcW w:w="985" w:type="pct"/>
            <w:vAlign w:val="center"/>
          </w:tcPr>
          <w:p w14:paraId="2041A82C">
            <w:pPr>
              <w:pStyle w:val="27"/>
              <w:rPr>
                <w:color w:val="auto"/>
              </w:rPr>
            </w:pPr>
            <w:r>
              <w:rPr>
                <w:rFonts w:hint="eastAsia"/>
                <w:color w:val="auto"/>
              </w:rPr>
              <w:t>中心线位置</w:t>
            </w:r>
          </w:p>
        </w:tc>
        <w:tc>
          <w:tcPr>
            <w:tcW w:w="713" w:type="pct"/>
            <w:vAlign w:val="center"/>
          </w:tcPr>
          <w:p w14:paraId="3ABF552E">
            <w:pPr>
              <w:pStyle w:val="27"/>
              <w:rPr>
                <w:color w:val="auto"/>
              </w:rPr>
            </w:pPr>
            <w:r>
              <w:rPr>
                <w:color w:val="auto"/>
              </w:rPr>
              <w:t>3</w:t>
            </w:r>
          </w:p>
        </w:tc>
        <w:tc>
          <w:tcPr>
            <w:tcW w:w="1604" w:type="pct"/>
            <w:vAlign w:val="center"/>
          </w:tcPr>
          <w:p w14:paraId="69FF60E5">
            <w:pPr>
              <w:pStyle w:val="27"/>
              <w:snapToGrid w:val="0"/>
              <w:rPr>
                <w:color w:val="auto"/>
              </w:rPr>
            </w:pPr>
            <w:r>
              <w:rPr>
                <w:rFonts w:hint="eastAsia"/>
                <w:color w:val="auto"/>
              </w:rPr>
              <w:t>用尺量测纵横两个方向的中心线位置，取其中较大值</w:t>
            </w:r>
          </w:p>
        </w:tc>
      </w:tr>
      <w:tr w14:paraId="34584B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68" w:type="pct"/>
            <w:vMerge w:val="continue"/>
            <w:vAlign w:val="center"/>
          </w:tcPr>
          <w:p w14:paraId="2E89E123">
            <w:pPr>
              <w:pStyle w:val="27"/>
              <w:rPr>
                <w:color w:val="auto"/>
              </w:rPr>
            </w:pPr>
          </w:p>
        </w:tc>
        <w:tc>
          <w:tcPr>
            <w:tcW w:w="1428" w:type="pct"/>
            <w:vMerge w:val="continue"/>
            <w:vAlign w:val="center"/>
          </w:tcPr>
          <w:p w14:paraId="7EEEE200">
            <w:pPr>
              <w:pStyle w:val="27"/>
              <w:rPr>
                <w:color w:val="auto"/>
              </w:rPr>
            </w:pPr>
          </w:p>
        </w:tc>
        <w:tc>
          <w:tcPr>
            <w:tcW w:w="985" w:type="pct"/>
            <w:vAlign w:val="center"/>
          </w:tcPr>
          <w:p w14:paraId="5ACF4A6F">
            <w:pPr>
              <w:pStyle w:val="27"/>
              <w:rPr>
                <w:color w:val="auto"/>
              </w:rPr>
            </w:pPr>
            <w:r>
              <w:rPr>
                <w:rFonts w:hint="eastAsia"/>
                <w:color w:val="auto"/>
              </w:rPr>
              <w:t>外露长度</w:t>
            </w:r>
          </w:p>
        </w:tc>
        <w:tc>
          <w:tcPr>
            <w:tcW w:w="713" w:type="pct"/>
            <w:vAlign w:val="center"/>
          </w:tcPr>
          <w:p w14:paraId="0F6B88E4">
            <w:pPr>
              <w:pStyle w:val="27"/>
              <w:rPr>
                <w:color w:val="auto"/>
              </w:rPr>
            </w:pPr>
            <w:r>
              <w:rPr>
                <w:color w:val="auto"/>
              </w:rPr>
              <w:t>+10</w:t>
            </w:r>
            <w:r>
              <w:rPr>
                <w:rFonts w:hint="eastAsia"/>
                <w:color w:val="auto"/>
              </w:rPr>
              <w:t>，</w:t>
            </w:r>
            <w:r>
              <w:rPr>
                <w:color w:val="auto"/>
              </w:rPr>
              <w:t>0</w:t>
            </w:r>
          </w:p>
        </w:tc>
        <w:tc>
          <w:tcPr>
            <w:tcW w:w="1604" w:type="pct"/>
            <w:vAlign w:val="center"/>
          </w:tcPr>
          <w:p w14:paraId="081069C2">
            <w:pPr>
              <w:pStyle w:val="27"/>
              <w:snapToGrid w:val="0"/>
              <w:rPr>
                <w:color w:val="auto"/>
              </w:rPr>
            </w:pPr>
            <w:r>
              <w:rPr>
                <w:rFonts w:hint="eastAsia"/>
                <w:color w:val="auto"/>
              </w:rPr>
              <w:t>用尺量测</w:t>
            </w:r>
          </w:p>
        </w:tc>
      </w:tr>
      <w:tr w14:paraId="06B7A8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8" w:type="pct"/>
            <w:vMerge w:val="restart"/>
            <w:vAlign w:val="center"/>
          </w:tcPr>
          <w:p w14:paraId="68566C1B">
            <w:pPr>
              <w:pStyle w:val="27"/>
              <w:rPr>
                <w:color w:val="auto"/>
              </w:rPr>
            </w:pPr>
            <w:r>
              <w:rPr>
                <w:color w:val="auto"/>
              </w:rPr>
              <w:t>4</w:t>
            </w:r>
          </w:p>
        </w:tc>
        <w:tc>
          <w:tcPr>
            <w:tcW w:w="1428" w:type="pct"/>
            <w:vMerge w:val="restart"/>
            <w:vAlign w:val="center"/>
          </w:tcPr>
          <w:p w14:paraId="4942C91C">
            <w:pPr>
              <w:pStyle w:val="27"/>
              <w:rPr>
                <w:color w:val="auto"/>
              </w:rPr>
            </w:pPr>
            <w:r>
              <w:rPr>
                <w:rFonts w:hint="eastAsia"/>
                <w:color w:val="auto"/>
              </w:rPr>
              <w:t>吊环</w:t>
            </w:r>
          </w:p>
        </w:tc>
        <w:tc>
          <w:tcPr>
            <w:tcW w:w="985" w:type="pct"/>
            <w:vAlign w:val="center"/>
          </w:tcPr>
          <w:p w14:paraId="36E4EA20">
            <w:pPr>
              <w:pStyle w:val="27"/>
              <w:rPr>
                <w:color w:val="auto"/>
              </w:rPr>
            </w:pPr>
            <w:r>
              <w:rPr>
                <w:rFonts w:hint="eastAsia"/>
                <w:color w:val="auto"/>
              </w:rPr>
              <w:t>中心线位置</w:t>
            </w:r>
          </w:p>
        </w:tc>
        <w:tc>
          <w:tcPr>
            <w:tcW w:w="713" w:type="pct"/>
            <w:vAlign w:val="center"/>
          </w:tcPr>
          <w:p w14:paraId="221306AC">
            <w:pPr>
              <w:pStyle w:val="27"/>
              <w:rPr>
                <w:color w:val="auto"/>
              </w:rPr>
            </w:pPr>
            <w:r>
              <w:rPr>
                <w:color w:val="auto"/>
              </w:rPr>
              <w:t>3</w:t>
            </w:r>
          </w:p>
        </w:tc>
        <w:tc>
          <w:tcPr>
            <w:tcW w:w="1604" w:type="pct"/>
            <w:vAlign w:val="center"/>
          </w:tcPr>
          <w:p w14:paraId="1960629D">
            <w:pPr>
              <w:pStyle w:val="27"/>
              <w:snapToGrid w:val="0"/>
              <w:rPr>
                <w:color w:val="auto"/>
              </w:rPr>
            </w:pPr>
            <w:r>
              <w:rPr>
                <w:rFonts w:hint="eastAsia"/>
                <w:color w:val="auto"/>
              </w:rPr>
              <w:t>用尺量测纵横两个方向的中心线位置，取其较大值</w:t>
            </w:r>
          </w:p>
        </w:tc>
      </w:tr>
      <w:tr w14:paraId="79FAAE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268" w:type="pct"/>
            <w:vMerge w:val="continue"/>
            <w:vAlign w:val="center"/>
          </w:tcPr>
          <w:p w14:paraId="420B8036">
            <w:pPr>
              <w:pStyle w:val="27"/>
              <w:rPr>
                <w:color w:val="auto"/>
              </w:rPr>
            </w:pPr>
          </w:p>
        </w:tc>
        <w:tc>
          <w:tcPr>
            <w:tcW w:w="1428" w:type="pct"/>
            <w:vMerge w:val="continue"/>
            <w:vAlign w:val="center"/>
          </w:tcPr>
          <w:p w14:paraId="4AE69E01">
            <w:pPr>
              <w:pStyle w:val="27"/>
              <w:rPr>
                <w:color w:val="auto"/>
              </w:rPr>
            </w:pPr>
          </w:p>
        </w:tc>
        <w:tc>
          <w:tcPr>
            <w:tcW w:w="985" w:type="pct"/>
            <w:vAlign w:val="center"/>
          </w:tcPr>
          <w:p w14:paraId="6EB6F3FE">
            <w:pPr>
              <w:pStyle w:val="27"/>
              <w:rPr>
                <w:color w:val="auto"/>
              </w:rPr>
            </w:pPr>
            <w:r>
              <w:rPr>
                <w:rFonts w:hint="eastAsia"/>
                <w:color w:val="auto"/>
              </w:rPr>
              <w:t>外露长度</w:t>
            </w:r>
          </w:p>
        </w:tc>
        <w:tc>
          <w:tcPr>
            <w:tcW w:w="713" w:type="pct"/>
            <w:vAlign w:val="center"/>
          </w:tcPr>
          <w:p w14:paraId="3C0D3339">
            <w:pPr>
              <w:pStyle w:val="27"/>
              <w:rPr>
                <w:color w:val="auto"/>
              </w:rPr>
            </w:pPr>
            <w:r>
              <w:rPr>
                <w:color w:val="auto"/>
              </w:rPr>
              <w:t>0</w:t>
            </w:r>
            <w:r>
              <w:rPr>
                <w:rFonts w:hint="eastAsia"/>
                <w:color w:val="auto"/>
              </w:rPr>
              <w:t>，</w:t>
            </w:r>
            <w:r>
              <w:rPr>
                <w:color w:val="auto"/>
              </w:rPr>
              <w:t>-5</w:t>
            </w:r>
          </w:p>
        </w:tc>
        <w:tc>
          <w:tcPr>
            <w:tcW w:w="1604" w:type="pct"/>
            <w:vAlign w:val="center"/>
          </w:tcPr>
          <w:p w14:paraId="6FFB2DB2">
            <w:pPr>
              <w:pStyle w:val="27"/>
              <w:snapToGrid w:val="0"/>
              <w:rPr>
                <w:color w:val="auto"/>
              </w:rPr>
            </w:pPr>
            <w:r>
              <w:rPr>
                <w:rFonts w:hint="eastAsia"/>
                <w:color w:val="auto"/>
              </w:rPr>
              <w:t>用尺量测</w:t>
            </w:r>
          </w:p>
        </w:tc>
      </w:tr>
      <w:tr w14:paraId="2CBD9C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8" w:type="pct"/>
            <w:vMerge w:val="restart"/>
            <w:vAlign w:val="center"/>
          </w:tcPr>
          <w:p w14:paraId="65909520">
            <w:pPr>
              <w:pStyle w:val="27"/>
              <w:rPr>
                <w:color w:val="auto"/>
              </w:rPr>
            </w:pPr>
            <w:r>
              <w:rPr>
                <w:color w:val="auto"/>
              </w:rPr>
              <w:t>5</w:t>
            </w:r>
          </w:p>
        </w:tc>
        <w:tc>
          <w:tcPr>
            <w:tcW w:w="1428" w:type="pct"/>
            <w:vMerge w:val="restart"/>
            <w:vAlign w:val="center"/>
          </w:tcPr>
          <w:p w14:paraId="6A25E003">
            <w:pPr>
              <w:pStyle w:val="27"/>
              <w:rPr>
                <w:color w:val="auto"/>
              </w:rPr>
            </w:pPr>
            <w:r>
              <w:rPr>
                <w:rFonts w:hint="eastAsia"/>
                <w:color w:val="auto"/>
              </w:rPr>
              <w:t>预埋螺栓</w:t>
            </w:r>
          </w:p>
        </w:tc>
        <w:tc>
          <w:tcPr>
            <w:tcW w:w="985" w:type="pct"/>
            <w:vAlign w:val="center"/>
          </w:tcPr>
          <w:p w14:paraId="3445DAFA">
            <w:pPr>
              <w:pStyle w:val="27"/>
              <w:rPr>
                <w:color w:val="auto"/>
              </w:rPr>
            </w:pPr>
            <w:r>
              <w:rPr>
                <w:rFonts w:hint="eastAsia"/>
                <w:color w:val="auto"/>
              </w:rPr>
              <w:t>中心线位置</w:t>
            </w:r>
          </w:p>
        </w:tc>
        <w:tc>
          <w:tcPr>
            <w:tcW w:w="713" w:type="pct"/>
            <w:vAlign w:val="center"/>
          </w:tcPr>
          <w:p w14:paraId="44E3D0DC">
            <w:pPr>
              <w:pStyle w:val="27"/>
              <w:rPr>
                <w:color w:val="auto"/>
              </w:rPr>
            </w:pPr>
            <w:r>
              <w:rPr>
                <w:color w:val="auto"/>
              </w:rPr>
              <w:t>2</w:t>
            </w:r>
          </w:p>
        </w:tc>
        <w:tc>
          <w:tcPr>
            <w:tcW w:w="1604" w:type="pct"/>
            <w:vAlign w:val="center"/>
          </w:tcPr>
          <w:p w14:paraId="1A9B5B1C">
            <w:pPr>
              <w:pStyle w:val="27"/>
              <w:snapToGrid w:val="0"/>
              <w:rPr>
                <w:color w:val="auto"/>
              </w:rPr>
            </w:pPr>
            <w:r>
              <w:rPr>
                <w:rFonts w:hint="eastAsia"/>
                <w:color w:val="auto"/>
              </w:rPr>
              <w:t>用尺量测纵横两个方向的中心线位置，取其较大值</w:t>
            </w:r>
          </w:p>
        </w:tc>
      </w:tr>
      <w:tr w14:paraId="20186E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68" w:type="pct"/>
            <w:vMerge w:val="continue"/>
            <w:vAlign w:val="center"/>
          </w:tcPr>
          <w:p w14:paraId="361DC040">
            <w:pPr>
              <w:pStyle w:val="27"/>
              <w:rPr>
                <w:color w:val="auto"/>
              </w:rPr>
            </w:pPr>
          </w:p>
        </w:tc>
        <w:tc>
          <w:tcPr>
            <w:tcW w:w="1428" w:type="pct"/>
            <w:vMerge w:val="continue"/>
            <w:vAlign w:val="center"/>
          </w:tcPr>
          <w:p w14:paraId="0E9B485E">
            <w:pPr>
              <w:pStyle w:val="27"/>
              <w:rPr>
                <w:color w:val="auto"/>
              </w:rPr>
            </w:pPr>
          </w:p>
        </w:tc>
        <w:tc>
          <w:tcPr>
            <w:tcW w:w="985" w:type="pct"/>
            <w:vAlign w:val="center"/>
          </w:tcPr>
          <w:p w14:paraId="7B3D1B4F">
            <w:pPr>
              <w:pStyle w:val="27"/>
              <w:rPr>
                <w:color w:val="auto"/>
              </w:rPr>
            </w:pPr>
            <w:r>
              <w:rPr>
                <w:rFonts w:hint="eastAsia"/>
                <w:color w:val="auto"/>
              </w:rPr>
              <w:t>外露长度</w:t>
            </w:r>
          </w:p>
        </w:tc>
        <w:tc>
          <w:tcPr>
            <w:tcW w:w="713" w:type="pct"/>
            <w:vAlign w:val="center"/>
          </w:tcPr>
          <w:p w14:paraId="1CCB656C">
            <w:pPr>
              <w:pStyle w:val="27"/>
              <w:rPr>
                <w:color w:val="auto"/>
              </w:rPr>
            </w:pPr>
            <w:r>
              <w:rPr>
                <w:color w:val="auto"/>
              </w:rPr>
              <w:t>+5</w:t>
            </w:r>
            <w:r>
              <w:rPr>
                <w:rFonts w:hint="eastAsia"/>
                <w:color w:val="auto"/>
              </w:rPr>
              <w:t>，</w:t>
            </w:r>
            <w:r>
              <w:rPr>
                <w:color w:val="auto"/>
              </w:rPr>
              <w:t>0</w:t>
            </w:r>
          </w:p>
        </w:tc>
        <w:tc>
          <w:tcPr>
            <w:tcW w:w="1604" w:type="pct"/>
            <w:vAlign w:val="center"/>
          </w:tcPr>
          <w:p w14:paraId="69A3F02D">
            <w:pPr>
              <w:pStyle w:val="27"/>
              <w:snapToGrid w:val="0"/>
              <w:rPr>
                <w:color w:val="auto"/>
              </w:rPr>
            </w:pPr>
            <w:r>
              <w:rPr>
                <w:rFonts w:hint="eastAsia"/>
                <w:color w:val="auto"/>
              </w:rPr>
              <w:t>用尺量测</w:t>
            </w:r>
          </w:p>
        </w:tc>
      </w:tr>
      <w:tr w14:paraId="7F6A86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8" w:type="pct"/>
            <w:vMerge w:val="restart"/>
            <w:vAlign w:val="center"/>
          </w:tcPr>
          <w:p w14:paraId="450FB8BE">
            <w:pPr>
              <w:pStyle w:val="27"/>
              <w:rPr>
                <w:color w:val="auto"/>
              </w:rPr>
            </w:pPr>
            <w:r>
              <w:rPr>
                <w:color w:val="auto"/>
              </w:rPr>
              <w:t>6</w:t>
            </w:r>
          </w:p>
        </w:tc>
        <w:tc>
          <w:tcPr>
            <w:tcW w:w="1428" w:type="pct"/>
            <w:vMerge w:val="restart"/>
            <w:vAlign w:val="center"/>
          </w:tcPr>
          <w:p w14:paraId="00CD87D7">
            <w:pPr>
              <w:pStyle w:val="27"/>
              <w:rPr>
                <w:color w:val="auto"/>
              </w:rPr>
            </w:pPr>
            <w:r>
              <w:rPr>
                <w:rFonts w:hint="eastAsia"/>
                <w:color w:val="auto"/>
              </w:rPr>
              <w:t>预埋螺母</w:t>
            </w:r>
          </w:p>
        </w:tc>
        <w:tc>
          <w:tcPr>
            <w:tcW w:w="985" w:type="pct"/>
            <w:vAlign w:val="center"/>
          </w:tcPr>
          <w:p w14:paraId="6394A6F2">
            <w:pPr>
              <w:pStyle w:val="27"/>
              <w:rPr>
                <w:color w:val="auto"/>
              </w:rPr>
            </w:pPr>
            <w:r>
              <w:rPr>
                <w:rFonts w:hint="eastAsia"/>
                <w:color w:val="auto"/>
              </w:rPr>
              <w:t>中心线位置</w:t>
            </w:r>
          </w:p>
        </w:tc>
        <w:tc>
          <w:tcPr>
            <w:tcW w:w="713" w:type="pct"/>
            <w:vAlign w:val="center"/>
          </w:tcPr>
          <w:p w14:paraId="3841252D">
            <w:pPr>
              <w:pStyle w:val="27"/>
              <w:rPr>
                <w:color w:val="auto"/>
              </w:rPr>
            </w:pPr>
            <w:r>
              <w:rPr>
                <w:color w:val="auto"/>
              </w:rPr>
              <w:t>2</w:t>
            </w:r>
          </w:p>
        </w:tc>
        <w:tc>
          <w:tcPr>
            <w:tcW w:w="1604" w:type="pct"/>
            <w:vAlign w:val="center"/>
          </w:tcPr>
          <w:p w14:paraId="38A156E1">
            <w:pPr>
              <w:pStyle w:val="27"/>
              <w:snapToGrid w:val="0"/>
              <w:rPr>
                <w:color w:val="auto"/>
              </w:rPr>
            </w:pPr>
            <w:r>
              <w:rPr>
                <w:rFonts w:hint="eastAsia"/>
                <w:color w:val="auto"/>
              </w:rPr>
              <w:t>用尺量测纵横两个方向的中心线位置，取其较大值</w:t>
            </w:r>
          </w:p>
        </w:tc>
      </w:tr>
      <w:tr w14:paraId="344ECB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268" w:type="pct"/>
            <w:vMerge w:val="continue"/>
            <w:vAlign w:val="center"/>
          </w:tcPr>
          <w:p w14:paraId="23F4505A">
            <w:pPr>
              <w:pStyle w:val="27"/>
              <w:rPr>
                <w:color w:val="auto"/>
              </w:rPr>
            </w:pPr>
          </w:p>
        </w:tc>
        <w:tc>
          <w:tcPr>
            <w:tcW w:w="1428" w:type="pct"/>
            <w:vMerge w:val="continue"/>
            <w:vAlign w:val="center"/>
          </w:tcPr>
          <w:p w14:paraId="68E60FFD">
            <w:pPr>
              <w:pStyle w:val="27"/>
              <w:rPr>
                <w:color w:val="auto"/>
              </w:rPr>
            </w:pPr>
          </w:p>
        </w:tc>
        <w:tc>
          <w:tcPr>
            <w:tcW w:w="985" w:type="pct"/>
            <w:vAlign w:val="center"/>
          </w:tcPr>
          <w:p w14:paraId="49E331D0">
            <w:pPr>
              <w:pStyle w:val="27"/>
              <w:rPr>
                <w:color w:val="auto"/>
              </w:rPr>
            </w:pPr>
            <w:r>
              <w:rPr>
                <w:rFonts w:hint="eastAsia"/>
                <w:color w:val="auto"/>
              </w:rPr>
              <w:t>平面高差</w:t>
            </w:r>
          </w:p>
        </w:tc>
        <w:tc>
          <w:tcPr>
            <w:tcW w:w="713" w:type="pct"/>
            <w:vAlign w:val="center"/>
          </w:tcPr>
          <w:p w14:paraId="30746536">
            <w:pPr>
              <w:pStyle w:val="27"/>
              <w:rPr>
                <w:color w:val="auto"/>
              </w:rPr>
            </w:pPr>
            <w:r>
              <w:rPr>
                <w:color w:val="auto"/>
              </w:rPr>
              <w:t>±1</w:t>
            </w:r>
          </w:p>
        </w:tc>
        <w:tc>
          <w:tcPr>
            <w:tcW w:w="1604" w:type="pct"/>
            <w:vAlign w:val="center"/>
          </w:tcPr>
          <w:p w14:paraId="6B86ED19">
            <w:pPr>
              <w:pStyle w:val="27"/>
              <w:snapToGrid w:val="0"/>
              <w:rPr>
                <w:color w:val="auto"/>
              </w:rPr>
            </w:pPr>
            <w:r>
              <w:rPr>
                <w:rFonts w:hint="eastAsia"/>
                <w:color w:val="auto"/>
              </w:rPr>
              <w:t>钢直尺和塞尺检查</w:t>
            </w:r>
          </w:p>
        </w:tc>
      </w:tr>
      <w:tr w14:paraId="154078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68" w:type="pct"/>
            <w:vMerge w:val="restart"/>
            <w:vAlign w:val="center"/>
          </w:tcPr>
          <w:p w14:paraId="12E6C604">
            <w:pPr>
              <w:pStyle w:val="27"/>
              <w:rPr>
                <w:color w:val="auto"/>
              </w:rPr>
            </w:pPr>
            <w:r>
              <w:rPr>
                <w:color w:val="auto"/>
              </w:rPr>
              <w:t>7</w:t>
            </w:r>
          </w:p>
        </w:tc>
        <w:tc>
          <w:tcPr>
            <w:tcW w:w="1428" w:type="pct"/>
            <w:vMerge w:val="restart"/>
            <w:vAlign w:val="center"/>
          </w:tcPr>
          <w:p w14:paraId="252876BD">
            <w:pPr>
              <w:pStyle w:val="27"/>
              <w:rPr>
                <w:color w:val="auto"/>
              </w:rPr>
            </w:pPr>
            <w:r>
              <w:rPr>
                <w:rFonts w:hint="eastAsia"/>
                <w:color w:val="auto"/>
              </w:rPr>
              <w:t>预留洞</w:t>
            </w:r>
          </w:p>
        </w:tc>
        <w:tc>
          <w:tcPr>
            <w:tcW w:w="985" w:type="pct"/>
            <w:vAlign w:val="center"/>
          </w:tcPr>
          <w:p w14:paraId="7D19B3DC">
            <w:pPr>
              <w:pStyle w:val="27"/>
              <w:rPr>
                <w:color w:val="auto"/>
              </w:rPr>
            </w:pPr>
            <w:r>
              <w:rPr>
                <w:rFonts w:hint="eastAsia"/>
                <w:color w:val="auto"/>
              </w:rPr>
              <w:t>中心线位置</w:t>
            </w:r>
          </w:p>
        </w:tc>
        <w:tc>
          <w:tcPr>
            <w:tcW w:w="713" w:type="pct"/>
            <w:vAlign w:val="center"/>
          </w:tcPr>
          <w:p w14:paraId="616FBFF0">
            <w:pPr>
              <w:pStyle w:val="27"/>
              <w:rPr>
                <w:color w:val="auto"/>
              </w:rPr>
            </w:pPr>
            <w:r>
              <w:rPr>
                <w:color w:val="auto"/>
              </w:rPr>
              <w:t>3</w:t>
            </w:r>
          </w:p>
        </w:tc>
        <w:tc>
          <w:tcPr>
            <w:tcW w:w="1604" w:type="pct"/>
            <w:vAlign w:val="center"/>
          </w:tcPr>
          <w:p w14:paraId="3FD07A01">
            <w:pPr>
              <w:pStyle w:val="27"/>
              <w:snapToGrid w:val="0"/>
              <w:rPr>
                <w:color w:val="auto"/>
              </w:rPr>
            </w:pPr>
            <w:r>
              <w:rPr>
                <w:rFonts w:hint="eastAsia"/>
                <w:color w:val="auto"/>
              </w:rPr>
              <w:t>用尺量测纵横两个方向的中心线位置，取其较大值</w:t>
            </w:r>
          </w:p>
        </w:tc>
      </w:tr>
      <w:tr w14:paraId="3214E9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68" w:type="pct"/>
            <w:vMerge w:val="continue"/>
            <w:vAlign w:val="center"/>
          </w:tcPr>
          <w:p w14:paraId="0D72680C">
            <w:pPr>
              <w:pStyle w:val="27"/>
              <w:rPr>
                <w:color w:val="auto"/>
              </w:rPr>
            </w:pPr>
          </w:p>
        </w:tc>
        <w:tc>
          <w:tcPr>
            <w:tcW w:w="1428" w:type="pct"/>
            <w:vMerge w:val="continue"/>
            <w:vAlign w:val="center"/>
          </w:tcPr>
          <w:p w14:paraId="54F642E7">
            <w:pPr>
              <w:pStyle w:val="27"/>
              <w:rPr>
                <w:color w:val="auto"/>
              </w:rPr>
            </w:pPr>
          </w:p>
        </w:tc>
        <w:tc>
          <w:tcPr>
            <w:tcW w:w="985" w:type="pct"/>
            <w:vAlign w:val="center"/>
          </w:tcPr>
          <w:p w14:paraId="7AAC1828">
            <w:pPr>
              <w:pStyle w:val="27"/>
              <w:rPr>
                <w:color w:val="auto"/>
              </w:rPr>
            </w:pPr>
            <w:r>
              <w:rPr>
                <w:rFonts w:hint="eastAsia"/>
                <w:color w:val="auto"/>
              </w:rPr>
              <w:t>尺寸</w:t>
            </w:r>
          </w:p>
        </w:tc>
        <w:tc>
          <w:tcPr>
            <w:tcW w:w="713" w:type="pct"/>
            <w:vAlign w:val="center"/>
          </w:tcPr>
          <w:p w14:paraId="70DC37EE">
            <w:pPr>
              <w:pStyle w:val="27"/>
              <w:rPr>
                <w:color w:val="auto"/>
              </w:rPr>
            </w:pPr>
            <w:r>
              <w:rPr>
                <w:color w:val="auto"/>
              </w:rPr>
              <w:t>+3</w:t>
            </w:r>
            <w:r>
              <w:rPr>
                <w:rFonts w:hint="eastAsia"/>
                <w:color w:val="auto"/>
              </w:rPr>
              <w:t>，</w:t>
            </w:r>
            <w:r>
              <w:rPr>
                <w:color w:val="auto"/>
              </w:rPr>
              <w:t>0</w:t>
            </w:r>
          </w:p>
        </w:tc>
        <w:tc>
          <w:tcPr>
            <w:tcW w:w="1604" w:type="pct"/>
            <w:vAlign w:val="center"/>
          </w:tcPr>
          <w:p w14:paraId="6E8A152F">
            <w:pPr>
              <w:pStyle w:val="27"/>
              <w:snapToGrid w:val="0"/>
              <w:rPr>
                <w:color w:val="auto"/>
              </w:rPr>
            </w:pPr>
            <w:r>
              <w:rPr>
                <w:rFonts w:hint="eastAsia"/>
                <w:color w:val="auto"/>
              </w:rPr>
              <w:t>用尺量测纵横两个方向的尺寸，取其较大值</w:t>
            </w:r>
          </w:p>
        </w:tc>
      </w:tr>
      <w:tr w14:paraId="3CED00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8" w:type="pct"/>
            <w:vMerge w:val="restart"/>
            <w:vAlign w:val="center"/>
          </w:tcPr>
          <w:p w14:paraId="3D3B5A35">
            <w:pPr>
              <w:pStyle w:val="27"/>
              <w:rPr>
                <w:color w:val="auto"/>
              </w:rPr>
            </w:pPr>
            <w:r>
              <w:rPr>
                <w:color w:val="auto"/>
              </w:rPr>
              <w:t>8</w:t>
            </w:r>
          </w:p>
        </w:tc>
        <w:tc>
          <w:tcPr>
            <w:tcW w:w="1428" w:type="pct"/>
            <w:vMerge w:val="restart"/>
            <w:vAlign w:val="center"/>
          </w:tcPr>
          <w:p w14:paraId="084C7A36">
            <w:pPr>
              <w:pStyle w:val="27"/>
              <w:rPr>
                <w:color w:val="auto"/>
              </w:rPr>
            </w:pPr>
            <w:r>
              <w:rPr>
                <w:rFonts w:hint="eastAsia"/>
                <w:color w:val="auto"/>
              </w:rPr>
              <w:t>预埋连接件、灌浆套筒及连接钢筋</w:t>
            </w:r>
          </w:p>
        </w:tc>
        <w:tc>
          <w:tcPr>
            <w:tcW w:w="985" w:type="pct"/>
            <w:vAlign w:val="center"/>
          </w:tcPr>
          <w:p w14:paraId="314CAC16">
            <w:pPr>
              <w:pStyle w:val="27"/>
              <w:rPr>
                <w:color w:val="auto"/>
              </w:rPr>
            </w:pPr>
            <w:r>
              <w:rPr>
                <w:rFonts w:hint="eastAsia"/>
                <w:color w:val="auto"/>
              </w:rPr>
              <w:t>预埋连接件中心线位置</w:t>
            </w:r>
          </w:p>
        </w:tc>
        <w:tc>
          <w:tcPr>
            <w:tcW w:w="713" w:type="pct"/>
            <w:vAlign w:val="center"/>
          </w:tcPr>
          <w:p w14:paraId="5AE25F1D">
            <w:pPr>
              <w:pStyle w:val="27"/>
              <w:rPr>
                <w:color w:val="auto"/>
              </w:rPr>
            </w:pPr>
            <w:r>
              <w:rPr>
                <w:color w:val="auto"/>
              </w:rPr>
              <w:t>1</w:t>
            </w:r>
          </w:p>
        </w:tc>
        <w:tc>
          <w:tcPr>
            <w:tcW w:w="1604" w:type="pct"/>
            <w:vAlign w:val="center"/>
          </w:tcPr>
          <w:p w14:paraId="7D507E08">
            <w:pPr>
              <w:pStyle w:val="27"/>
              <w:snapToGrid w:val="0"/>
              <w:rPr>
                <w:color w:val="auto"/>
              </w:rPr>
            </w:pPr>
            <w:r>
              <w:rPr>
                <w:rFonts w:hint="eastAsia"/>
                <w:color w:val="auto"/>
              </w:rPr>
              <w:t>用尺量测纵横两个方向的中心线位置，取其较大值</w:t>
            </w:r>
          </w:p>
        </w:tc>
      </w:tr>
      <w:tr w14:paraId="7A8C0A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68" w:type="pct"/>
            <w:vMerge w:val="continue"/>
            <w:vAlign w:val="center"/>
          </w:tcPr>
          <w:p w14:paraId="5FAB261C">
            <w:pPr>
              <w:pStyle w:val="27"/>
              <w:rPr>
                <w:color w:val="auto"/>
              </w:rPr>
            </w:pPr>
          </w:p>
        </w:tc>
        <w:tc>
          <w:tcPr>
            <w:tcW w:w="1428" w:type="pct"/>
            <w:vMerge w:val="continue"/>
            <w:vAlign w:val="center"/>
          </w:tcPr>
          <w:p w14:paraId="283F45FB">
            <w:pPr>
              <w:pStyle w:val="27"/>
              <w:rPr>
                <w:color w:val="auto"/>
              </w:rPr>
            </w:pPr>
          </w:p>
        </w:tc>
        <w:tc>
          <w:tcPr>
            <w:tcW w:w="985" w:type="pct"/>
            <w:vAlign w:val="center"/>
          </w:tcPr>
          <w:p w14:paraId="54607820">
            <w:pPr>
              <w:pStyle w:val="27"/>
              <w:rPr>
                <w:color w:val="auto"/>
              </w:rPr>
            </w:pPr>
            <w:r>
              <w:rPr>
                <w:rFonts w:hint="eastAsia"/>
                <w:color w:val="auto"/>
              </w:rPr>
              <w:t>连接钢筋中心线位置</w:t>
            </w:r>
          </w:p>
        </w:tc>
        <w:tc>
          <w:tcPr>
            <w:tcW w:w="713" w:type="pct"/>
            <w:vAlign w:val="center"/>
          </w:tcPr>
          <w:p w14:paraId="0B8965C8">
            <w:pPr>
              <w:pStyle w:val="27"/>
              <w:rPr>
                <w:color w:val="auto"/>
              </w:rPr>
            </w:pPr>
            <w:r>
              <w:rPr>
                <w:color w:val="auto"/>
              </w:rPr>
              <w:t>1</w:t>
            </w:r>
          </w:p>
        </w:tc>
        <w:tc>
          <w:tcPr>
            <w:tcW w:w="1604" w:type="pct"/>
            <w:vAlign w:val="center"/>
          </w:tcPr>
          <w:p w14:paraId="0F42B79F">
            <w:pPr>
              <w:pStyle w:val="27"/>
              <w:snapToGrid w:val="0"/>
              <w:rPr>
                <w:color w:val="auto"/>
              </w:rPr>
            </w:pPr>
            <w:r>
              <w:rPr>
                <w:rFonts w:hint="eastAsia"/>
                <w:color w:val="auto"/>
              </w:rPr>
              <w:t>用尺量测纵横两个方向的中心线位置，取其较大值</w:t>
            </w:r>
          </w:p>
        </w:tc>
      </w:tr>
      <w:tr w14:paraId="57450D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68" w:type="pct"/>
            <w:vMerge w:val="continue"/>
            <w:vAlign w:val="center"/>
          </w:tcPr>
          <w:p w14:paraId="2101C438">
            <w:pPr>
              <w:pStyle w:val="27"/>
              <w:rPr>
                <w:color w:val="auto"/>
              </w:rPr>
            </w:pPr>
          </w:p>
        </w:tc>
        <w:tc>
          <w:tcPr>
            <w:tcW w:w="1428" w:type="pct"/>
            <w:vMerge w:val="continue"/>
            <w:vAlign w:val="center"/>
          </w:tcPr>
          <w:p w14:paraId="3B28B58F">
            <w:pPr>
              <w:pStyle w:val="27"/>
              <w:rPr>
                <w:color w:val="auto"/>
              </w:rPr>
            </w:pPr>
          </w:p>
        </w:tc>
        <w:tc>
          <w:tcPr>
            <w:tcW w:w="985" w:type="pct"/>
            <w:vAlign w:val="center"/>
          </w:tcPr>
          <w:p w14:paraId="55BDF8E6">
            <w:pPr>
              <w:pStyle w:val="27"/>
              <w:rPr>
                <w:color w:val="auto"/>
              </w:rPr>
            </w:pPr>
            <w:r>
              <w:rPr>
                <w:rFonts w:hint="eastAsia"/>
                <w:color w:val="auto"/>
              </w:rPr>
              <w:t>连接钢筋外露长度</w:t>
            </w:r>
          </w:p>
        </w:tc>
        <w:tc>
          <w:tcPr>
            <w:tcW w:w="713" w:type="pct"/>
            <w:vAlign w:val="center"/>
          </w:tcPr>
          <w:p w14:paraId="3ACCA111">
            <w:pPr>
              <w:pStyle w:val="27"/>
              <w:rPr>
                <w:color w:val="auto"/>
              </w:rPr>
            </w:pPr>
            <w:r>
              <w:rPr>
                <w:color w:val="auto"/>
              </w:rPr>
              <w:t>+5</w:t>
            </w:r>
            <w:r>
              <w:rPr>
                <w:rFonts w:hint="eastAsia"/>
                <w:color w:val="auto"/>
              </w:rPr>
              <w:t>，</w:t>
            </w:r>
            <w:r>
              <w:rPr>
                <w:color w:val="auto"/>
              </w:rPr>
              <w:t>0</w:t>
            </w:r>
          </w:p>
        </w:tc>
        <w:tc>
          <w:tcPr>
            <w:tcW w:w="1604" w:type="pct"/>
            <w:vAlign w:val="center"/>
          </w:tcPr>
          <w:p w14:paraId="1E462AC1">
            <w:pPr>
              <w:pStyle w:val="27"/>
              <w:rPr>
                <w:color w:val="auto"/>
              </w:rPr>
            </w:pPr>
            <w:r>
              <w:rPr>
                <w:rFonts w:hint="eastAsia"/>
                <w:color w:val="auto"/>
              </w:rPr>
              <w:t>用尺量测</w:t>
            </w:r>
          </w:p>
        </w:tc>
      </w:tr>
    </w:tbl>
    <w:p w14:paraId="209267E3">
      <w:pPr>
        <w:numPr>
          <w:ilvl w:val="0"/>
          <w:numId w:val="27"/>
        </w:numPr>
        <w:spacing w:line="312" w:lineRule="auto"/>
        <w:rPr>
          <w:color w:val="auto"/>
        </w:rPr>
      </w:pPr>
      <w:r>
        <w:rPr>
          <w:rFonts w:hint="eastAsia"/>
          <w:color w:val="auto"/>
        </w:rPr>
        <w:t>模块单元中预埋门窗框时，应在模具上设置限位装置进行固定，并应逐件检验。门窗框安装偏差和检验方法应符合表9.2.5的规定。</w:t>
      </w:r>
    </w:p>
    <w:p w14:paraId="5D0DE9CF">
      <w:pPr>
        <w:pStyle w:val="26"/>
        <w:rPr>
          <w:color w:val="auto"/>
        </w:rPr>
      </w:pPr>
      <w:r>
        <w:rPr>
          <w:rFonts w:hint="eastAsia"/>
          <w:color w:val="auto"/>
        </w:rPr>
        <w:t>表</w:t>
      </w:r>
      <w:r>
        <w:rPr>
          <w:b/>
          <w:color w:val="auto"/>
        </w:rPr>
        <w:t>9</w:t>
      </w:r>
      <w:r>
        <w:rPr>
          <w:rFonts w:ascii="宋体" w:hAnsi="宋体"/>
          <w:b/>
          <w:color w:val="auto"/>
        </w:rPr>
        <w:t>.</w:t>
      </w:r>
      <w:r>
        <w:rPr>
          <w:rFonts w:hint="eastAsia"/>
          <w:b/>
          <w:color w:val="auto"/>
        </w:rPr>
        <w:t>2</w:t>
      </w:r>
      <w:r>
        <w:rPr>
          <w:rFonts w:ascii="宋体" w:hAnsi="宋体"/>
          <w:b/>
          <w:color w:val="auto"/>
        </w:rPr>
        <w:t>.</w:t>
      </w:r>
      <w:r>
        <w:rPr>
          <w:rFonts w:hint="eastAsia"/>
          <w:b/>
          <w:color w:val="auto"/>
        </w:rPr>
        <w:t>5</w:t>
      </w:r>
      <w:r>
        <w:rPr>
          <w:color w:val="auto"/>
        </w:rPr>
        <w:t xml:space="preserve">  </w:t>
      </w:r>
      <w:r>
        <w:rPr>
          <w:rFonts w:hint="eastAsia"/>
          <w:color w:val="auto"/>
        </w:rPr>
        <w:t>门窗框安装允许偏差和检验方法</w:t>
      </w:r>
    </w:p>
    <w:tbl>
      <w:tblPr>
        <w:tblStyle w:val="17"/>
        <w:tblW w:w="532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71"/>
        <w:gridCol w:w="1849"/>
        <w:gridCol w:w="2214"/>
        <w:gridCol w:w="3137"/>
      </w:tblGrid>
      <w:tr w14:paraId="49E376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2050" w:type="pct"/>
            <w:gridSpan w:val="2"/>
            <w:vAlign w:val="center"/>
          </w:tcPr>
          <w:p w14:paraId="0785C2B4">
            <w:pPr>
              <w:pStyle w:val="27"/>
              <w:snapToGrid w:val="0"/>
              <w:rPr>
                <w:color w:val="auto"/>
              </w:rPr>
            </w:pPr>
            <w:r>
              <w:rPr>
                <w:rFonts w:hint="eastAsia"/>
                <w:color w:val="auto"/>
              </w:rPr>
              <w:t>项目</w:t>
            </w:r>
          </w:p>
        </w:tc>
        <w:tc>
          <w:tcPr>
            <w:tcW w:w="1220" w:type="pct"/>
            <w:vAlign w:val="center"/>
          </w:tcPr>
          <w:p w14:paraId="53C5C9B9">
            <w:pPr>
              <w:pStyle w:val="27"/>
              <w:snapToGrid w:val="0"/>
              <w:rPr>
                <w:color w:val="auto"/>
              </w:rPr>
            </w:pPr>
            <w:r>
              <w:rPr>
                <w:rFonts w:hint="eastAsia"/>
                <w:color w:val="auto"/>
              </w:rPr>
              <w:t>允许偏差</w:t>
            </w:r>
          </w:p>
          <w:p w14:paraId="5A833604">
            <w:pPr>
              <w:pStyle w:val="27"/>
              <w:snapToGrid w:val="0"/>
              <w:rPr>
                <w:color w:val="auto"/>
              </w:rPr>
            </w:pPr>
            <w:r>
              <w:rPr>
                <w:color w:val="auto"/>
              </w:rPr>
              <w:t>(mm)</w:t>
            </w:r>
          </w:p>
        </w:tc>
        <w:tc>
          <w:tcPr>
            <w:tcW w:w="1728" w:type="pct"/>
            <w:vAlign w:val="center"/>
          </w:tcPr>
          <w:p w14:paraId="6C762B5A">
            <w:pPr>
              <w:pStyle w:val="27"/>
              <w:snapToGrid w:val="0"/>
              <w:rPr>
                <w:color w:val="auto"/>
              </w:rPr>
            </w:pPr>
            <w:r>
              <w:rPr>
                <w:rFonts w:hint="eastAsia"/>
                <w:color w:val="auto"/>
              </w:rPr>
              <w:t>检验方法</w:t>
            </w:r>
          </w:p>
        </w:tc>
      </w:tr>
      <w:tr w14:paraId="29122C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031" w:type="pct"/>
            <w:vMerge w:val="restart"/>
            <w:vAlign w:val="center"/>
          </w:tcPr>
          <w:p w14:paraId="55B21E12">
            <w:pPr>
              <w:pStyle w:val="27"/>
              <w:rPr>
                <w:color w:val="auto"/>
              </w:rPr>
            </w:pPr>
            <w:r>
              <w:rPr>
                <w:rFonts w:hint="eastAsia"/>
                <w:color w:val="auto"/>
              </w:rPr>
              <w:t>锚固脚片</w:t>
            </w:r>
          </w:p>
        </w:tc>
        <w:tc>
          <w:tcPr>
            <w:tcW w:w="1018" w:type="pct"/>
            <w:vAlign w:val="center"/>
          </w:tcPr>
          <w:p w14:paraId="6B30E881">
            <w:pPr>
              <w:pStyle w:val="27"/>
              <w:rPr>
                <w:color w:val="auto"/>
              </w:rPr>
            </w:pPr>
            <w:r>
              <w:rPr>
                <w:rFonts w:hint="eastAsia"/>
                <w:color w:val="auto"/>
              </w:rPr>
              <w:t>中心线位置</w:t>
            </w:r>
          </w:p>
        </w:tc>
        <w:tc>
          <w:tcPr>
            <w:tcW w:w="1220" w:type="pct"/>
            <w:vAlign w:val="center"/>
          </w:tcPr>
          <w:p w14:paraId="2A7B725D">
            <w:pPr>
              <w:pStyle w:val="27"/>
              <w:rPr>
                <w:color w:val="auto"/>
              </w:rPr>
            </w:pPr>
            <w:r>
              <w:rPr>
                <w:color w:val="auto"/>
              </w:rPr>
              <w:t>5</w:t>
            </w:r>
          </w:p>
        </w:tc>
        <w:tc>
          <w:tcPr>
            <w:tcW w:w="1728" w:type="pct"/>
            <w:vAlign w:val="center"/>
          </w:tcPr>
          <w:p w14:paraId="7A50B4ED">
            <w:pPr>
              <w:pStyle w:val="27"/>
              <w:rPr>
                <w:color w:val="auto"/>
              </w:rPr>
            </w:pPr>
            <w:r>
              <w:rPr>
                <w:rFonts w:hint="eastAsia"/>
                <w:color w:val="auto"/>
              </w:rPr>
              <w:t>钢尺检查</w:t>
            </w:r>
          </w:p>
        </w:tc>
      </w:tr>
      <w:tr w14:paraId="7506FF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31" w:type="pct"/>
            <w:vMerge w:val="continue"/>
            <w:vAlign w:val="center"/>
          </w:tcPr>
          <w:p w14:paraId="3D554CB7">
            <w:pPr>
              <w:pStyle w:val="27"/>
              <w:rPr>
                <w:color w:val="auto"/>
              </w:rPr>
            </w:pPr>
          </w:p>
        </w:tc>
        <w:tc>
          <w:tcPr>
            <w:tcW w:w="1018" w:type="pct"/>
            <w:vAlign w:val="center"/>
          </w:tcPr>
          <w:p w14:paraId="7E1E3F12">
            <w:pPr>
              <w:pStyle w:val="27"/>
              <w:rPr>
                <w:color w:val="auto"/>
              </w:rPr>
            </w:pPr>
            <w:r>
              <w:rPr>
                <w:rFonts w:hint="eastAsia"/>
                <w:color w:val="auto"/>
              </w:rPr>
              <w:t>外露长度</w:t>
            </w:r>
          </w:p>
        </w:tc>
        <w:tc>
          <w:tcPr>
            <w:tcW w:w="1220" w:type="pct"/>
            <w:vAlign w:val="center"/>
          </w:tcPr>
          <w:p w14:paraId="4575AFCB">
            <w:pPr>
              <w:pStyle w:val="27"/>
              <w:rPr>
                <w:color w:val="auto"/>
              </w:rPr>
            </w:pPr>
            <w:r>
              <w:rPr>
                <w:color w:val="auto"/>
              </w:rPr>
              <w:t>+5</w:t>
            </w:r>
            <w:r>
              <w:rPr>
                <w:rFonts w:hint="eastAsia"/>
                <w:color w:val="auto"/>
              </w:rPr>
              <w:t>，</w:t>
            </w:r>
            <w:r>
              <w:rPr>
                <w:color w:val="auto"/>
              </w:rPr>
              <w:t>0</w:t>
            </w:r>
          </w:p>
        </w:tc>
        <w:tc>
          <w:tcPr>
            <w:tcW w:w="1728" w:type="pct"/>
            <w:vAlign w:val="center"/>
          </w:tcPr>
          <w:p w14:paraId="1BF70A1F">
            <w:pPr>
              <w:pStyle w:val="27"/>
              <w:rPr>
                <w:color w:val="auto"/>
              </w:rPr>
            </w:pPr>
            <w:r>
              <w:rPr>
                <w:rFonts w:hint="eastAsia"/>
                <w:color w:val="auto"/>
              </w:rPr>
              <w:t>钢尺检查</w:t>
            </w:r>
          </w:p>
        </w:tc>
      </w:tr>
      <w:tr w14:paraId="5CFBB4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50" w:type="pct"/>
            <w:gridSpan w:val="2"/>
            <w:vAlign w:val="center"/>
          </w:tcPr>
          <w:p w14:paraId="57267B90">
            <w:pPr>
              <w:pStyle w:val="27"/>
              <w:rPr>
                <w:color w:val="auto"/>
              </w:rPr>
            </w:pPr>
            <w:r>
              <w:rPr>
                <w:rFonts w:hint="eastAsia"/>
                <w:color w:val="auto"/>
              </w:rPr>
              <w:t>门窗框位置</w:t>
            </w:r>
          </w:p>
        </w:tc>
        <w:tc>
          <w:tcPr>
            <w:tcW w:w="1220" w:type="pct"/>
            <w:vAlign w:val="center"/>
          </w:tcPr>
          <w:p w14:paraId="5BFEBF42">
            <w:pPr>
              <w:pStyle w:val="27"/>
              <w:rPr>
                <w:color w:val="auto"/>
              </w:rPr>
            </w:pPr>
            <w:r>
              <w:rPr>
                <w:color w:val="auto"/>
              </w:rPr>
              <w:t>2</w:t>
            </w:r>
          </w:p>
        </w:tc>
        <w:tc>
          <w:tcPr>
            <w:tcW w:w="1728" w:type="pct"/>
            <w:vAlign w:val="center"/>
          </w:tcPr>
          <w:p w14:paraId="0F571C2E">
            <w:pPr>
              <w:pStyle w:val="27"/>
              <w:rPr>
                <w:color w:val="auto"/>
              </w:rPr>
            </w:pPr>
            <w:r>
              <w:rPr>
                <w:rFonts w:hint="eastAsia"/>
                <w:color w:val="auto"/>
              </w:rPr>
              <w:t>钢尺检查</w:t>
            </w:r>
          </w:p>
        </w:tc>
      </w:tr>
      <w:tr w14:paraId="58C55D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50" w:type="pct"/>
            <w:gridSpan w:val="2"/>
            <w:vAlign w:val="center"/>
          </w:tcPr>
          <w:p w14:paraId="4895C61C">
            <w:pPr>
              <w:pStyle w:val="27"/>
              <w:rPr>
                <w:color w:val="auto"/>
              </w:rPr>
            </w:pPr>
            <w:r>
              <w:rPr>
                <w:rFonts w:hint="eastAsia"/>
                <w:color w:val="auto"/>
              </w:rPr>
              <w:t>门窗框高、宽</w:t>
            </w:r>
          </w:p>
        </w:tc>
        <w:tc>
          <w:tcPr>
            <w:tcW w:w="1220" w:type="pct"/>
            <w:vAlign w:val="center"/>
          </w:tcPr>
          <w:p w14:paraId="38622D7E">
            <w:pPr>
              <w:pStyle w:val="27"/>
              <w:rPr>
                <w:color w:val="auto"/>
              </w:rPr>
            </w:pPr>
            <w:r>
              <w:rPr>
                <w:color w:val="auto"/>
              </w:rPr>
              <w:t>±2</w:t>
            </w:r>
          </w:p>
        </w:tc>
        <w:tc>
          <w:tcPr>
            <w:tcW w:w="1728" w:type="pct"/>
            <w:vAlign w:val="center"/>
          </w:tcPr>
          <w:p w14:paraId="26E28FB1">
            <w:pPr>
              <w:pStyle w:val="27"/>
              <w:rPr>
                <w:color w:val="auto"/>
              </w:rPr>
            </w:pPr>
            <w:r>
              <w:rPr>
                <w:rFonts w:hint="eastAsia"/>
                <w:color w:val="auto"/>
              </w:rPr>
              <w:t>钢尺检查</w:t>
            </w:r>
          </w:p>
        </w:tc>
      </w:tr>
      <w:tr w14:paraId="6047BF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50" w:type="pct"/>
            <w:gridSpan w:val="2"/>
            <w:vAlign w:val="center"/>
          </w:tcPr>
          <w:p w14:paraId="4FE79365">
            <w:pPr>
              <w:pStyle w:val="27"/>
              <w:rPr>
                <w:color w:val="auto"/>
              </w:rPr>
            </w:pPr>
            <w:r>
              <w:rPr>
                <w:rFonts w:hint="eastAsia"/>
                <w:color w:val="auto"/>
              </w:rPr>
              <w:t>门窗框对角线</w:t>
            </w:r>
          </w:p>
        </w:tc>
        <w:tc>
          <w:tcPr>
            <w:tcW w:w="1220" w:type="pct"/>
            <w:vAlign w:val="center"/>
          </w:tcPr>
          <w:p w14:paraId="1182D469">
            <w:pPr>
              <w:pStyle w:val="27"/>
              <w:rPr>
                <w:color w:val="auto"/>
              </w:rPr>
            </w:pPr>
            <w:r>
              <w:rPr>
                <w:color w:val="auto"/>
              </w:rPr>
              <w:t>±2</w:t>
            </w:r>
          </w:p>
        </w:tc>
        <w:tc>
          <w:tcPr>
            <w:tcW w:w="1728" w:type="pct"/>
            <w:vAlign w:val="center"/>
          </w:tcPr>
          <w:p w14:paraId="30CD516E">
            <w:pPr>
              <w:pStyle w:val="27"/>
              <w:rPr>
                <w:color w:val="auto"/>
              </w:rPr>
            </w:pPr>
            <w:r>
              <w:rPr>
                <w:rFonts w:hint="eastAsia"/>
                <w:color w:val="auto"/>
              </w:rPr>
              <w:t>钢尺检查</w:t>
            </w:r>
          </w:p>
        </w:tc>
      </w:tr>
      <w:tr w14:paraId="3F277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50" w:type="pct"/>
            <w:gridSpan w:val="2"/>
            <w:vAlign w:val="center"/>
          </w:tcPr>
          <w:p w14:paraId="34A2F7BA">
            <w:pPr>
              <w:pStyle w:val="27"/>
              <w:rPr>
                <w:color w:val="auto"/>
              </w:rPr>
            </w:pPr>
            <w:r>
              <w:rPr>
                <w:rFonts w:hint="eastAsia"/>
                <w:color w:val="auto"/>
              </w:rPr>
              <w:t>门窗框的平整度</w:t>
            </w:r>
          </w:p>
        </w:tc>
        <w:tc>
          <w:tcPr>
            <w:tcW w:w="1220" w:type="pct"/>
            <w:vAlign w:val="center"/>
          </w:tcPr>
          <w:p w14:paraId="25556790">
            <w:pPr>
              <w:pStyle w:val="27"/>
              <w:rPr>
                <w:color w:val="auto"/>
              </w:rPr>
            </w:pPr>
            <w:r>
              <w:rPr>
                <w:color w:val="auto"/>
              </w:rPr>
              <w:t>2</w:t>
            </w:r>
          </w:p>
        </w:tc>
        <w:tc>
          <w:tcPr>
            <w:tcW w:w="1728" w:type="pct"/>
            <w:vAlign w:val="center"/>
          </w:tcPr>
          <w:p w14:paraId="257DE8AC">
            <w:pPr>
              <w:pStyle w:val="27"/>
              <w:rPr>
                <w:color w:val="auto"/>
              </w:rPr>
            </w:pPr>
            <w:r>
              <w:rPr>
                <w:rFonts w:hint="eastAsia"/>
                <w:color w:val="auto"/>
              </w:rPr>
              <w:t>靠尺检查</w:t>
            </w:r>
          </w:p>
        </w:tc>
      </w:tr>
    </w:tbl>
    <w:p w14:paraId="564440AF">
      <w:pPr>
        <w:pStyle w:val="3"/>
        <w:rPr>
          <w:color w:val="auto"/>
        </w:rPr>
      </w:pPr>
      <w:bookmarkStart w:id="331" w:name="_Toc12687"/>
      <w:bookmarkStart w:id="332" w:name="_Toc110952727"/>
      <w:bookmarkStart w:id="333" w:name="_Toc13192"/>
      <w:bookmarkStart w:id="334" w:name="_Toc2947"/>
      <w:bookmarkStart w:id="335" w:name="_Toc28927"/>
      <w:bookmarkStart w:id="336" w:name="_Toc32606"/>
      <w:bookmarkStart w:id="337" w:name="_Toc3107"/>
      <w:bookmarkStart w:id="338" w:name="_Toc110958495"/>
      <w:bookmarkStart w:id="339" w:name="_Toc23701"/>
      <w:bookmarkStart w:id="340" w:name="_Toc17092"/>
      <w:bookmarkStart w:id="341" w:name="_Toc25718"/>
      <w:r>
        <w:rPr>
          <w:b/>
          <w:bCs w:val="0"/>
          <w:color w:val="auto"/>
        </w:rPr>
        <w:t>9</w:t>
      </w:r>
      <w:r>
        <w:rPr>
          <w:rFonts w:hint="eastAsia"/>
          <w:b/>
          <w:bCs w:val="0"/>
          <w:color w:val="auto"/>
        </w:rPr>
        <w:t>.3</w:t>
      </w:r>
      <w:r>
        <w:rPr>
          <w:rFonts w:hint="eastAsia"/>
          <w:color w:val="auto"/>
        </w:rPr>
        <w:t xml:space="preserve">  钢筋及预埋件</w:t>
      </w:r>
      <w:bookmarkEnd w:id="331"/>
      <w:bookmarkEnd w:id="332"/>
      <w:bookmarkEnd w:id="333"/>
      <w:bookmarkEnd w:id="334"/>
      <w:bookmarkEnd w:id="335"/>
      <w:bookmarkEnd w:id="336"/>
      <w:bookmarkEnd w:id="337"/>
      <w:bookmarkEnd w:id="338"/>
      <w:bookmarkEnd w:id="339"/>
      <w:bookmarkEnd w:id="340"/>
      <w:bookmarkEnd w:id="341"/>
    </w:p>
    <w:p w14:paraId="3D051B67">
      <w:pPr>
        <w:numPr>
          <w:ilvl w:val="0"/>
          <w:numId w:val="28"/>
        </w:numPr>
        <w:spacing w:line="312" w:lineRule="auto"/>
        <w:rPr>
          <w:color w:val="auto"/>
        </w:rPr>
      </w:pPr>
      <w:r>
        <w:rPr>
          <w:rFonts w:hint="eastAsia"/>
          <w:color w:val="auto"/>
        </w:rPr>
        <w:t>钢筋连接应符合现行国家标准《混凝土结构工程施工规范》GB 50666的规定，并应符合下列规定：</w:t>
      </w:r>
    </w:p>
    <w:p w14:paraId="378E1A1B">
      <w:pPr>
        <w:spacing w:line="312" w:lineRule="auto"/>
        <w:ind w:firstLine="422" w:firstLineChars="200"/>
        <w:rPr>
          <w:color w:val="auto"/>
        </w:rPr>
      </w:pPr>
      <w:r>
        <w:rPr>
          <w:b/>
          <w:color w:val="auto"/>
        </w:rPr>
        <w:t xml:space="preserve">1  </w:t>
      </w:r>
      <w:r>
        <w:rPr>
          <w:rFonts w:hint="eastAsia"/>
          <w:color w:val="auto"/>
        </w:rPr>
        <w:t>钢筋接头的方式、位置、同一截面受力钢筋的接头百分率、钢筋的搭接长度及锚固长度等应符合设计要求和国家现行标准的规定；</w:t>
      </w:r>
    </w:p>
    <w:p w14:paraId="50036E9C">
      <w:pPr>
        <w:spacing w:line="312" w:lineRule="auto"/>
        <w:ind w:firstLine="422" w:firstLineChars="200"/>
        <w:rPr>
          <w:color w:val="auto"/>
        </w:rPr>
      </w:pPr>
      <w:r>
        <w:rPr>
          <w:b/>
          <w:color w:val="auto"/>
        </w:rPr>
        <w:t xml:space="preserve">2  </w:t>
      </w:r>
      <w:r>
        <w:rPr>
          <w:rFonts w:hint="eastAsia"/>
          <w:color w:val="auto"/>
        </w:rPr>
        <w:t>钢筋焊接接头和机械连接接头均应进行工艺检验，合格后方可用于模块单元生产；</w:t>
      </w:r>
    </w:p>
    <w:p w14:paraId="683864EA">
      <w:pPr>
        <w:spacing w:line="312" w:lineRule="auto"/>
        <w:ind w:firstLine="422" w:firstLineChars="200"/>
        <w:rPr>
          <w:color w:val="auto"/>
        </w:rPr>
      </w:pPr>
      <w:r>
        <w:rPr>
          <w:b/>
          <w:color w:val="auto"/>
        </w:rPr>
        <w:t xml:space="preserve">3  </w:t>
      </w:r>
      <w:r>
        <w:rPr>
          <w:rFonts w:hint="eastAsia"/>
          <w:color w:val="auto"/>
        </w:rPr>
        <w:t>钢筋焊接接头和机械连接接头应全数检查外观质量；</w:t>
      </w:r>
    </w:p>
    <w:p w14:paraId="4B8632E5">
      <w:pPr>
        <w:spacing w:line="312" w:lineRule="auto"/>
        <w:ind w:firstLine="422" w:firstLineChars="200"/>
        <w:rPr>
          <w:color w:val="auto"/>
        </w:rPr>
      </w:pPr>
      <w:r>
        <w:rPr>
          <w:b/>
          <w:color w:val="auto"/>
        </w:rPr>
        <w:t xml:space="preserve">4  </w:t>
      </w:r>
      <w:r>
        <w:rPr>
          <w:rFonts w:hint="eastAsia"/>
          <w:color w:val="auto"/>
        </w:rPr>
        <w:t>焊接接头、钢筋机械连接接头力学性能应符合现行行业标准《钢筋焊接及验收规程》</w:t>
      </w:r>
      <w:r>
        <w:rPr>
          <w:color w:val="auto"/>
        </w:rPr>
        <w:t>JGJ 18</w:t>
      </w:r>
      <w:r>
        <w:rPr>
          <w:rFonts w:hint="eastAsia"/>
          <w:color w:val="auto"/>
        </w:rPr>
        <w:t>和《钢筋机械连接技术规程》</w:t>
      </w:r>
      <w:r>
        <w:rPr>
          <w:color w:val="auto"/>
        </w:rPr>
        <w:t>JGJ 107</w:t>
      </w:r>
      <w:r>
        <w:rPr>
          <w:rFonts w:hint="eastAsia"/>
          <w:color w:val="auto"/>
        </w:rPr>
        <w:t>的规定；</w:t>
      </w:r>
    </w:p>
    <w:p w14:paraId="7F22788A">
      <w:pPr>
        <w:spacing w:line="312" w:lineRule="auto"/>
        <w:ind w:firstLine="422" w:firstLineChars="200"/>
        <w:rPr>
          <w:color w:val="auto"/>
        </w:rPr>
      </w:pPr>
      <w:r>
        <w:rPr>
          <w:rFonts w:hint="eastAsia"/>
          <w:b/>
          <w:bCs/>
          <w:color w:val="auto"/>
        </w:rPr>
        <w:t>5</w:t>
      </w:r>
      <w:r>
        <w:rPr>
          <w:rFonts w:hint="eastAsia"/>
          <w:color w:val="auto"/>
        </w:rPr>
        <w:t xml:space="preserve">  钢筋宜采用自动化机械设备加工。</w:t>
      </w:r>
    </w:p>
    <w:p w14:paraId="7C21F008">
      <w:pPr>
        <w:pStyle w:val="33"/>
        <w:rPr>
          <w:color w:val="auto"/>
        </w:rPr>
      </w:pPr>
      <w:r>
        <w:rPr>
          <w:rFonts w:hint="eastAsia" w:ascii="楷体" w:hAnsi="楷体" w:cs="楷体"/>
          <w:color w:val="auto"/>
          <w:szCs w:val="21"/>
        </w:rPr>
        <w:t>【条文说明】</w:t>
      </w:r>
      <w:r>
        <w:rPr>
          <w:rFonts w:hint="eastAsia"/>
          <w:color w:val="auto"/>
        </w:rPr>
        <w:t>钢筋连接质量好坏关系到结构安全，本条提出了钢筋连接必须进行工艺检验的要求，在施工过程中重点检查。尤其是钢筋螺纹接头以及半套筒灌浆连接接头、机械连接端安装时，可根据安装需要采用管钳、扭力扳手等工具，安装后应使用专用扭力扳手校核拧紧力矩，安装用扭力扳手和校核用扭力扳手应区分使用，二者的精度、校准要求均有所不同。模块化建筑中使用自动化机械设备进行钢筋加工与制作，可减少钢筋损耗且有利于质量控制，有条件时应尽量采用。自动化机械设备进行钢筋调直、切割和弯折，其性能应符合现行行业标准《混凝土结构用成型钢筋》JG/T 226的规定。</w:t>
      </w:r>
    </w:p>
    <w:p w14:paraId="7D6A43FF">
      <w:pPr>
        <w:numPr>
          <w:ilvl w:val="0"/>
          <w:numId w:val="28"/>
        </w:numPr>
        <w:spacing w:line="312" w:lineRule="auto"/>
        <w:rPr>
          <w:color w:val="auto"/>
        </w:rPr>
      </w:pPr>
      <w:r>
        <w:rPr>
          <w:rFonts w:hint="eastAsia"/>
          <w:color w:val="auto"/>
        </w:rPr>
        <w:t>钢筋网片、钢筋骨架和钢筋桁架等半成品应检查合格后进行安装，并应符合下列规定：</w:t>
      </w:r>
    </w:p>
    <w:p w14:paraId="04345E8E">
      <w:pPr>
        <w:spacing w:line="312" w:lineRule="auto"/>
        <w:ind w:firstLine="422" w:firstLineChars="200"/>
        <w:rPr>
          <w:color w:val="auto"/>
          <w:szCs w:val="24"/>
        </w:rPr>
      </w:pPr>
      <w:r>
        <w:rPr>
          <w:b/>
          <w:color w:val="auto"/>
          <w:szCs w:val="24"/>
        </w:rPr>
        <w:t xml:space="preserve">1  </w:t>
      </w:r>
      <w:r>
        <w:rPr>
          <w:rFonts w:hint="eastAsia"/>
          <w:color w:val="auto"/>
          <w:szCs w:val="24"/>
        </w:rPr>
        <w:t>钢筋表面不得有油污，不应严重锈蚀；</w:t>
      </w:r>
    </w:p>
    <w:p w14:paraId="5D50AA7C">
      <w:pPr>
        <w:spacing w:line="312" w:lineRule="auto"/>
        <w:ind w:firstLine="422" w:firstLineChars="200"/>
        <w:rPr>
          <w:color w:val="auto"/>
          <w:szCs w:val="24"/>
        </w:rPr>
      </w:pPr>
      <w:r>
        <w:rPr>
          <w:b/>
          <w:color w:val="auto"/>
          <w:szCs w:val="24"/>
        </w:rPr>
        <w:t xml:space="preserve">2  </w:t>
      </w:r>
      <w:r>
        <w:rPr>
          <w:rFonts w:hint="eastAsia"/>
          <w:color w:val="auto"/>
          <w:szCs w:val="24"/>
        </w:rPr>
        <w:t>钢筋网片和钢筋骨架宜采用专用吊具进行吊运；</w:t>
      </w:r>
    </w:p>
    <w:p w14:paraId="2E3BBB89">
      <w:pPr>
        <w:spacing w:line="312" w:lineRule="auto"/>
        <w:ind w:firstLine="422" w:firstLineChars="200"/>
        <w:rPr>
          <w:color w:val="auto"/>
          <w:szCs w:val="24"/>
        </w:rPr>
      </w:pPr>
      <w:r>
        <w:rPr>
          <w:b/>
          <w:color w:val="auto"/>
          <w:szCs w:val="24"/>
        </w:rPr>
        <w:t xml:space="preserve">3  </w:t>
      </w:r>
      <w:r>
        <w:rPr>
          <w:rFonts w:hint="eastAsia"/>
          <w:color w:val="auto"/>
          <w:szCs w:val="24"/>
        </w:rPr>
        <w:t>保护层垫块间距应满足钢筋限位及变形控制要求，钢筋绑扎丝甩扣应弯向构件内侧。垫块宜与钢筋骨架或网片绑扎牢固，按梅花状布置；</w:t>
      </w:r>
    </w:p>
    <w:p w14:paraId="55D9CA49">
      <w:pPr>
        <w:spacing w:line="312" w:lineRule="auto"/>
        <w:ind w:firstLine="422" w:firstLineChars="200"/>
        <w:rPr>
          <w:color w:val="auto"/>
          <w:szCs w:val="24"/>
        </w:rPr>
      </w:pPr>
      <w:r>
        <w:rPr>
          <w:rFonts w:hint="eastAsia"/>
          <w:b/>
          <w:bCs/>
          <w:color w:val="auto"/>
          <w:szCs w:val="24"/>
        </w:rPr>
        <w:t>4</w:t>
      </w:r>
      <w:r>
        <w:rPr>
          <w:rFonts w:hint="eastAsia"/>
          <w:color w:val="auto"/>
          <w:szCs w:val="24"/>
        </w:rPr>
        <w:t xml:space="preserve">  钢筋成品的尺寸偏差应符合表9.3.2-1的规定，钢筋桁架的尺寸偏差应符合表9.3.2-2的规定。</w:t>
      </w:r>
    </w:p>
    <w:p w14:paraId="64ABC6AF">
      <w:pPr>
        <w:pStyle w:val="26"/>
        <w:rPr>
          <w:color w:val="auto"/>
        </w:rPr>
      </w:pPr>
      <w:r>
        <w:rPr>
          <w:rFonts w:hint="eastAsia"/>
          <w:color w:val="auto"/>
        </w:rPr>
        <w:t>表</w:t>
      </w:r>
      <w:r>
        <w:rPr>
          <w:b/>
          <w:color w:val="auto"/>
        </w:rPr>
        <w:t>9</w:t>
      </w:r>
      <w:r>
        <w:rPr>
          <w:rFonts w:ascii="宋体" w:hAnsi="宋体"/>
          <w:b/>
          <w:color w:val="auto"/>
        </w:rPr>
        <w:t>.</w:t>
      </w:r>
      <w:r>
        <w:rPr>
          <w:rFonts w:hint="eastAsia"/>
          <w:b/>
          <w:color w:val="auto"/>
        </w:rPr>
        <w:t>3</w:t>
      </w:r>
      <w:r>
        <w:rPr>
          <w:rFonts w:ascii="宋体" w:hAnsi="宋体"/>
          <w:b/>
          <w:color w:val="auto"/>
        </w:rPr>
        <w:t>.</w:t>
      </w:r>
      <w:r>
        <w:rPr>
          <w:rFonts w:hint="eastAsia"/>
          <w:b/>
          <w:color w:val="auto"/>
        </w:rPr>
        <w:t>2-1</w:t>
      </w:r>
      <w:r>
        <w:rPr>
          <w:color w:val="auto"/>
        </w:rPr>
        <w:t xml:space="preserve">  </w:t>
      </w:r>
      <w:r>
        <w:rPr>
          <w:rFonts w:hint="eastAsia"/>
          <w:color w:val="auto"/>
        </w:rPr>
        <w:t>钢筋成品的允许偏差和检验方法</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053"/>
        <w:gridCol w:w="1054"/>
        <w:gridCol w:w="1701"/>
        <w:gridCol w:w="3402"/>
      </w:tblGrid>
      <w:tr w14:paraId="107FBE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24" w:hRule="atLeast"/>
          <w:jc w:val="center"/>
        </w:trPr>
        <w:tc>
          <w:tcPr>
            <w:tcW w:w="2840" w:type="dxa"/>
            <w:gridSpan w:val="3"/>
            <w:vAlign w:val="center"/>
          </w:tcPr>
          <w:p w14:paraId="0DC3DCCB">
            <w:pPr>
              <w:adjustRightInd w:val="0"/>
              <w:snapToGrid w:val="0"/>
              <w:jc w:val="center"/>
              <w:rPr>
                <w:color w:val="auto"/>
                <w:sz w:val="15"/>
                <w:szCs w:val="15"/>
              </w:rPr>
            </w:pPr>
            <w:r>
              <w:rPr>
                <w:rFonts w:hint="eastAsia"/>
                <w:color w:val="auto"/>
                <w:sz w:val="15"/>
                <w:szCs w:val="15"/>
              </w:rPr>
              <w:t>项目</w:t>
            </w:r>
          </w:p>
        </w:tc>
        <w:tc>
          <w:tcPr>
            <w:tcW w:w="1701" w:type="dxa"/>
            <w:vAlign w:val="center"/>
          </w:tcPr>
          <w:p w14:paraId="3D24F47F">
            <w:pPr>
              <w:adjustRightInd w:val="0"/>
              <w:snapToGrid w:val="0"/>
              <w:jc w:val="center"/>
              <w:rPr>
                <w:color w:val="auto"/>
                <w:sz w:val="15"/>
                <w:szCs w:val="15"/>
              </w:rPr>
            </w:pPr>
            <w:r>
              <w:rPr>
                <w:rFonts w:hint="eastAsia"/>
                <w:color w:val="auto"/>
                <w:sz w:val="15"/>
                <w:szCs w:val="15"/>
              </w:rPr>
              <w:t>允许偏差</w:t>
            </w:r>
          </w:p>
          <w:p w14:paraId="1CC2642C">
            <w:pPr>
              <w:adjustRightInd w:val="0"/>
              <w:snapToGrid w:val="0"/>
              <w:jc w:val="center"/>
              <w:rPr>
                <w:color w:val="auto"/>
                <w:sz w:val="15"/>
                <w:szCs w:val="15"/>
              </w:rPr>
            </w:pPr>
            <w:r>
              <w:rPr>
                <w:rFonts w:hint="eastAsia"/>
                <w:color w:val="auto"/>
                <w:sz w:val="15"/>
                <w:szCs w:val="15"/>
              </w:rPr>
              <w:t>(mm)</w:t>
            </w:r>
          </w:p>
        </w:tc>
        <w:tc>
          <w:tcPr>
            <w:tcW w:w="3402" w:type="dxa"/>
            <w:vAlign w:val="center"/>
          </w:tcPr>
          <w:p w14:paraId="5F8486E8">
            <w:pPr>
              <w:adjustRightInd w:val="0"/>
              <w:snapToGrid w:val="0"/>
              <w:jc w:val="center"/>
              <w:rPr>
                <w:color w:val="auto"/>
                <w:sz w:val="15"/>
                <w:szCs w:val="15"/>
              </w:rPr>
            </w:pPr>
            <w:r>
              <w:rPr>
                <w:rFonts w:hint="eastAsia"/>
                <w:color w:val="auto"/>
                <w:sz w:val="15"/>
                <w:szCs w:val="15"/>
              </w:rPr>
              <w:t>检验方法</w:t>
            </w:r>
          </w:p>
        </w:tc>
      </w:tr>
      <w:tr w14:paraId="0A451B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restart"/>
            <w:vAlign w:val="center"/>
          </w:tcPr>
          <w:p w14:paraId="59B728CF">
            <w:pPr>
              <w:spacing w:line="312" w:lineRule="auto"/>
              <w:jc w:val="center"/>
              <w:rPr>
                <w:color w:val="auto"/>
                <w:sz w:val="15"/>
                <w:szCs w:val="15"/>
              </w:rPr>
            </w:pPr>
            <w:r>
              <w:rPr>
                <w:rFonts w:hint="eastAsia"/>
                <w:color w:val="auto"/>
                <w:sz w:val="15"/>
                <w:szCs w:val="15"/>
              </w:rPr>
              <w:t>钢筋</w:t>
            </w:r>
          </w:p>
          <w:p w14:paraId="7FD0A436">
            <w:pPr>
              <w:spacing w:line="312" w:lineRule="auto"/>
              <w:jc w:val="center"/>
              <w:rPr>
                <w:color w:val="auto"/>
                <w:sz w:val="15"/>
                <w:szCs w:val="15"/>
              </w:rPr>
            </w:pPr>
            <w:r>
              <w:rPr>
                <w:rFonts w:hint="eastAsia"/>
                <w:color w:val="auto"/>
                <w:sz w:val="15"/>
                <w:szCs w:val="15"/>
              </w:rPr>
              <w:t>网片</w:t>
            </w:r>
          </w:p>
        </w:tc>
        <w:tc>
          <w:tcPr>
            <w:tcW w:w="2107" w:type="dxa"/>
            <w:gridSpan w:val="2"/>
            <w:vAlign w:val="center"/>
          </w:tcPr>
          <w:p w14:paraId="05B7D594">
            <w:pPr>
              <w:spacing w:line="312" w:lineRule="auto"/>
              <w:jc w:val="center"/>
              <w:rPr>
                <w:color w:val="auto"/>
                <w:sz w:val="15"/>
                <w:szCs w:val="15"/>
              </w:rPr>
            </w:pPr>
            <w:r>
              <w:rPr>
                <w:rFonts w:hint="eastAsia"/>
                <w:color w:val="auto"/>
                <w:sz w:val="15"/>
                <w:szCs w:val="15"/>
              </w:rPr>
              <w:t>长、宽</w:t>
            </w:r>
          </w:p>
        </w:tc>
        <w:tc>
          <w:tcPr>
            <w:tcW w:w="1701" w:type="dxa"/>
            <w:vAlign w:val="center"/>
          </w:tcPr>
          <w:p w14:paraId="27E45D93">
            <w:pPr>
              <w:spacing w:line="312" w:lineRule="auto"/>
              <w:jc w:val="center"/>
              <w:rPr>
                <w:color w:val="auto"/>
                <w:sz w:val="15"/>
                <w:szCs w:val="15"/>
              </w:rPr>
            </w:pPr>
            <w:r>
              <w:rPr>
                <w:rFonts w:hint="eastAsia"/>
                <w:color w:val="auto"/>
                <w:sz w:val="15"/>
                <w:szCs w:val="15"/>
              </w:rPr>
              <w:t>±5</w:t>
            </w:r>
          </w:p>
        </w:tc>
        <w:tc>
          <w:tcPr>
            <w:tcW w:w="3402" w:type="dxa"/>
            <w:vAlign w:val="center"/>
          </w:tcPr>
          <w:p w14:paraId="3B634F48">
            <w:pPr>
              <w:spacing w:line="312" w:lineRule="auto"/>
              <w:jc w:val="center"/>
              <w:rPr>
                <w:color w:val="auto"/>
                <w:sz w:val="15"/>
                <w:szCs w:val="15"/>
              </w:rPr>
            </w:pPr>
            <w:r>
              <w:rPr>
                <w:rFonts w:hint="eastAsia"/>
                <w:color w:val="auto"/>
                <w:sz w:val="15"/>
                <w:szCs w:val="15"/>
              </w:rPr>
              <w:t>钢尺检查</w:t>
            </w:r>
          </w:p>
        </w:tc>
      </w:tr>
      <w:tr w14:paraId="76D8D8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299C3F21">
            <w:pPr>
              <w:spacing w:line="312" w:lineRule="auto"/>
              <w:jc w:val="center"/>
              <w:rPr>
                <w:color w:val="auto"/>
                <w:sz w:val="15"/>
                <w:szCs w:val="15"/>
              </w:rPr>
            </w:pPr>
          </w:p>
        </w:tc>
        <w:tc>
          <w:tcPr>
            <w:tcW w:w="2107" w:type="dxa"/>
            <w:gridSpan w:val="2"/>
            <w:vAlign w:val="center"/>
          </w:tcPr>
          <w:p w14:paraId="58FADF63">
            <w:pPr>
              <w:spacing w:line="312" w:lineRule="auto"/>
              <w:jc w:val="center"/>
              <w:rPr>
                <w:color w:val="auto"/>
                <w:sz w:val="15"/>
                <w:szCs w:val="15"/>
              </w:rPr>
            </w:pPr>
            <w:r>
              <w:rPr>
                <w:rFonts w:hint="eastAsia"/>
                <w:color w:val="auto"/>
                <w:sz w:val="15"/>
                <w:szCs w:val="15"/>
              </w:rPr>
              <w:t>网眼尺寸</w:t>
            </w:r>
          </w:p>
        </w:tc>
        <w:tc>
          <w:tcPr>
            <w:tcW w:w="1701" w:type="dxa"/>
            <w:vAlign w:val="center"/>
          </w:tcPr>
          <w:p w14:paraId="0E09D0C0">
            <w:pPr>
              <w:spacing w:line="312" w:lineRule="auto"/>
              <w:jc w:val="center"/>
              <w:rPr>
                <w:color w:val="auto"/>
                <w:sz w:val="15"/>
                <w:szCs w:val="15"/>
              </w:rPr>
            </w:pPr>
            <w:r>
              <w:rPr>
                <w:rFonts w:hint="eastAsia"/>
                <w:color w:val="auto"/>
                <w:sz w:val="15"/>
                <w:szCs w:val="15"/>
              </w:rPr>
              <w:t>±10</w:t>
            </w:r>
          </w:p>
        </w:tc>
        <w:tc>
          <w:tcPr>
            <w:tcW w:w="3402" w:type="dxa"/>
            <w:vAlign w:val="center"/>
          </w:tcPr>
          <w:p w14:paraId="5A5BF710">
            <w:pPr>
              <w:spacing w:line="312" w:lineRule="auto"/>
              <w:jc w:val="center"/>
              <w:rPr>
                <w:color w:val="auto"/>
                <w:sz w:val="15"/>
                <w:szCs w:val="15"/>
              </w:rPr>
            </w:pPr>
            <w:r>
              <w:rPr>
                <w:rFonts w:hint="eastAsia"/>
                <w:color w:val="auto"/>
                <w:sz w:val="15"/>
                <w:szCs w:val="15"/>
              </w:rPr>
              <w:t>钢尺检查</w:t>
            </w:r>
          </w:p>
        </w:tc>
      </w:tr>
      <w:tr w14:paraId="13BBE0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424E03F2">
            <w:pPr>
              <w:spacing w:line="312" w:lineRule="auto"/>
              <w:jc w:val="center"/>
              <w:rPr>
                <w:color w:val="auto"/>
                <w:sz w:val="15"/>
                <w:szCs w:val="15"/>
              </w:rPr>
            </w:pPr>
          </w:p>
        </w:tc>
        <w:tc>
          <w:tcPr>
            <w:tcW w:w="2107" w:type="dxa"/>
            <w:gridSpan w:val="2"/>
            <w:vAlign w:val="center"/>
          </w:tcPr>
          <w:p w14:paraId="3606313B">
            <w:pPr>
              <w:spacing w:line="312" w:lineRule="auto"/>
              <w:jc w:val="center"/>
              <w:rPr>
                <w:color w:val="auto"/>
                <w:sz w:val="15"/>
                <w:szCs w:val="15"/>
              </w:rPr>
            </w:pPr>
            <w:r>
              <w:rPr>
                <w:rFonts w:hint="eastAsia"/>
                <w:color w:val="auto"/>
                <w:sz w:val="15"/>
                <w:szCs w:val="15"/>
              </w:rPr>
              <w:t>对角线</w:t>
            </w:r>
          </w:p>
        </w:tc>
        <w:tc>
          <w:tcPr>
            <w:tcW w:w="1701" w:type="dxa"/>
            <w:vAlign w:val="center"/>
          </w:tcPr>
          <w:p w14:paraId="6E7AA8A1">
            <w:pPr>
              <w:spacing w:line="312" w:lineRule="auto"/>
              <w:jc w:val="center"/>
              <w:rPr>
                <w:color w:val="auto"/>
                <w:sz w:val="15"/>
                <w:szCs w:val="15"/>
              </w:rPr>
            </w:pPr>
            <w:r>
              <w:rPr>
                <w:rFonts w:hint="eastAsia"/>
                <w:color w:val="auto"/>
                <w:sz w:val="15"/>
                <w:szCs w:val="15"/>
              </w:rPr>
              <w:t>5</w:t>
            </w:r>
          </w:p>
        </w:tc>
        <w:tc>
          <w:tcPr>
            <w:tcW w:w="3402" w:type="dxa"/>
            <w:vAlign w:val="center"/>
          </w:tcPr>
          <w:p w14:paraId="2D832025">
            <w:pPr>
              <w:spacing w:line="312" w:lineRule="auto"/>
              <w:jc w:val="center"/>
              <w:rPr>
                <w:color w:val="auto"/>
                <w:sz w:val="15"/>
                <w:szCs w:val="15"/>
              </w:rPr>
            </w:pPr>
            <w:r>
              <w:rPr>
                <w:rFonts w:hint="eastAsia"/>
                <w:color w:val="auto"/>
                <w:sz w:val="15"/>
                <w:szCs w:val="15"/>
              </w:rPr>
              <w:t>钢尺检查</w:t>
            </w:r>
          </w:p>
        </w:tc>
      </w:tr>
      <w:tr w14:paraId="2835D2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15B9DB21">
            <w:pPr>
              <w:spacing w:line="312" w:lineRule="auto"/>
              <w:jc w:val="center"/>
              <w:rPr>
                <w:color w:val="auto"/>
                <w:sz w:val="15"/>
                <w:szCs w:val="15"/>
              </w:rPr>
            </w:pPr>
          </w:p>
        </w:tc>
        <w:tc>
          <w:tcPr>
            <w:tcW w:w="2107" w:type="dxa"/>
            <w:gridSpan w:val="2"/>
            <w:vAlign w:val="center"/>
          </w:tcPr>
          <w:p w14:paraId="615E881C">
            <w:pPr>
              <w:spacing w:line="312" w:lineRule="auto"/>
              <w:jc w:val="center"/>
              <w:rPr>
                <w:color w:val="auto"/>
                <w:sz w:val="15"/>
                <w:szCs w:val="15"/>
              </w:rPr>
            </w:pPr>
            <w:r>
              <w:rPr>
                <w:rFonts w:hint="eastAsia"/>
                <w:color w:val="auto"/>
                <w:sz w:val="15"/>
                <w:szCs w:val="15"/>
              </w:rPr>
              <w:t>端头不齐</w:t>
            </w:r>
          </w:p>
        </w:tc>
        <w:tc>
          <w:tcPr>
            <w:tcW w:w="1701" w:type="dxa"/>
            <w:vAlign w:val="center"/>
          </w:tcPr>
          <w:p w14:paraId="51781E36">
            <w:pPr>
              <w:spacing w:line="312" w:lineRule="auto"/>
              <w:jc w:val="center"/>
              <w:rPr>
                <w:color w:val="auto"/>
                <w:sz w:val="15"/>
                <w:szCs w:val="15"/>
              </w:rPr>
            </w:pPr>
            <w:r>
              <w:rPr>
                <w:rFonts w:hint="eastAsia"/>
                <w:color w:val="auto"/>
                <w:sz w:val="15"/>
                <w:szCs w:val="15"/>
              </w:rPr>
              <w:t>5</w:t>
            </w:r>
          </w:p>
        </w:tc>
        <w:tc>
          <w:tcPr>
            <w:tcW w:w="3402" w:type="dxa"/>
            <w:vAlign w:val="center"/>
          </w:tcPr>
          <w:p w14:paraId="3B7BB277">
            <w:pPr>
              <w:spacing w:line="312" w:lineRule="auto"/>
              <w:jc w:val="center"/>
              <w:rPr>
                <w:color w:val="auto"/>
                <w:sz w:val="15"/>
                <w:szCs w:val="15"/>
              </w:rPr>
            </w:pPr>
            <w:r>
              <w:rPr>
                <w:rFonts w:hint="eastAsia"/>
                <w:color w:val="auto"/>
                <w:sz w:val="15"/>
                <w:szCs w:val="15"/>
              </w:rPr>
              <w:t>钢尺检查</w:t>
            </w:r>
          </w:p>
        </w:tc>
      </w:tr>
      <w:tr w14:paraId="20EA34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restart"/>
            <w:vAlign w:val="center"/>
          </w:tcPr>
          <w:p w14:paraId="47C7B9F5">
            <w:pPr>
              <w:spacing w:line="312" w:lineRule="auto"/>
              <w:jc w:val="center"/>
              <w:rPr>
                <w:color w:val="auto"/>
                <w:sz w:val="15"/>
                <w:szCs w:val="15"/>
              </w:rPr>
            </w:pPr>
            <w:r>
              <w:rPr>
                <w:rFonts w:hint="eastAsia"/>
                <w:color w:val="auto"/>
                <w:sz w:val="15"/>
                <w:szCs w:val="15"/>
              </w:rPr>
              <w:t>钢筋</w:t>
            </w:r>
          </w:p>
          <w:p w14:paraId="4456CF16">
            <w:pPr>
              <w:spacing w:line="312" w:lineRule="auto"/>
              <w:jc w:val="center"/>
              <w:rPr>
                <w:color w:val="auto"/>
                <w:sz w:val="15"/>
                <w:szCs w:val="15"/>
              </w:rPr>
            </w:pPr>
            <w:r>
              <w:rPr>
                <w:rFonts w:hint="eastAsia"/>
                <w:color w:val="auto"/>
                <w:sz w:val="15"/>
                <w:szCs w:val="15"/>
              </w:rPr>
              <w:t>骨架</w:t>
            </w:r>
          </w:p>
        </w:tc>
        <w:tc>
          <w:tcPr>
            <w:tcW w:w="2107" w:type="dxa"/>
            <w:gridSpan w:val="2"/>
            <w:vAlign w:val="center"/>
          </w:tcPr>
          <w:p w14:paraId="2F9053E2">
            <w:pPr>
              <w:spacing w:line="312" w:lineRule="auto"/>
              <w:jc w:val="center"/>
              <w:rPr>
                <w:color w:val="auto"/>
                <w:sz w:val="15"/>
                <w:szCs w:val="15"/>
              </w:rPr>
            </w:pPr>
            <w:r>
              <w:rPr>
                <w:rFonts w:hint="eastAsia"/>
                <w:color w:val="auto"/>
                <w:sz w:val="15"/>
                <w:szCs w:val="15"/>
              </w:rPr>
              <w:t>长</w:t>
            </w:r>
          </w:p>
        </w:tc>
        <w:tc>
          <w:tcPr>
            <w:tcW w:w="1701" w:type="dxa"/>
            <w:vAlign w:val="center"/>
          </w:tcPr>
          <w:p w14:paraId="46815165">
            <w:pPr>
              <w:spacing w:line="312" w:lineRule="auto"/>
              <w:jc w:val="center"/>
              <w:rPr>
                <w:color w:val="auto"/>
                <w:sz w:val="15"/>
                <w:szCs w:val="15"/>
              </w:rPr>
            </w:pPr>
            <w:r>
              <w:rPr>
                <w:rFonts w:hint="eastAsia"/>
                <w:color w:val="auto"/>
                <w:sz w:val="15"/>
                <w:szCs w:val="15"/>
              </w:rPr>
              <w:t>0，-5</w:t>
            </w:r>
          </w:p>
        </w:tc>
        <w:tc>
          <w:tcPr>
            <w:tcW w:w="3402" w:type="dxa"/>
            <w:vAlign w:val="center"/>
          </w:tcPr>
          <w:p w14:paraId="19D654CE">
            <w:pPr>
              <w:spacing w:line="312" w:lineRule="auto"/>
              <w:jc w:val="center"/>
              <w:rPr>
                <w:color w:val="auto"/>
                <w:sz w:val="15"/>
                <w:szCs w:val="15"/>
              </w:rPr>
            </w:pPr>
            <w:r>
              <w:rPr>
                <w:rFonts w:hint="eastAsia"/>
                <w:color w:val="auto"/>
                <w:sz w:val="15"/>
                <w:szCs w:val="15"/>
              </w:rPr>
              <w:t>钢尺检查</w:t>
            </w:r>
          </w:p>
        </w:tc>
      </w:tr>
      <w:tr w14:paraId="5179E8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04453DA1">
            <w:pPr>
              <w:spacing w:line="312" w:lineRule="auto"/>
              <w:jc w:val="center"/>
              <w:rPr>
                <w:color w:val="auto"/>
                <w:sz w:val="15"/>
                <w:szCs w:val="15"/>
              </w:rPr>
            </w:pPr>
          </w:p>
        </w:tc>
        <w:tc>
          <w:tcPr>
            <w:tcW w:w="2107" w:type="dxa"/>
            <w:gridSpan w:val="2"/>
            <w:vAlign w:val="center"/>
          </w:tcPr>
          <w:p w14:paraId="5F21BDB7">
            <w:pPr>
              <w:spacing w:line="312" w:lineRule="auto"/>
              <w:jc w:val="center"/>
              <w:rPr>
                <w:color w:val="auto"/>
                <w:sz w:val="15"/>
                <w:szCs w:val="15"/>
              </w:rPr>
            </w:pPr>
            <w:r>
              <w:rPr>
                <w:rFonts w:hint="eastAsia"/>
                <w:color w:val="auto"/>
                <w:sz w:val="15"/>
                <w:szCs w:val="15"/>
              </w:rPr>
              <w:t>宽</w:t>
            </w:r>
          </w:p>
        </w:tc>
        <w:tc>
          <w:tcPr>
            <w:tcW w:w="1701" w:type="dxa"/>
            <w:vAlign w:val="center"/>
          </w:tcPr>
          <w:p w14:paraId="31227293">
            <w:pPr>
              <w:spacing w:line="312" w:lineRule="auto"/>
              <w:jc w:val="center"/>
              <w:rPr>
                <w:color w:val="auto"/>
                <w:sz w:val="15"/>
                <w:szCs w:val="15"/>
              </w:rPr>
            </w:pPr>
            <w:r>
              <w:rPr>
                <w:rFonts w:hint="eastAsia"/>
                <w:color w:val="auto"/>
                <w:sz w:val="15"/>
                <w:szCs w:val="15"/>
              </w:rPr>
              <w:t>±5</w:t>
            </w:r>
          </w:p>
        </w:tc>
        <w:tc>
          <w:tcPr>
            <w:tcW w:w="3402" w:type="dxa"/>
            <w:vAlign w:val="center"/>
          </w:tcPr>
          <w:p w14:paraId="13C0F06B">
            <w:pPr>
              <w:spacing w:line="312" w:lineRule="auto"/>
              <w:jc w:val="center"/>
              <w:rPr>
                <w:color w:val="auto"/>
                <w:sz w:val="15"/>
                <w:szCs w:val="15"/>
              </w:rPr>
            </w:pPr>
            <w:r>
              <w:rPr>
                <w:rFonts w:hint="eastAsia"/>
                <w:color w:val="auto"/>
                <w:sz w:val="15"/>
                <w:szCs w:val="15"/>
              </w:rPr>
              <w:t>钢尺检查</w:t>
            </w:r>
          </w:p>
        </w:tc>
      </w:tr>
      <w:tr w14:paraId="0F55ED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3111E3A3">
            <w:pPr>
              <w:spacing w:line="312" w:lineRule="auto"/>
              <w:jc w:val="center"/>
              <w:rPr>
                <w:color w:val="auto"/>
                <w:sz w:val="15"/>
                <w:szCs w:val="15"/>
              </w:rPr>
            </w:pPr>
          </w:p>
        </w:tc>
        <w:tc>
          <w:tcPr>
            <w:tcW w:w="2107" w:type="dxa"/>
            <w:gridSpan w:val="2"/>
            <w:vAlign w:val="center"/>
          </w:tcPr>
          <w:p w14:paraId="6BC595B0">
            <w:pPr>
              <w:spacing w:line="312" w:lineRule="auto"/>
              <w:jc w:val="center"/>
              <w:rPr>
                <w:color w:val="auto"/>
                <w:sz w:val="15"/>
                <w:szCs w:val="15"/>
              </w:rPr>
            </w:pPr>
            <w:r>
              <w:rPr>
                <w:rFonts w:hint="eastAsia"/>
                <w:color w:val="auto"/>
                <w:sz w:val="15"/>
                <w:szCs w:val="15"/>
              </w:rPr>
              <w:t>高（厚）</w:t>
            </w:r>
          </w:p>
        </w:tc>
        <w:tc>
          <w:tcPr>
            <w:tcW w:w="1701" w:type="dxa"/>
            <w:vAlign w:val="center"/>
          </w:tcPr>
          <w:p w14:paraId="41B0D7A0">
            <w:pPr>
              <w:spacing w:line="312" w:lineRule="auto"/>
              <w:jc w:val="center"/>
              <w:rPr>
                <w:color w:val="auto"/>
                <w:sz w:val="15"/>
                <w:szCs w:val="15"/>
              </w:rPr>
            </w:pPr>
            <w:r>
              <w:rPr>
                <w:rFonts w:hint="eastAsia"/>
                <w:color w:val="auto"/>
                <w:sz w:val="15"/>
                <w:szCs w:val="15"/>
              </w:rPr>
              <w:t>±5</w:t>
            </w:r>
          </w:p>
        </w:tc>
        <w:tc>
          <w:tcPr>
            <w:tcW w:w="3402" w:type="dxa"/>
            <w:vAlign w:val="center"/>
          </w:tcPr>
          <w:p w14:paraId="3EBD60E0">
            <w:pPr>
              <w:spacing w:line="312" w:lineRule="auto"/>
              <w:jc w:val="center"/>
              <w:rPr>
                <w:color w:val="auto"/>
                <w:sz w:val="15"/>
                <w:szCs w:val="15"/>
              </w:rPr>
            </w:pPr>
            <w:r>
              <w:rPr>
                <w:rFonts w:hint="eastAsia"/>
                <w:color w:val="auto"/>
                <w:sz w:val="15"/>
                <w:szCs w:val="15"/>
              </w:rPr>
              <w:t>钢尺检查</w:t>
            </w:r>
          </w:p>
        </w:tc>
      </w:tr>
      <w:tr w14:paraId="243794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0A238487">
            <w:pPr>
              <w:spacing w:line="312" w:lineRule="auto"/>
              <w:jc w:val="center"/>
              <w:rPr>
                <w:color w:val="auto"/>
                <w:sz w:val="15"/>
                <w:szCs w:val="15"/>
              </w:rPr>
            </w:pPr>
          </w:p>
        </w:tc>
        <w:tc>
          <w:tcPr>
            <w:tcW w:w="2107" w:type="dxa"/>
            <w:gridSpan w:val="2"/>
            <w:vAlign w:val="center"/>
          </w:tcPr>
          <w:p w14:paraId="5FB571B3">
            <w:pPr>
              <w:spacing w:line="312" w:lineRule="auto"/>
              <w:jc w:val="center"/>
              <w:rPr>
                <w:color w:val="auto"/>
                <w:sz w:val="15"/>
                <w:szCs w:val="15"/>
              </w:rPr>
            </w:pPr>
            <w:r>
              <w:rPr>
                <w:rFonts w:hint="eastAsia"/>
                <w:color w:val="auto"/>
                <w:sz w:val="15"/>
                <w:szCs w:val="15"/>
              </w:rPr>
              <w:t>主筋间距</w:t>
            </w:r>
          </w:p>
        </w:tc>
        <w:tc>
          <w:tcPr>
            <w:tcW w:w="1701" w:type="dxa"/>
            <w:vAlign w:val="center"/>
          </w:tcPr>
          <w:p w14:paraId="3B34AA20">
            <w:pPr>
              <w:spacing w:line="312" w:lineRule="auto"/>
              <w:jc w:val="center"/>
              <w:rPr>
                <w:color w:val="auto"/>
                <w:sz w:val="15"/>
                <w:szCs w:val="15"/>
              </w:rPr>
            </w:pPr>
            <w:r>
              <w:rPr>
                <w:rFonts w:hint="eastAsia"/>
                <w:color w:val="auto"/>
                <w:sz w:val="15"/>
                <w:szCs w:val="15"/>
              </w:rPr>
              <w:t>±10</w:t>
            </w:r>
          </w:p>
        </w:tc>
        <w:tc>
          <w:tcPr>
            <w:tcW w:w="3402" w:type="dxa"/>
            <w:vAlign w:val="center"/>
          </w:tcPr>
          <w:p w14:paraId="31F47570">
            <w:pPr>
              <w:spacing w:line="312" w:lineRule="auto"/>
              <w:jc w:val="center"/>
              <w:rPr>
                <w:color w:val="auto"/>
                <w:sz w:val="15"/>
                <w:szCs w:val="15"/>
              </w:rPr>
            </w:pPr>
            <w:r>
              <w:rPr>
                <w:rFonts w:hint="eastAsia"/>
                <w:color w:val="auto"/>
                <w:sz w:val="15"/>
                <w:szCs w:val="15"/>
              </w:rPr>
              <w:t>钢尺量两端、中间各一点、取最大值</w:t>
            </w:r>
          </w:p>
        </w:tc>
      </w:tr>
      <w:tr w14:paraId="63980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01196623">
            <w:pPr>
              <w:spacing w:line="312" w:lineRule="auto"/>
              <w:jc w:val="center"/>
              <w:rPr>
                <w:color w:val="auto"/>
                <w:sz w:val="15"/>
                <w:szCs w:val="15"/>
              </w:rPr>
            </w:pPr>
          </w:p>
        </w:tc>
        <w:tc>
          <w:tcPr>
            <w:tcW w:w="2107" w:type="dxa"/>
            <w:gridSpan w:val="2"/>
            <w:vAlign w:val="center"/>
          </w:tcPr>
          <w:p w14:paraId="2EF851F3">
            <w:pPr>
              <w:spacing w:line="312" w:lineRule="auto"/>
              <w:jc w:val="center"/>
              <w:rPr>
                <w:color w:val="auto"/>
                <w:sz w:val="15"/>
                <w:szCs w:val="15"/>
              </w:rPr>
            </w:pPr>
            <w:r>
              <w:rPr>
                <w:rFonts w:hint="eastAsia"/>
                <w:color w:val="auto"/>
                <w:sz w:val="15"/>
                <w:szCs w:val="15"/>
              </w:rPr>
              <w:t>主筋排距</w:t>
            </w:r>
          </w:p>
        </w:tc>
        <w:tc>
          <w:tcPr>
            <w:tcW w:w="1701" w:type="dxa"/>
            <w:vAlign w:val="center"/>
          </w:tcPr>
          <w:p w14:paraId="03FE9020">
            <w:pPr>
              <w:spacing w:line="312" w:lineRule="auto"/>
              <w:jc w:val="center"/>
              <w:rPr>
                <w:color w:val="auto"/>
                <w:sz w:val="15"/>
                <w:szCs w:val="15"/>
              </w:rPr>
            </w:pPr>
            <w:r>
              <w:rPr>
                <w:rFonts w:hint="eastAsia"/>
                <w:color w:val="auto"/>
                <w:sz w:val="15"/>
                <w:szCs w:val="15"/>
              </w:rPr>
              <w:t>±5</w:t>
            </w:r>
          </w:p>
        </w:tc>
        <w:tc>
          <w:tcPr>
            <w:tcW w:w="3402" w:type="dxa"/>
            <w:vAlign w:val="center"/>
          </w:tcPr>
          <w:p w14:paraId="1C239F30">
            <w:pPr>
              <w:spacing w:line="312" w:lineRule="auto"/>
              <w:jc w:val="center"/>
              <w:rPr>
                <w:color w:val="auto"/>
                <w:sz w:val="15"/>
                <w:szCs w:val="15"/>
              </w:rPr>
            </w:pPr>
            <w:r>
              <w:rPr>
                <w:rFonts w:hint="eastAsia"/>
                <w:color w:val="auto"/>
                <w:sz w:val="15"/>
                <w:szCs w:val="15"/>
              </w:rPr>
              <w:t>钢尺量两端、中间各一点、取最大值</w:t>
            </w:r>
          </w:p>
        </w:tc>
      </w:tr>
      <w:tr w14:paraId="2F5306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29716B61">
            <w:pPr>
              <w:spacing w:line="312" w:lineRule="auto"/>
              <w:jc w:val="center"/>
              <w:rPr>
                <w:color w:val="auto"/>
                <w:sz w:val="15"/>
                <w:szCs w:val="15"/>
              </w:rPr>
            </w:pPr>
          </w:p>
        </w:tc>
        <w:tc>
          <w:tcPr>
            <w:tcW w:w="2107" w:type="dxa"/>
            <w:gridSpan w:val="2"/>
            <w:vAlign w:val="center"/>
          </w:tcPr>
          <w:p w14:paraId="5FFE5192">
            <w:pPr>
              <w:spacing w:line="312" w:lineRule="auto"/>
              <w:jc w:val="center"/>
              <w:rPr>
                <w:color w:val="auto"/>
                <w:sz w:val="15"/>
                <w:szCs w:val="15"/>
              </w:rPr>
            </w:pPr>
            <w:r>
              <w:rPr>
                <w:rFonts w:hint="eastAsia"/>
                <w:color w:val="auto"/>
                <w:sz w:val="15"/>
                <w:szCs w:val="15"/>
              </w:rPr>
              <w:t>箍筋间距</w:t>
            </w:r>
          </w:p>
        </w:tc>
        <w:tc>
          <w:tcPr>
            <w:tcW w:w="1701" w:type="dxa"/>
            <w:vAlign w:val="center"/>
          </w:tcPr>
          <w:p w14:paraId="17B9BB3D">
            <w:pPr>
              <w:spacing w:line="312" w:lineRule="auto"/>
              <w:jc w:val="center"/>
              <w:rPr>
                <w:color w:val="auto"/>
                <w:sz w:val="15"/>
                <w:szCs w:val="15"/>
              </w:rPr>
            </w:pPr>
            <w:r>
              <w:rPr>
                <w:rFonts w:hint="eastAsia"/>
                <w:color w:val="auto"/>
                <w:sz w:val="15"/>
                <w:szCs w:val="15"/>
              </w:rPr>
              <w:t>±10</w:t>
            </w:r>
          </w:p>
        </w:tc>
        <w:tc>
          <w:tcPr>
            <w:tcW w:w="3402" w:type="dxa"/>
            <w:vAlign w:val="center"/>
          </w:tcPr>
          <w:p w14:paraId="22C86376">
            <w:pPr>
              <w:spacing w:line="312" w:lineRule="auto"/>
              <w:jc w:val="center"/>
              <w:rPr>
                <w:color w:val="auto"/>
                <w:sz w:val="15"/>
                <w:szCs w:val="15"/>
              </w:rPr>
            </w:pPr>
            <w:r>
              <w:rPr>
                <w:rFonts w:hint="eastAsia"/>
                <w:color w:val="auto"/>
                <w:sz w:val="15"/>
                <w:szCs w:val="15"/>
              </w:rPr>
              <w:t>钢尺量连续三档，取最大值</w:t>
            </w:r>
          </w:p>
        </w:tc>
      </w:tr>
      <w:tr w14:paraId="623C1A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18C148AE">
            <w:pPr>
              <w:spacing w:line="312" w:lineRule="auto"/>
              <w:jc w:val="center"/>
              <w:rPr>
                <w:color w:val="auto"/>
                <w:sz w:val="15"/>
                <w:szCs w:val="15"/>
              </w:rPr>
            </w:pPr>
          </w:p>
        </w:tc>
        <w:tc>
          <w:tcPr>
            <w:tcW w:w="2107" w:type="dxa"/>
            <w:gridSpan w:val="2"/>
            <w:vAlign w:val="center"/>
          </w:tcPr>
          <w:p w14:paraId="3722C880">
            <w:pPr>
              <w:spacing w:line="312" w:lineRule="auto"/>
              <w:jc w:val="center"/>
              <w:rPr>
                <w:color w:val="auto"/>
                <w:sz w:val="15"/>
                <w:szCs w:val="15"/>
              </w:rPr>
            </w:pPr>
            <w:r>
              <w:rPr>
                <w:rFonts w:hint="eastAsia"/>
                <w:color w:val="auto"/>
                <w:sz w:val="15"/>
                <w:szCs w:val="15"/>
              </w:rPr>
              <w:t>弯起点位置</w:t>
            </w:r>
          </w:p>
        </w:tc>
        <w:tc>
          <w:tcPr>
            <w:tcW w:w="1701" w:type="dxa"/>
            <w:vAlign w:val="center"/>
          </w:tcPr>
          <w:p w14:paraId="3899915F">
            <w:pPr>
              <w:spacing w:line="312" w:lineRule="auto"/>
              <w:jc w:val="center"/>
              <w:rPr>
                <w:color w:val="auto"/>
                <w:sz w:val="15"/>
                <w:szCs w:val="15"/>
              </w:rPr>
            </w:pPr>
            <w:r>
              <w:rPr>
                <w:rFonts w:hint="eastAsia"/>
                <w:color w:val="auto"/>
                <w:sz w:val="15"/>
                <w:szCs w:val="15"/>
              </w:rPr>
              <w:t>15</w:t>
            </w:r>
          </w:p>
        </w:tc>
        <w:tc>
          <w:tcPr>
            <w:tcW w:w="3402" w:type="dxa"/>
            <w:vAlign w:val="center"/>
          </w:tcPr>
          <w:p w14:paraId="388C5029">
            <w:pPr>
              <w:spacing w:line="312" w:lineRule="auto"/>
              <w:jc w:val="center"/>
              <w:rPr>
                <w:color w:val="auto"/>
                <w:sz w:val="15"/>
                <w:szCs w:val="15"/>
              </w:rPr>
            </w:pPr>
            <w:r>
              <w:rPr>
                <w:rFonts w:hint="eastAsia"/>
                <w:color w:val="auto"/>
                <w:sz w:val="15"/>
                <w:szCs w:val="15"/>
              </w:rPr>
              <w:t>钢尺检查</w:t>
            </w:r>
          </w:p>
        </w:tc>
      </w:tr>
      <w:tr w14:paraId="00DF07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56EA4E3B">
            <w:pPr>
              <w:spacing w:line="312" w:lineRule="auto"/>
              <w:jc w:val="center"/>
              <w:rPr>
                <w:color w:val="auto"/>
                <w:sz w:val="15"/>
                <w:szCs w:val="15"/>
              </w:rPr>
            </w:pPr>
          </w:p>
        </w:tc>
        <w:tc>
          <w:tcPr>
            <w:tcW w:w="2107" w:type="dxa"/>
            <w:gridSpan w:val="2"/>
            <w:vAlign w:val="center"/>
          </w:tcPr>
          <w:p w14:paraId="05006FE3">
            <w:pPr>
              <w:spacing w:line="312" w:lineRule="auto"/>
              <w:jc w:val="center"/>
              <w:rPr>
                <w:color w:val="auto"/>
                <w:sz w:val="15"/>
                <w:szCs w:val="15"/>
              </w:rPr>
            </w:pPr>
            <w:r>
              <w:rPr>
                <w:rFonts w:hint="eastAsia"/>
                <w:color w:val="auto"/>
                <w:sz w:val="15"/>
                <w:szCs w:val="15"/>
              </w:rPr>
              <w:t>端头不齐</w:t>
            </w:r>
          </w:p>
        </w:tc>
        <w:tc>
          <w:tcPr>
            <w:tcW w:w="1701" w:type="dxa"/>
            <w:vAlign w:val="center"/>
          </w:tcPr>
          <w:p w14:paraId="7C0990AA">
            <w:pPr>
              <w:spacing w:line="312" w:lineRule="auto"/>
              <w:jc w:val="center"/>
              <w:rPr>
                <w:color w:val="auto"/>
                <w:sz w:val="15"/>
                <w:szCs w:val="15"/>
              </w:rPr>
            </w:pPr>
            <w:r>
              <w:rPr>
                <w:rFonts w:hint="eastAsia"/>
                <w:color w:val="auto"/>
                <w:sz w:val="15"/>
                <w:szCs w:val="15"/>
              </w:rPr>
              <w:t>5</w:t>
            </w:r>
          </w:p>
        </w:tc>
        <w:tc>
          <w:tcPr>
            <w:tcW w:w="3402" w:type="dxa"/>
            <w:vAlign w:val="center"/>
          </w:tcPr>
          <w:p w14:paraId="45E86443">
            <w:pPr>
              <w:spacing w:line="312" w:lineRule="auto"/>
              <w:jc w:val="center"/>
              <w:rPr>
                <w:color w:val="auto"/>
                <w:sz w:val="15"/>
                <w:szCs w:val="15"/>
              </w:rPr>
            </w:pPr>
            <w:r>
              <w:rPr>
                <w:rFonts w:hint="eastAsia"/>
                <w:color w:val="auto"/>
                <w:sz w:val="15"/>
                <w:szCs w:val="15"/>
              </w:rPr>
              <w:t>钢尺检查</w:t>
            </w:r>
          </w:p>
        </w:tc>
      </w:tr>
      <w:tr w14:paraId="71696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0D0F8E1B">
            <w:pPr>
              <w:spacing w:line="312" w:lineRule="auto"/>
              <w:jc w:val="center"/>
              <w:rPr>
                <w:color w:val="auto"/>
                <w:sz w:val="15"/>
                <w:szCs w:val="15"/>
              </w:rPr>
            </w:pPr>
          </w:p>
        </w:tc>
        <w:tc>
          <w:tcPr>
            <w:tcW w:w="1053" w:type="dxa"/>
            <w:vMerge w:val="restart"/>
            <w:vAlign w:val="center"/>
          </w:tcPr>
          <w:p w14:paraId="4DEBD85D">
            <w:pPr>
              <w:spacing w:line="312" w:lineRule="auto"/>
              <w:jc w:val="center"/>
              <w:rPr>
                <w:color w:val="auto"/>
                <w:sz w:val="15"/>
                <w:szCs w:val="15"/>
              </w:rPr>
            </w:pPr>
            <w:r>
              <w:rPr>
                <w:rFonts w:hint="eastAsia"/>
                <w:color w:val="auto"/>
                <w:sz w:val="15"/>
                <w:szCs w:val="15"/>
              </w:rPr>
              <w:t>保护层</w:t>
            </w:r>
          </w:p>
        </w:tc>
        <w:tc>
          <w:tcPr>
            <w:tcW w:w="1054" w:type="dxa"/>
            <w:vAlign w:val="center"/>
          </w:tcPr>
          <w:p w14:paraId="526FB01F">
            <w:pPr>
              <w:spacing w:line="312" w:lineRule="auto"/>
              <w:jc w:val="center"/>
              <w:rPr>
                <w:color w:val="auto"/>
                <w:sz w:val="15"/>
                <w:szCs w:val="15"/>
              </w:rPr>
            </w:pPr>
            <w:r>
              <w:rPr>
                <w:rFonts w:hint="eastAsia"/>
                <w:color w:val="auto"/>
                <w:sz w:val="15"/>
                <w:szCs w:val="15"/>
              </w:rPr>
              <w:t>柱、梁</w:t>
            </w:r>
          </w:p>
        </w:tc>
        <w:tc>
          <w:tcPr>
            <w:tcW w:w="1701" w:type="dxa"/>
            <w:vAlign w:val="center"/>
          </w:tcPr>
          <w:p w14:paraId="56B8BD50">
            <w:pPr>
              <w:spacing w:line="312" w:lineRule="auto"/>
              <w:jc w:val="center"/>
              <w:rPr>
                <w:color w:val="auto"/>
                <w:sz w:val="15"/>
                <w:szCs w:val="15"/>
              </w:rPr>
            </w:pPr>
            <w:r>
              <w:rPr>
                <w:rFonts w:hint="eastAsia"/>
                <w:color w:val="auto"/>
                <w:sz w:val="15"/>
                <w:szCs w:val="15"/>
              </w:rPr>
              <w:t>±5</w:t>
            </w:r>
          </w:p>
        </w:tc>
        <w:tc>
          <w:tcPr>
            <w:tcW w:w="3402" w:type="dxa"/>
            <w:vAlign w:val="center"/>
          </w:tcPr>
          <w:p w14:paraId="4EE8C6EF">
            <w:pPr>
              <w:spacing w:line="312" w:lineRule="auto"/>
              <w:jc w:val="center"/>
              <w:rPr>
                <w:color w:val="auto"/>
                <w:sz w:val="15"/>
                <w:szCs w:val="15"/>
              </w:rPr>
            </w:pPr>
            <w:r>
              <w:rPr>
                <w:rFonts w:hint="eastAsia"/>
                <w:color w:val="auto"/>
                <w:sz w:val="15"/>
                <w:szCs w:val="15"/>
              </w:rPr>
              <w:t>钢尺检查</w:t>
            </w:r>
          </w:p>
        </w:tc>
      </w:tr>
      <w:tr w14:paraId="5F866F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Merge w:val="continue"/>
            <w:vAlign w:val="center"/>
          </w:tcPr>
          <w:p w14:paraId="7ADC12A8">
            <w:pPr>
              <w:spacing w:line="312" w:lineRule="auto"/>
              <w:jc w:val="center"/>
              <w:rPr>
                <w:color w:val="auto"/>
                <w:sz w:val="15"/>
                <w:szCs w:val="15"/>
              </w:rPr>
            </w:pPr>
          </w:p>
        </w:tc>
        <w:tc>
          <w:tcPr>
            <w:tcW w:w="1053" w:type="dxa"/>
            <w:vMerge w:val="continue"/>
            <w:vAlign w:val="center"/>
          </w:tcPr>
          <w:p w14:paraId="56F3F338">
            <w:pPr>
              <w:spacing w:line="312" w:lineRule="auto"/>
              <w:jc w:val="center"/>
              <w:rPr>
                <w:color w:val="auto"/>
                <w:sz w:val="15"/>
                <w:szCs w:val="15"/>
              </w:rPr>
            </w:pPr>
          </w:p>
        </w:tc>
        <w:tc>
          <w:tcPr>
            <w:tcW w:w="1054" w:type="dxa"/>
            <w:vAlign w:val="center"/>
          </w:tcPr>
          <w:p w14:paraId="5FAEBBE4">
            <w:pPr>
              <w:spacing w:line="312" w:lineRule="auto"/>
              <w:jc w:val="center"/>
              <w:rPr>
                <w:color w:val="auto"/>
                <w:sz w:val="15"/>
                <w:szCs w:val="15"/>
              </w:rPr>
            </w:pPr>
            <w:r>
              <w:rPr>
                <w:rFonts w:hint="eastAsia"/>
                <w:color w:val="auto"/>
                <w:sz w:val="15"/>
                <w:szCs w:val="15"/>
              </w:rPr>
              <w:t>板、墙</w:t>
            </w:r>
          </w:p>
        </w:tc>
        <w:tc>
          <w:tcPr>
            <w:tcW w:w="1701" w:type="dxa"/>
            <w:vAlign w:val="center"/>
          </w:tcPr>
          <w:p w14:paraId="573345CC">
            <w:pPr>
              <w:spacing w:line="312" w:lineRule="auto"/>
              <w:jc w:val="center"/>
              <w:rPr>
                <w:color w:val="auto"/>
                <w:sz w:val="15"/>
                <w:szCs w:val="15"/>
              </w:rPr>
            </w:pPr>
            <w:r>
              <w:rPr>
                <w:rFonts w:hint="eastAsia"/>
                <w:color w:val="auto"/>
                <w:sz w:val="15"/>
                <w:szCs w:val="15"/>
              </w:rPr>
              <w:t>±3</w:t>
            </w:r>
          </w:p>
        </w:tc>
        <w:tc>
          <w:tcPr>
            <w:tcW w:w="3402" w:type="dxa"/>
            <w:vAlign w:val="center"/>
          </w:tcPr>
          <w:p w14:paraId="059874F0">
            <w:pPr>
              <w:spacing w:line="312" w:lineRule="auto"/>
              <w:jc w:val="center"/>
              <w:rPr>
                <w:color w:val="auto"/>
                <w:sz w:val="15"/>
                <w:szCs w:val="15"/>
              </w:rPr>
            </w:pPr>
            <w:r>
              <w:rPr>
                <w:rFonts w:hint="eastAsia"/>
                <w:color w:val="auto"/>
                <w:sz w:val="15"/>
                <w:szCs w:val="15"/>
              </w:rPr>
              <w:t>钢尺检查</w:t>
            </w:r>
          </w:p>
        </w:tc>
      </w:tr>
    </w:tbl>
    <w:p w14:paraId="34149BD3">
      <w:pPr>
        <w:pStyle w:val="26"/>
        <w:rPr>
          <w:color w:val="auto"/>
        </w:rPr>
      </w:pPr>
      <w:r>
        <w:rPr>
          <w:rFonts w:hint="eastAsia"/>
          <w:color w:val="auto"/>
        </w:rPr>
        <w:t>表</w:t>
      </w:r>
      <w:r>
        <w:rPr>
          <w:b/>
          <w:color w:val="auto"/>
        </w:rPr>
        <w:t>9</w:t>
      </w:r>
      <w:r>
        <w:rPr>
          <w:rFonts w:ascii="宋体" w:hAnsi="宋体"/>
          <w:b/>
          <w:color w:val="auto"/>
        </w:rPr>
        <w:t>.</w:t>
      </w:r>
      <w:r>
        <w:rPr>
          <w:rFonts w:hint="eastAsia"/>
          <w:b/>
          <w:color w:val="auto"/>
        </w:rPr>
        <w:t>3</w:t>
      </w:r>
      <w:r>
        <w:rPr>
          <w:rFonts w:ascii="宋体" w:hAnsi="宋体"/>
          <w:b/>
          <w:color w:val="auto"/>
        </w:rPr>
        <w:t>.</w:t>
      </w:r>
      <w:r>
        <w:rPr>
          <w:rFonts w:hint="eastAsia"/>
          <w:b/>
          <w:color w:val="auto"/>
        </w:rPr>
        <w:t>2-2</w:t>
      </w:r>
      <w:r>
        <w:rPr>
          <w:color w:val="auto"/>
        </w:rPr>
        <w:t xml:space="preserve">  </w:t>
      </w:r>
      <w:r>
        <w:rPr>
          <w:rFonts w:hint="eastAsia"/>
          <w:color w:val="auto"/>
        </w:rPr>
        <w:t>钢筋桁架尺寸允许偏差</w:t>
      </w:r>
    </w:p>
    <w:tbl>
      <w:tblPr>
        <w:tblStyle w:val="18"/>
        <w:tblW w:w="0" w:type="auto"/>
        <w:tblInd w:w="29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3141"/>
        <w:gridCol w:w="3797"/>
      </w:tblGrid>
      <w:tr w14:paraId="050D63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14:paraId="71B17014">
            <w:pPr>
              <w:spacing w:line="312" w:lineRule="auto"/>
              <w:jc w:val="center"/>
              <w:rPr>
                <w:color w:val="auto"/>
                <w:sz w:val="15"/>
                <w:szCs w:val="15"/>
              </w:rPr>
            </w:pPr>
            <w:r>
              <w:rPr>
                <w:rFonts w:hint="eastAsia"/>
                <w:color w:val="auto"/>
                <w:sz w:val="15"/>
                <w:szCs w:val="15"/>
              </w:rPr>
              <w:t>项次</w:t>
            </w:r>
          </w:p>
        </w:tc>
        <w:tc>
          <w:tcPr>
            <w:tcW w:w="3141" w:type="dxa"/>
            <w:vAlign w:val="center"/>
          </w:tcPr>
          <w:p w14:paraId="0FBA8728">
            <w:pPr>
              <w:spacing w:line="312" w:lineRule="auto"/>
              <w:jc w:val="center"/>
              <w:rPr>
                <w:color w:val="auto"/>
                <w:sz w:val="15"/>
                <w:szCs w:val="15"/>
              </w:rPr>
            </w:pPr>
            <w:r>
              <w:rPr>
                <w:rFonts w:hint="eastAsia"/>
                <w:color w:val="auto"/>
                <w:sz w:val="15"/>
                <w:szCs w:val="15"/>
              </w:rPr>
              <w:t>检验项目</w:t>
            </w:r>
          </w:p>
        </w:tc>
        <w:tc>
          <w:tcPr>
            <w:tcW w:w="3797" w:type="dxa"/>
            <w:vAlign w:val="center"/>
          </w:tcPr>
          <w:p w14:paraId="36872416">
            <w:pPr>
              <w:adjustRightInd w:val="0"/>
              <w:snapToGrid w:val="0"/>
              <w:jc w:val="center"/>
              <w:rPr>
                <w:color w:val="auto"/>
                <w:sz w:val="15"/>
                <w:szCs w:val="15"/>
              </w:rPr>
            </w:pPr>
            <w:r>
              <w:rPr>
                <w:rFonts w:hint="eastAsia"/>
                <w:color w:val="auto"/>
                <w:sz w:val="15"/>
                <w:szCs w:val="15"/>
              </w:rPr>
              <w:t>允许偏差(mm)</w:t>
            </w:r>
          </w:p>
        </w:tc>
      </w:tr>
      <w:tr w14:paraId="31A1FB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14:paraId="2BA83991">
            <w:pPr>
              <w:spacing w:line="312" w:lineRule="auto"/>
              <w:jc w:val="center"/>
              <w:rPr>
                <w:color w:val="auto"/>
                <w:sz w:val="15"/>
                <w:szCs w:val="15"/>
              </w:rPr>
            </w:pPr>
            <w:r>
              <w:rPr>
                <w:rFonts w:hint="eastAsia"/>
                <w:color w:val="auto"/>
                <w:sz w:val="15"/>
                <w:szCs w:val="15"/>
              </w:rPr>
              <w:t>1</w:t>
            </w:r>
          </w:p>
        </w:tc>
        <w:tc>
          <w:tcPr>
            <w:tcW w:w="3141" w:type="dxa"/>
            <w:vAlign w:val="center"/>
          </w:tcPr>
          <w:p w14:paraId="6428A515">
            <w:pPr>
              <w:spacing w:line="312" w:lineRule="auto"/>
              <w:jc w:val="center"/>
              <w:rPr>
                <w:color w:val="auto"/>
                <w:sz w:val="15"/>
                <w:szCs w:val="15"/>
              </w:rPr>
            </w:pPr>
            <w:r>
              <w:rPr>
                <w:rFonts w:hint="eastAsia"/>
                <w:color w:val="auto"/>
                <w:sz w:val="15"/>
                <w:szCs w:val="15"/>
              </w:rPr>
              <w:t>长度</w:t>
            </w:r>
          </w:p>
        </w:tc>
        <w:tc>
          <w:tcPr>
            <w:tcW w:w="3797" w:type="dxa"/>
            <w:vAlign w:val="center"/>
          </w:tcPr>
          <w:p w14:paraId="7E0E4D35">
            <w:pPr>
              <w:spacing w:line="312" w:lineRule="auto"/>
              <w:jc w:val="center"/>
              <w:rPr>
                <w:color w:val="auto"/>
                <w:sz w:val="15"/>
                <w:szCs w:val="15"/>
              </w:rPr>
            </w:pPr>
            <w:r>
              <w:rPr>
                <w:rFonts w:hint="eastAsia"/>
                <w:color w:val="auto"/>
                <w:sz w:val="15"/>
                <w:szCs w:val="15"/>
              </w:rPr>
              <w:t>总长度的±0.3%，且不超过±10</w:t>
            </w:r>
          </w:p>
        </w:tc>
      </w:tr>
      <w:tr w14:paraId="7FEFBB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14:paraId="061AE909">
            <w:pPr>
              <w:spacing w:line="312" w:lineRule="auto"/>
              <w:jc w:val="center"/>
              <w:rPr>
                <w:color w:val="auto"/>
                <w:sz w:val="15"/>
                <w:szCs w:val="15"/>
              </w:rPr>
            </w:pPr>
            <w:r>
              <w:rPr>
                <w:rFonts w:hint="eastAsia"/>
                <w:color w:val="auto"/>
                <w:sz w:val="15"/>
                <w:szCs w:val="15"/>
              </w:rPr>
              <w:t>2</w:t>
            </w:r>
          </w:p>
        </w:tc>
        <w:tc>
          <w:tcPr>
            <w:tcW w:w="3141" w:type="dxa"/>
            <w:vAlign w:val="center"/>
          </w:tcPr>
          <w:p w14:paraId="6325F47B">
            <w:pPr>
              <w:spacing w:line="312" w:lineRule="auto"/>
              <w:jc w:val="center"/>
              <w:rPr>
                <w:color w:val="auto"/>
                <w:sz w:val="15"/>
                <w:szCs w:val="15"/>
              </w:rPr>
            </w:pPr>
            <w:r>
              <w:rPr>
                <w:rFonts w:hint="eastAsia"/>
                <w:color w:val="auto"/>
                <w:sz w:val="15"/>
                <w:szCs w:val="15"/>
              </w:rPr>
              <w:t>高度</w:t>
            </w:r>
          </w:p>
        </w:tc>
        <w:tc>
          <w:tcPr>
            <w:tcW w:w="3797" w:type="dxa"/>
            <w:vAlign w:val="center"/>
          </w:tcPr>
          <w:p w14:paraId="7001389C">
            <w:pPr>
              <w:spacing w:line="312" w:lineRule="auto"/>
              <w:jc w:val="center"/>
              <w:rPr>
                <w:color w:val="auto"/>
                <w:sz w:val="15"/>
                <w:szCs w:val="15"/>
              </w:rPr>
            </w:pPr>
            <w:r>
              <w:rPr>
                <w:rFonts w:hint="eastAsia"/>
                <w:color w:val="auto"/>
                <w:sz w:val="15"/>
                <w:szCs w:val="15"/>
              </w:rPr>
              <w:t>+1，-3</w:t>
            </w:r>
          </w:p>
        </w:tc>
      </w:tr>
      <w:tr w14:paraId="5A4B52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14:paraId="2F403330">
            <w:pPr>
              <w:spacing w:line="312" w:lineRule="auto"/>
              <w:jc w:val="center"/>
              <w:rPr>
                <w:color w:val="auto"/>
                <w:sz w:val="15"/>
                <w:szCs w:val="15"/>
              </w:rPr>
            </w:pPr>
            <w:r>
              <w:rPr>
                <w:rFonts w:hint="eastAsia"/>
                <w:color w:val="auto"/>
                <w:sz w:val="15"/>
                <w:szCs w:val="15"/>
              </w:rPr>
              <w:t>3</w:t>
            </w:r>
          </w:p>
        </w:tc>
        <w:tc>
          <w:tcPr>
            <w:tcW w:w="3141" w:type="dxa"/>
            <w:vAlign w:val="center"/>
          </w:tcPr>
          <w:p w14:paraId="38CD4D2F">
            <w:pPr>
              <w:spacing w:line="312" w:lineRule="auto"/>
              <w:jc w:val="center"/>
              <w:rPr>
                <w:color w:val="auto"/>
                <w:sz w:val="15"/>
                <w:szCs w:val="15"/>
              </w:rPr>
            </w:pPr>
            <w:r>
              <w:rPr>
                <w:rFonts w:hint="eastAsia"/>
                <w:color w:val="auto"/>
                <w:sz w:val="15"/>
                <w:szCs w:val="15"/>
              </w:rPr>
              <w:t>宽度</w:t>
            </w:r>
          </w:p>
        </w:tc>
        <w:tc>
          <w:tcPr>
            <w:tcW w:w="3797" w:type="dxa"/>
            <w:vAlign w:val="center"/>
          </w:tcPr>
          <w:p w14:paraId="659674B2">
            <w:pPr>
              <w:spacing w:line="312" w:lineRule="auto"/>
              <w:jc w:val="center"/>
              <w:rPr>
                <w:color w:val="auto"/>
                <w:sz w:val="15"/>
                <w:szCs w:val="15"/>
              </w:rPr>
            </w:pPr>
            <w:r>
              <w:rPr>
                <w:rFonts w:hint="eastAsia"/>
                <w:color w:val="auto"/>
                <w:sz w:val="15"/>
                <w:szCs w:val="15"/>
              </w:rPr>
              <w:t>±5</w:t>
            </w:r>
          </w:p>
        </w:tc>
      </w:tr>
      <w:tr w14:paraId="07AB66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14:paraId="054480CA">
            <w:pPr>
              <w:spacing w:line="312" w:lineRule="auto"/>
              <w:jc w:val="center"/>
              <w:rPr>
                <w:color w:val="auto"/>
                <w:sz w:val="15"/>
                <w:szCs w:val="15"/>
              </w:rPr>
            </w:pPr>
            <w:r>
              <w:rPr>
                <w:rFonts w:hint="eastAsia"/>
                <w:color w:val="auto"/>
                <w:sz w:val="15"/>
                <w:szCs w:val="15"/>
              </w:rPr>
              <w:t>4</w:t>
            </w:r>
          </w:p>
        </w:tc>
        <w:tc>
          <w:tcPr>
            <w:tcW w:w="3141" w:type="dxa"/>
            <w:vAlign w:val="center"/>
          </w:tcPr>
          <w:p w14:paraId="067BB1B6">
            <w:pPr>
              <w:spacing w:line="312" w:lineRule="auto"/>
              <w:jc w:val="center"/>
              <w:rPr>
                <w:color w:val="auto"/>
                <w:sz w:val="15"/>
                <w:szCs w:val="15"/>
              </w:rPr>
            </w:pPr>
            <w:r>
              <w:rPr>
                <w:rFonts w:hint="eastAsia"/>
                <w:color w:val="auto"/>
                <w:sz w:val="15"/>
                <w:szCs w:val="15"/>
              </w:rPr>
              <w:t>扭翘</w:t>
            </w:r>
          </w:p>
        </w:tc>
        <w:tc>
          <w:tcPr>
            <w:tcW w:w="3797" w:type="dxa"/>
            <w:vAlign w:val="center"/>
          </w:tcPr>
          <w:p w14:paraId="1285FAC2">
            <w:pPr>
              <w:spacing w:line="312" w:lineRule="auto"/>
              <w:jc w:val="center"/>
              <w:rPr>
                <w:color w:val="auto"/>
                <w:sz w:val="15"/>
                <w:szCs w:val="15"/>
              </w:rPr>
            </w:pPr>
            <w:r>
              <w:rPr>
                <w:rFonts w:hint="eastAsia"/>
                <w:color w:val="auto"/>
                <w:sz w:val="15"/>
                <w:szCs w:val="15"/>
              </w:rPr>
              <w:t>≤5</w:t>
            </w:r>
          </w:p>
        </w:tc>
      </w:tr>
    </w:tbl>
    <w:p w14:paraId="2F2DE12B">
      <w:pPr>
        <w:pStyle w:val="33"/>
        <w:rPr>
          <w:rFonts w:ascii="楷体" w:hAnsi="楷体" w:cs="楷体"/>
          <w:color w:val="auto"/>
          <w:szCs w:val="21"/>
        </w:rPr>
      </w:pPr>
      <w:r>
        <w:rPr>
          <w:rFonts w:hint="eastAsia" w:ascii="楷体" w:hAnsi="楷体" w:cs="楷体"/>
          <w:color w:val="auto"/>
          <w:szCs w:val="21"/>
        </w:rPr>
        <w:t>【条文说明】本条规定了钢筋半成品、钢筋网片、钢筋骨架安装的尺寸偏差和检测方法。安装后还应及时检查钢筋的品种、级别、规格、数量。当钢筋网片或钢筋骨架中钢筋作为连接钢筋时，如与套筒灌浆连接，该部分钢筋定位应协调考虑连接的精度要求。</w:t>
      </w:r>
    </w:p>
    <w:p w14:paraId="50F6018E">
      <w:pPr>
        <w:numPr>
          <w:ilvl w:val="0"/>
          <w:numId w:val="28"/>
        </w:numPr>
        <w:spacing w:line="312" w:lineRule="auto"/>
        <w:rPr>
          <w:color w:val="auto"/>
        </w:rPr>
      </w:pPr>
      <w:r>
        <w:rPr>
          <w:rFonts w:hint="eastAsia"/>
          <w:color w:val="auto"/>
        </w:rPr>
        <w:t>预埋件用钢材及焊条的性能应符合设计要求，预埋件加工偏差应符合表9.3.3的规定。</w:t>
      </w:r>
    </w:p>
    <w:p w14:paraId="4FAE80B0">
      <w:pPr>
        <w:pStyle w:val="26"/>
        <w:rPr>
          <w:color w:val="auto"/>
        </w:rPr>
      </w:pPr>
      <w:r>
        <w:rPr>
          <w:rFonts w:hint="eastAsia"/>
          <w:color w:val="auto"/>
        </w:rPr>
        <w:t>表</w:t>
      </w:r>
      <w:r>
        <w:rPr>
          <w:b/>
          <w:color w:val="auto"/>
        </w:rPr>
        <w:t>9</w:t>
      </w:r>
      <w:r>
        <w:rPr>
          <w:rFonts w:ascii="宋体" w:hAnsi="宋体"/>
          <w:b/>
          <w:color w:val="auto"/>
        </w:rPr>
        <w:t>.</w:t>
      </w:r>
      <w:r>
        <w:rPr>
          <w:rFonts w:hint="eastAsia"/>
          <w:b/>
          <w:color w:val="auto"/>
        </w:rPr>
        <w:t>3</w:t>
      </w:r>
      <w:r>
        <w:rPr>
          <w:rFonts w:ascii="宋体" w:hAnsi="宋体"/>
          <w:b/>
          <w:color w:val="auto"/>
        </w:rPr>
        <w:t>.</w:t>
      </w:r>
      <w:r>
        <w:rPr>
          <w:rFonts w:hint="eastAsia"/>
          <w:b/>
          <w:color w:val="auto"/>
        </w:rPr>
        <w:t>3</w:t>
      </w:r>
      <w:r>
        <w:rPr>
          <w:color w:val="auto"/>
        </w:rPr>
        <w:t xml:space="preserve">  </w:t>
      </w:r>
      <w:r>
        <w:rPr>
          <w:rFonts w:hint="eastAsia"/>
          <w:color w:val="auto"/>
        </w:rPr>
        <w:t>预埋件加工允许偏差</w:t>
      </w:r>
    </w:p>
    <w:tbl>
      <w:tblPr>
        <w:tblStyle w:val="17"/>
        <w:tblW w:w="84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1258"/>
        <w:gridCol w:w="1790"/>
        <w:gridCol w:w="1984"/>
        <w:gridCol w:w="2611"/>
      </w:tblGrid>
      <w:tr w14:paraId="7FF538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3" w:type="pct"/>
            <w:vAlign w:val="center"/>
          </w:tcPr>
          <w:p w14:paraId="1B240D4D">
            <w:pPr>
              <w:pStyle w:val="27"/>
              <w:rPr>
                <w:color w:val="auto"/>
              </w:rPr>
            </w:pPr>
            <w:r>
              <w:rPr>
                <w:rFonts w:hint="eastAsia"/>
                <w:color w:val="auto"/>
              </w:rPr>
              <w:t>项次</w:t>
            </w:r>
          </w:p>
        </w:tc>
        <w:tc>
          <w:tcPr>
            <w:tcW w:w="1793" w:type="pct"/>
            <w:gridSpan w:val="2"/>
            <w:vAlign w:val="center"/>
          </w:tcPr>
          <w:p w14:paraId="4B6E3B89">
            <w:pPr>
              <w:pStyle w:val="27"/>
              <w:rPr>
                <w:color w:val="auto"/>
              </w:rPr>
            </w:pPr>
            <w:r>
              <w:rPr>
                <w:rFonts w:hint="eastAsia"/>
                <w:color w:val="auto"/>
              </w:rPr>
              <w:t>检测项目及内容</w:t>
            </w:r>
          </w:p>
        </w:tc>
        <w:tc>
          <w:tcPr>
            <w:tcW w:w="1167" w:type="pct"/>
            <w:vAlign w:val="center"/>
          </w:tcPr>
          <w:p w14:paraId="01B01539">
            <w:pPr>
              <w:pStyle w:val="27"/>
              <w:snapToGrid w:val="0"/>
              <w:rPr>
                <w:color w:val="auto"/>
              </w:rPr>
            </w:pPr>
            <w:r>
              <w:rPr>
                <w:rFonts w:hint="eastAsia"/>
                <w:color w:val="auto"/>
              </w:rPr>
              <w:t>允许偏差</w:t>
            </w:r>
          </w:p>
          <w:p w14:paraId="5DEC14DA">
            <w:pPr>
              <w:pStyle w:val="27"/>
              <w:snapToGrid w:val="0"/>
              <w:rPr>
                <w:color w:val="auto"/>
              </w:rPr>
            </w:pPr>
            <w:r>
              <w:rPr>
                <w:color w:val="auto"/>
              </w:rPr>
              <w:t>(mm)</w:t>
            </w:r>
          </w:p>
        </w:tc>
        <w:tc>
          <w:tcPr>
            <w:tcW w:w="1535" w:type="pct"/>
            <w:vAlign w:val="center"/>
          </w:tcPr>
          <w:p w14:paraId="559DF9D4">
            <w:pPr>
              <w:pStyle w:val="27"/>
              <w:rPr>
                <w:color w:val="auto"/>
              </w:rPr>
            </w:pPr>
            <w:r>
              <w:rPr>
                <w:rFonts w:hint="eastAsia"/>
                <w:color w:val="auto"/>
              </w:rPr>
              <w:t>检验方法</w:t>
            </w:r>
          </w:p>
        </w:tc>
      </w:tr>
      <w:tr w14:paraId="178EE6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3" w:type="pct"/>
            <w:vAlign w:val="center"/>
          </w:tcPr>
          <w:p w14:paraId="06FDEC27">
            <w:pPr>
              <w:pStyle w:val="27"/>
              <w:rPr>
                <w:color w:val="auto"/>
              </w:rPr>
            </w:pPr>
            <w:r>
              <w:rPr>
                <w:color w:val="auto"/>
              </w:rPr>
              <w:t>1</w:t>
            </w:r>
          </w:p>
        </w:tc>
        <w:tc>
          <w:tcPr>
            <w:tcW w:w="1793" w:type="pct"/>
            <w:gridSpan w:val="2"/>
            <w:vAlign w:val="center"/>
          </w:tcPr>
          <w:p w14:paraId="5B8ECE9C">
            <w:pPr>
              <w:pStyle w:val="27"/>
              <w:rPr>
                <w:color w:val="auto"/>
              </w:rPr>
            </w:pPr>
            <w:r>
              <w:rPr>
                <w:rFonts w:hint="eastAsia"/>
                <w:color w:val="auto"/>
              </w:rPr>
              <w:t>预埋件锚板的边长</w:t>
            </w:r>
          </w:p>
        </w:tc>
        <w:tc>
          <w:tcPr>
            <w:tcW w:w="1167" w:type="pct"/>
            <w:vAlign w:val="center"/>
          </w:tcPr>
          <w:p w14:paraId="456B816A">
            <w:pPr>
              <w:pStyle w:val="27"/>
              <w:rPr>
                <w:color w:val="auto"/>
              </w:rPr>
            </w:pPr>
            <w:r>
              <w:rPr>
                <w:color w:val="auto"/>
              </w:rPr>
              <w:t>0</w:t>
            </w:r>
            <w:r>
              <w:rPr>
                <w:rFonts w:hint="eastAsia"/>
                <w:color w:val="auto"/>
              </w:rPr>
              <w:t>，</w:t>
            </w:r>
            <w:r>
              <w:rPr>
                <w:color w:val="auto"/>
              </w:rPr>
              <w:t>-5</w:t>
            </w:r>
          </w:p>
        </w:tc>
        <w:tc>
          <w:tcPr>
            <w:tcW w:w="1535" w:type="pct"/>
            <w:vAlign w:val="center"/>
          </w:tcPr>
          <w:p w14:paraId="47690C6E">
            <w:pPr>
              <w:pStyle w:val="27"/>
              <w:rPr>
                <w:color w:val="auto"/>
              </w:rPr>
            </w:pPr>
            <w:r>
              <w:rPr>
                <w:rFonts w:hint="eastAsia"/>
                <w:color w:val="auto"/>
              </w:rPr>
              <w:t>用钢尺量测</w:t>
            </w:r>
          </w:p>
        </w:tc>
      </w:tr>
      <w:tr w14:paraId="56AF03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3" w:type="pct"/>
            <w:vAlign w:val="center"/>
          </w:tcPr>
          <w:p w14:paraId="0ED7349F">
            <w:pPr>
              <w:pStyle w:val="27"/>
              <w:rPr>
                <w:color w:val="auto"/>
              </w:rPr>
            </w:pPr>
            <w:r>
              <w:rPr>
                <w:color w:val="auto"/>
              </w:rPr>
              <w:t>2</w:t>
            </w:r>
          </w:p>
        </w:tc>
        <w:tc>
          <w:tcPr>
            <w:tcW w:w="1793" w:type="pct"/>
            <w:gridSpan w:val="2"/>
            <w:vAlign w:val="center"/>
          </w:tcPr>
          <w:p w14:paraId="4DEDA8D8">
            <w:pPr>
              <w:pStyle w:val="27"/>
              <w:rPr>
                <w:color w:val="auto"/>
              </w:rPr>
            </w:pPr>
            <w:r>
              <w:rPr>
                <w:rFonts w:hint="eastAsia"/>
                <w:color w:val="auto"/>
              </w:rPr>
              <w:t>预埋件锚板的平整度</w:t>
            </w:r>
          </w:p>
        </w:tc>
        <w:tc>
          <w:tcPr>
            <w:tcW w:w="1167" w:type="pct"/>
            <w:vAlign w:val="center"/>
          </w:tcPr>
          <w:p w14:paraId="520D8AE6">
            <w:pPr>
              <w:pStyle w:val="27"/>
              <w:rPr>
                <w:color w:val="auto"/>
              </w:rPr>
            </w:pPr>
            <w:r>
              <w:rPr>
                <w:color w:val="auto"/>
              </w:rPr>
              <w:t>1</w:t>
            </w:r>
          </w:p>
        </w:tc>
        <w:tc>
          <w:tcPr>
            <w:tcW w:w="1535" w:type="pct"/>
            <w:vAlign w:val="center"/>
          </w:tcPr>
          <w:p w14:paraId="0047E567">
            <w:pPr>
              <w:pStyle w:val="27"/>
              <w:rPr>
                <w:color w:val="auto"/>
              </w:rPr>
            </w:pPr>
            <w:r>
              <w:rPr>
                <w:rFonts w:hint="eastAsia"/>
                <w:color w:val="auto"/>
              </w:rPr>
              <w:t>用直尺和塞尺量测</w:t>
            </w:r>
          </w:p>
        </w:tc>
      </w:tr>
      <w:tr w14:paraId="1CBB9B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3" w:type="pct"/>
            <w:vMerge w:val="restart"/>
            <w:vAlign w:val="center"/>
          </w:tcPr>
          <w:p w14:paraId="302DC031">
            <w:pPr>
              <w:pStyle w:val="27"/>
              <w:rPr>
                <w:color w:val="auto"/>
              </w:rPr>
            </w:pPr>
            <w:r>
              <w:rPr>
                <w:color w:val="auto"/>
              </w:rPr>
              <w:t>3</w:t>
            </w:r>
          </w:p>
        </w:tc>
        <w:tc>
          <w:tcPr>
            <w:tcW w:w="740" w:type="pct"/>
            <w:vMerge w:val="restart"/>
            <w:vAlign w:val="center"/>
          </w:tcPr>
          <w:p w14:paraId="02E0CDCF">
            <w:pPr>
              <w:pStyle w:val="27"/>
              <w:rPr>
                <w:color w:val="auto"/>
              </w:rPr>
            </w:pPr>
            <w:r>
              <w:rPr>
                <w:rFonts w:hint="eastAsia"/>
                <w:color w:val="auto"/>
              </w:rPr>
              <w:t>锚筋</w:t>
            </w:r>
          </w:p>
        </w:tc>
        <w:tc>
          <w:tcPr>
            <w:tcW w:w="1053" w:type="pct"/>
          </w:tcPr>
          <w:p w14:paraId="0EF6796D">
            <w:pPr>
              <w:pStyle w:val="27"/>
              <w:rPr>
                <w:color w:val="auto"/>
              </w:rPr>
            </w:pPr>
            <w:r>
              <w:rPr>
                <w:rFonts w:hint="eastAsia"/>
                <w:color w:val="auto"/>
              </w:rPr>
              <w:t>长度</w:t>
            </w:r>
          </w:p>
        </w:tc>
        <w:tc>
          <w:tcPr>
            <w:tcW w:w="1167" w:type="pct"/>
            <w:vAlign w:val="center"/>
          </w:tcPr>
          <w:p w14:paraId="47616257">
            <w:pPr>
              <w:pStyle w:val="27"/>
              <w:rPr>
                <w:color w:val="auto"/>
              </w:rPr>
            </w:pPr>
            <w:r>
              <w:rPr>
                <w:color w:val="auto"/>
              </w:rPr>
              <w:t>10</w:t>
            </w:r>
            <w:r>
              <w:rPr>
                <w:rFonts w:hint="eastAsia"/>
                <w:color w:val="auto"/>
              </w:rPr>
              <w:t>，</w:t>
            </w:r>
            <w:r>
              <w:rPr>
                <w:color w:val="auto"/>
              </w:rPr>
              <w:t>-5</w:t>
            </w:r>
          </w:p>
        </w:tc>
        <w:tc>
          <w:tcPr>
            <w:tcW w:w="1535" w:type="pct"/>
            <w:vAlign w:val="center"/>
          </w:tcPr>
          <w:p w14:paraId="5A03BA09">
            <w:pPr>
              <w:pStyle w:val="27"/>
              <w:rPr>
                <w:color w:val="auto"/>
              </w:rPr>
            </w:pPr>
            <w:r>
              <w:rPr>
                <w:rFonts w:hint="eastAsia"/>
                <w:color w:val="auto"/>
              </w:rPr>
              <w:t>用钢尺量测</w:t>
            </w:r>
          </w:p>
        </w:tc>
      </w:tr>
      <w:tr w14:paraId="51FAA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3" w:type="pct"/>
            <w:vMerge w:val="continue"/>
            <w:vAlign w:val="center"/>
          </w:tcPr>
          <w:p w14:paraId="3B105C38">
            <w:pPr>
              <w:pStyle w:val="27"/>
              <w:rPr>
                <w:color w:val="auto"/>
              </w:rPr>
            </w:pPr>
          </w:p>
        </w:tc>
        <w:tc>
          <w:tcPr>
            <w:tcW w:w="740" w:type="pct"/>
            <w:vMerge w:val="continue"/>
            <w:vAlign w:val="center"/>
          </w:tcPr>
          <w:p w14:paraId="1300E77B">
            <w:pPr>
              <w:pStyle w:val="27"/>
              <w:rPr>
                <w:color w:val="auto"/>
              </w:rPr>
            </w:pPr>
          </w:p>
        </w:tc>
        <w:tc>
          <w:tcPr>
            <w:tcW w:w="1053" w:type="pct"/>
          </w:tcPr>
          <w:p w14:paraId="39BD1F38">
            <w:pPr>
              <w:pStyle w:val="27"/>
              <w:rPr>
                <w:color w:val="auto"/>
              </w:rPr>
            </w:pPr>
            <w:r>
              <w:rPr>
                <w:rFonts w:hint="eastAsia"/>
                <w:color w:val="auto"/>
              </w:rPr>
              <w:t>间距偏差</w:t>
            </w:r>
          </w:p>
        </w:tc>
        <w:tc>
          <w:tcPr>
            <w:tcW w:w="1167" w:type="pct"/>
            <w:vAlign w:val="center"/>
          </w:tcPr>
          <w:p w14:paraId="5E441C5E">
            <w:pPr>
              <w:pStyle w:val="27"/>
              <w:rPr>
                <w:color w:val="auto"/>
              </w:rPr>
            </w:pPr>
            <w:r>
              <w:rPr>
                <w:color w:val="auto"/>
              </w:rPr>
              <w:t>±10</w:t>
            </w:r>
          </w:p>
        </w:tc>
        <w:tc>
          <w:tcPr>
            <w:tcW w:w="1535" w:type="pct"/>
            <w:vAlign w:val="center"/>
          </w:tcPr>
          <w:p w14:paraId="29C0A267">
            <w:pPr>
              <w:pStyle w:val="27"/>
              <w:rPr>
                <w:color w:val="auto"/>
              </w:rPr>
            </w:pPr>
            <w:r>
              <w:rPr>
                <w:rFonts w:hint="eastAsia"/>
                <w:color w:val="auto"/>
              </w:rPr>
              <w:t>用钢尺量测</w:t>
            </w:r>
          </w:p>
        </w:tc>
      </w:tr>
    </w:tbl>
    <w:p w14:paraId="239AA438">
      <w:pPr>
        <w:pStyle w:val="3"/>
        <w:rPr>
          <w:color w:val="auto"/>
        </w:rPr>
      </w:pPr>
      <w:bookmarkStart w:id="342" w:name="_Toc7734"/>
      <w:bookmarkStart w:id="343" w:name="_Toc110952728"/>
      <w:bookmarkStart w:id="344" w:name="_Toc110958496"/>
      <w:bookmarkStart w:id="345" w:name="_Toc20376"/>
      <w:bookmarkStart w:id="346" w:name="_Toc20195"/>
      <w:bookmarkStart w:id="347" w:name="_Toc17641"/>
      <w:bookmarkStart w:id="348" w:name="_Toc8565"/>
      <w:bookmarkStart w:id="349" w:name="_Toc29972"/>
      <w:bookmarkStart w:id="350" w:name="_Toc21829"/>
      <w:bookmarkStart w:id="351" w:name="_Toc2779"/>
      <w:bookmarkStart w:id="352" w:name="_Toc18775"/>
      <w:r>
        <w:rPr>
          <w:b/>
          <w:bCs w:val="0"/>
          <w:color w:val="auto"/>
        </w:rPr>
        <w:t>9</w:t>
      </w:r>
      <w:r>
        <w:rPr>
          <w:rFonts w:hint="eastAsia"/>
          <w:b/>
          <w:bCs w:val="0"/>
          <w:color w:val="auto"/>
        </w:rPr>
        <w:t>.4</w:t>
      </w:r>
      <w:r>
        <w:rPr>
          <w:rFonts w:hint="eastAsia"/>
          <w:color w:val="auto"/>
        </w:rPr>
        <w:t xml:space="preserve">  成型、养护及脱模</w:t>
      </w:r>
      <w:bookmarkEnd w:id="342"/>
      <w:bookmarkEnd w:id="343"/>
      <w:bookmarkEnd w:id="344"/>
      <w:bookmarkEnd w:id="345"/>
      <w:bookmarkEnd w:id="346"/>
      <w:bookmarkEnd w:id="347"/>
      <w:bookmarkEnd w:id="348"/>
      <w:bookmarkEnd w:id="349"/>
      <w:bookmarkEnd w:id="350"/>
      <w:bookmarkEnd w:id="351"/>
      <w:bookmarkEnd w:id="352"/>
    </w:p>
    <w:p w14:paraId="3EA95B49">
      <w:pPr>
        <w:numPr>
          <w:ilvl w:val="0"/>
          <w:numId w:val="29"/>
        </w:numPr>
        <w:spacing w:line="312" w:lineRule="auto"/>
        <w:jc w:val="left"/>
        <w:rPr>
          <w:color w:val="auto"/>
        </w:rPr>
      </w:pPr>
      <w:r>
        <w:rPr>
          <w:rFonts w:hint="eastAsia"/>
          <w:color w:val="auto"/>
        </w:rPr>
        <w:t>模块单元的成型、养护及脱模应符合现行国家标准《混凝土结构工程施工规范》</w:t>
      </w:r>
      <w:r>
        <w:rPr>
          <w:color w:val="auto"/>
        </w:rPr>
        <w:t>GB 50666</w:t>
      </w:r>
      <w:r>
        <w:rPr>
          <w:rFonts w:hint="eastAsia"/>
          <w:color w:val="auto"/>
        </w:rPr>
        <w:t>的规定。</w:t>
      </w:r>
    </w:p>
    <w:p w14:paraId="3EE326F6">
      <w:pPr>
        <w:numPr>
          <w:ilvl w:val="0"/>
          <w:numId w:val="29"/>
        </w:numPr>
        <w:spacing w:line="312" w:lineRule="auto"/>
        <w:jc w:val="left"/>
        <w:rPr>
          <w:color w:val="auto"/>
        </w:rPr>
      </w:pPr>
      <w:r>
        <w:rPr>
          <w:rFonts w:hint="eastAsia"/>
          <w:color w:val="auto"/>
        </w:rPr>
        <w:t>混凝土浇筑前应进行钢筋、预埋件的隐蔽工程检查，检查项目应包括下列内容：</w:t>
      </w:r>
    </w:p>
    <w:p w14:paraId="6ABB459D">
      <w:pPr>
        <w:spacing w:line="312" w:lineRule="auto"/>
        <w:ind w:firstLine="422" w:firstLineChars="200"/>
        <w:jc w:val="left"/>
        <w:rPr>
          <w:color w:val="auto"/>
        </w:rPr>
      </w:pPr>
      <w:r>
        <w:rPr>
          <w:b/>
          <w:bCs/>
          <w:color w:val="auto"/>
        </w:rPr>
        <w:t>1</w:t>
      </w:r>
      <w:r>
        <w:rPr>
          <w:rFonts w:hint="eastAsia"/>
          <w:color w:val="auto"/>
        </w:rPr>
        <w:t xml:space="preserve">  钢筋的牌号、规格、数量、位置、间距等；</w:t>
      </w:r>
    </w:p>
    <w:p w14:paraId="14FE1DC8">
      <w:pPr>
        <w:spacing w:line="312" w:lineRule="auto"/>
        <w:ind w:firstLine="422" w:firstLineChars="200"/>
        <w:jc w:val="left"/>
        <w:rPr>
          <w:color w:val="auto"/>
        </w:rPr>
      </w:pPr>
      <w:r>
        <w:rPr>
          <w:b/>
          <w:bCs/>
          <w:color w:val="auto"/>
        </w:rPr>
        <w:t>2</w:t>
      </w:r>
      <w:r>
        <w:rPr>
          <w:rFonts w:hint="eastAsia"/>
          <w:color w:val="auto"/>
        </w:rPr>
        <w:t xml:space="preserve">  纵向受力钢筋的连接方式、接头位置、接头质量、接头面积百分率、搭接长度、锚固方式及锚固长度；</w:t>
      </w:r>
    </w:p>
    <w:p w14:paraId="0B6DE4A9">
      <w:pPr>
        <w:spacing w:line="312" w:lineRule="auto"/>
        <w:ind w:firstLine="422" w:firstLineChars="200"/>
        <w:jc w:val="left"/>
        <w:rPr>
          <w:color w:val="auto"/>
        </w:rPr>
      </w:pPr>
      <w:r>
        <w:rPr>
          <w:b/>
          <w:bCs/>
          <w:color w:val="auto"/>
        </w:rPr>
        <w:t>3</w:t>
      </w:r>
      <w:r>
        <w:rPr>
          <w:rFonts w:hint="eastAsia"/>
          <w:color w:val="auto"/>
        </w:rPr>
        <w:t xml:space="preserve">  箍筋弯钩的弯折角度及平直段长度；</w:t>
      </w:r>
    </w:p>
    <w:p w14:paraId="162BEE0C">
      <w:pPr>
        <w:spacing w:line="312" w:lineRule="auto"/>
        <w:ind w:firstLine="422" w:firstLineChars="200"/>
        <w:jc w:val="left"/>
        <w:rPr>
          <w:color w:val="auto"/>
        </w:rPr>
      </w:pPr>
      <w:r>
        <w:rPr>
          <w:b/>
          <w:bCs/>
          <w:color w:val="auto"/>
        </w:rPr>
        <w:t>4</w:t>
      </w:r>
      <w:r>
        <w:rPr>
          <w:rFonts w:hint="eastAsia"/>
          <w:color w:val="auto"/>
        </w:rPr>
        <w:t xml:space="preserve">  钢筋的混凝土保护层厚度；</w:t>
      </w:r>
    </w:p>
    <w:p w14:paraId="7C42CCD1">
      <w:pPr>
        <w:spacing w:line="312" w:lineRule="auto"/>
        <w:ind w:firstLine="422" w:firstLineChars="200"/>
        <w:jc w:val="left"/>
        <w:rPr>
          <w:color w:val="auto"/>
        </w:rPr>
      </w:pPr>
      <w:r>
        <w:rPr>
          <w:b/>
          <w:bCs/>
          <w:color w:val="auto"/>
        </w:rPr>
        <w:t>5</w:t>
      </w:r>
      <w:r>
        <w:rPr>
          <w:rFonts w:hint="eastAsia"/>
          <w:color w:val="auto"/>
        </w:rPr>
        <w:t xml:space="preserve">  预埋件、吊环、插筋、灌浆套筒、预留孔洞的规格、数量、位置及固定措施；</w:t>
      </w:r>
    </w:p>
    <w:p w14:paraId="1B08333F">
      <w:pPr>
        <w:spacing w:line="312" w:lineRule="auto"/>
        <w:ind w:firstLine="422" w:firstLineChars="200"/>
        <w:jc w:val="left"/>
        <w:rPr>
          <w:color w:val="auto"/>
        </w:rPr>
      </w:pPr>
      <w:r>
        <w:rPr>
          <w:b/>
          <w:bCs/>
          <w:color w:val="auto"/>
        </w:rPr>
        <w:t>6</w:t>
      </w:r>
      <w:r>
        <w:rPr>
          <w:rFonts w:hint="eastAsia"/>
          <w:color w:val="auto"/>
        </w:rPr>
        <w:t xml:space="preserve">  预埋线盒和管线的规格、数量、位置及固定措施；</w:t>
      </w:r>
    </w:p>
    <w:p w14:paraId="656AFEFA">
      <w:pPr>
        <w:spacing w:line="312" w:lineRule="auto"/>
        <w:ind w:firstLine="422" w:firstLineChars="200"/>
        <w:jc w:val="left"/>
        <w:rPr>
          <w:color w:val="auto"/>
        </w:rPr>
      </w:pPr>
      <w:r>
        <w:rPr>
          <w:b/>
          <w:bCs/>
          <w:color w:val="auto"/>
        </w:rPr>
        <w:t>7</w:t>
      </w:r>
      <w:r>
        <w:rPr>
          <w:rFonts w:hint="eastAsia"/>
          <w:b/>
          <w:bCs/>
          <w:color w:val="auto"/>
        </w:rPr>
        <w:t xml:space="preserve">  </w:t>
      </w:r>
      <w:r>
        <w:rPr>
          <w:rFonts w:hint="eastAsia"/>
          <w:color w:val="auto"/>
        </w:rPr>
        <w:t>预留孔道的规格、数量、位置，灌浆孔、排气孔、锚固区局部加强构造。</w:t>
      </w:r>
    </w:p>
    <w:p w14:paraId="518528F8">
      <w:pPr>
        <w:numPr>
          <w:ilvl w:val="0"/>
          <w:numId w:val="29"/>
        </w:numPr>
        <w:spacing w:line="312" w:lineRule="auto"/>
        <w:jc w:val="left"/>
        <w:rPr>
          <w:color w:val="auto"/>
        </w:rPr>
      </w:pPr>
      <w:r>
        <w:rPr>
          <w:rFonts w:hint="eastAsia"/>
          <w:color w:val="auto"/>
        </w:rPr>
        <w:t>混凝土浇筑时应布料均衡，浇筑和振捣应采取防止模具、钢筋、预埋件及其定位件移位的措施。</w:t>
      </w:r>
    </w:p>
    <w:p w14:paraId="12FA2205">
      <w:pPr>
        <w:numPr>
          <w:ilvl w:val="0"/>
          <w:numId w:val="29"/>
        </w:numPr>
        <w:spacing w:line="312" w:lineRule="auto"/>
        <w:jc w:val="left"/>
        <w:rPr>
          <w:color w:val="auto"/>
        </w:rPr>
      </w:pPr>
      <w:r>
        <w:rPr>
          <w:rFonts w:hint="eastAsia"/>
          <w:color w:val="auto"/>
        </w:rPr>
        <w:t>混凝土浇筑应保证混凝土的均匀性和密实性。模块单元应根据形状、规格和材料等确定浇筑次数，宜分层浇筑。</w:t>
      </w:r>
    </w:p>
    <w:p w14:paraId="253437C1">
      <w:pPr>
        <w:pStyle w:val="33"/>
        <w:rPr>
          <w:color w:val="auto"/>
        </w:rPr>
      </w:pPr>
      <w:r>
        <w:rPr>
          <w:rFonts w:hint="eastAsia" w:ascii="楷体" w:hAnsi="楷体" w:cs="楷体"/>
          <w:color w:val="auto"/>
          <w:szCs w:val="21"/>
        </w:rPr>
        <w:t>【条文说明】</w:t>
      </w:r>
      <w:r>
        <w:rPr>
          <w:rFonts w:hint="eastAsia"/>
          <w:color w:val="auto"/>
        </w:rPr>
        <w:t>模块单元是一个空间多面体，现有的模具制作工艺及混凝土施工方法难以实现模块单元一次浇筑成型，因此往往需要将模块单元拆分为多个预制构件分别预制，最后再组合成完整的模块单元。对模块单元进行预制拆分时，需考虑模块单元的形状、规格、混凝土强度等级、钢材等因素的影响。</w:t>
      </w:r>
    </w:p>
    <w:p w14:paraId="49C1C5F1">
      <w:pPr>
        <w:numPr>
          <w:ilvl w:val="0"/>
          <w:numId w:val="29"/>
        </w:numPr>
        <w:spacing w:line="312" w:lineRule="auto"/>
        <w:jc w:val="left"/>
        <w:rPr>
          <w:color w:val="auto"/>
        </w:rPr>
      </w:pPr>
      <w:r>
        <w:rPr>
          <w:rFonts w:hint="eastAsia"/>
          <w:color w:val="auto"/>
        </w:rPr>
        <w:t>当模块单元生产需要多次浇筑时，应符合下列规定：</w:t>
      </w:r>
    </w:p>
    <w:p w14:paraId="04710638">
      <w:pPr>
        <w:spacing w:line="312" w:lineRule="auto"/>
        <w:ind w:firstLine="422" w:firstLineChars="200"/>
        <w:rPr>
          <w:color w:val="auto"/>
        </w:rPr>
      </w:pPr>
      <w:r>
        <w:rPr>
          <w:rFonts w:hint="eastAsia"/>
          <w:b/>
          <w:bCs/>
          <w:color w:val="auto"/>
        </w:rPr>
        <w:t>1</w:t>
      </w:r>
      <w:r>
        <w:rPr>
          <w:color w:val="auto"/>
        </w:rPr>
        <w:t xml:space="preserve">  </w:t>
      </w:r>
      <w:r>
        <w:rPr>
          <w:rFonts w:hint="eastAsia"/>
          <w:color w:val="auto"/>
        </w:rPr>
        <w:t>结合面应为粗糙面，并应清除浮浆、松动石子、软弱混凝土层；</w:t>
      </w:r>
    </w:p>
    <w:p w14:paraId="6DD677A6">
      <w:pPr>
        <w:spacing w:line="312" w:lineRule="auto"/>
        <w:ind w:firstLine="422" w:firstLineChars="200"/>
        <w:rPr>
          <w:color w:val="auto"/>
        </w:rPr>
      </w:pPr>
      <w:r>
        <w:rPr>
          <w:rFonts w:hint="eastAsia"/>
          <w:b/>
          <w:bCs/>
          <w:color w:val="auto"/>
        </w:rPr>
        <w:t>2</w:t>
      </w:r>
      <w:r>
        <w:rPr>
          <w:color w:val="auto"/>
        </w:rPr>
        <w:t xml:space="preserve">  </w:t>
      </w:r>
      <w:r>
        <w:rPr>
          <w:rFonts w:hint="eastAsia"/>
          <w:color w:val="auto"/>
        </w:rPr>
        <w:t>二次浇筑时，结合面处应洒水湿润，但不得有积水；</w:t>
      </w:r>
    </w:p>
    <w:p w14:paraId="6CD5BB05">
      <w:pPr>
        <w:spacing w:line="312" w:lineRule="auto"/>
        <w:ind w:firstLine="422" w:firstLineChars="200"/>
        <w:rPr>
          <w:color w:val="auto"/>
        </w:rPr>
      </w:pPr>
      <w:r>
        <w:rPr>
          <w:rFonts w:hint="eastAsia"/>
          <w:b/>
          <w:bCs/>
          <w:color w:val="auto"/>
        </w:rPr>
        <w:t>3</w:t>
      </w:r>
      <w:r>
        <w:rPr>
          <w:color w:val="auto"/>
        </w:rPr>
        <w:t xml:space="preserve">  </w:t>
      </w:r>
      <w:r>
        <w:rPr>
          <w:rFonts w:hint="eastAsia"/>
          <w:color w:val="auto"/>
        </w:rPr>
        <w:t>后浇混凝土强度等级及性能应符合设计要求，宜采用减少收缩的技术措施。</w:t>
      </w:r>
    </w:p>
    <w:p w14:paraId="2040D700">
      <w:pPr>
        <w:pStyle w:val="33"/>
        <w:rPr>
          <w:color w:val="auto"/>
        </w:rPr>
      </w:pPr>
      <w:r>
        <w:rPr>
          <w:rFonts w:hint="eastAsia" w:ascii="楷体" w:hAnsi="楷体" w:cs="楷体"/>
          <w:color w:val="auto"/>
          <w:szCs w:val="21"/>
        </w:rPr>
        <w:t>【条文说明】</w:t>
      </w:r>
      <w:r>
        <w:rPr>
          <w:rFonts w:hint="eastAsia"/>
          <w:color w:val="auto"/>
        </w:rPr>
        <w:t>对于二次浇筑的模块单元，第一次浇筑完成拆模之后清洗施工缝位置，保证第二次浇筑混凝土时，施工缝应为粗糙面且强度满足要求，确保结合面处连接可靠。</w:t>
      </w:r>
    </w:p>
    <w:p w14:paraId="256B5F59">
      <w:pPr>
        <w:numPr>
          <w:ilvl w:val="0"/>
          <w:numId w:val="29"/>
        </w:numPr>
        <w:spacing w:line="312" w:lineRule="auto"/>
        <w:jc w:val="left"/>
        <w:rPr>
          <w:color w:val="auto"/>
        </w:rPr>
      </w:pPr>
      <w:r>
        <w:rPr>
          <w:rFonts w:hint="eastAsia"/>
          <w:color w:val="auto"/>
        </w:rPr>
        <w:t>模块单元粗糙面成型应符合下列规定：</w:t>
      </w:r>
    </w:p>
    <w:p w14:paraId="0417D9E9">
      <w:pPr>
        <w:spacing w:line="312" w:lineRule="auto"/>
        <w:ind w:firstLine="422" w:firstLineChars="200"/>
        <w:rPr>
          <w:color w:val="auto"/>
        </w:rPr>
      </w:pPr>
      <w:r>
        <w:rPr>
          <w:rFonts w:hint="eastAsia"/>
          <w:b/>
          <w:color w:val="auto"/>
        </w:rPr>
        <w:t xml:space="preserve">1  </w:t>
      </w:r>
      <w:r>
        <w:rPr>
          <w:rFonts w:hint="eastAsia"/>
          <w:color w:val="auto"/>
        </w:rPr>
        <w:t>粗糙面可采用模板面预涂缓凝剂工艺，脱模后采用高压水冲洗露出骨料；</w:t>
      </w:r>
    </w:p>
    <w:p w14:paraId="380A20A0">
      <w:pPr>
        <w:spacing w:line="312" w:lineRule="auto"/>
        <w:ind w:firstLine="422" w:firstLineChars="200"/>
        <w:rPr>
          <w:color w:val="auto"/>
        </w:rPr>
      </w:pPr>
      <w:r>
        <w:rPr>
          <w:rFonts w:hint="eastAsia"/>
          <w:b/>
          <w:color w:val="auto"/>
        </w:rPr>
        <w:t>2</w:t>
      </w:r>
      <w:r>
        <w:rPr>
          <w:b/>
          <w:color w:val="auto"/>
        </w:rPr>
        <w:t xml:space="preserve">  </w:t>
      </w:r>
      <w:r>
        <w:rPr>
          <w:rFonts w:hint="eastAsia"/>
          <w:bCs/>
          <w:color w:val="auto"/>
        </w:rPr>
        <w:t>叠合面</w:t>
      </w:r>
      <w:r>
        <w:rPr>
          <w:rFonts w:hint="eastAsia"/>
          <w:color w:val="auto"/>
        </w:rPr>
        <w:t>粗糙面可在混凝土初凝前进行拉毛处理。</w:t>
      </w:r>
    </w:p>
    <w:p w14:paraId="521CA090">
      <w:pPr>
        <w:pStyle w:val="33"/>
        <w:rPr>
          <w:color w:val="auto"/>
        </w:rPr>
      </w:pPr>
      <w:r>
        <w:rPr>
          <w:rFonts w:hint="eastAsia" w:ascii="楷体" w:hAnsi="楷体" w:cs="楷体"/>
          <w:color w:val="auto"/>
          <w:szCs w:val="21"/>
        </w:rPr>
        <w:t>【条文说明】模块单元的粗糙面可采用高压水枪冲洗、拉毛或喷砂等处理措施。</w:t>
      </w:r>
      <w:r>
        <w:rPr>
          <w:rFonts w:hint="eastAsia"/>
          <w:color w:val="auto"/>
        </w:rPr>
        <w:t>在粗糙面的处理中，高压水与洗水面的夹角宜为45度，枪头距离洗水面0.8m ~1m，露出石粒深度5mm~8mm左右并且不松动；对于不便涂缓凝剂和拉毛方式处理的粗糙面，建议使用喷砂工艺处理。</w:t>
      </w:r>
    </w:p>
    <w:p w14:paraId="6AD6B44C">
      <w:pPr>
        <w:numPr>
          <w:ilvl w:val="0"/>
          <w:numId w:val="29"/>
        </w:numPr>
        <w:spacing w:line="312" w:lineRule="auto"/>
        <w:jc w:val="left"/>
        <w:rPr>
          <w:color w:val="auto"/>
        </w:rPr>
      </w:pPr>
      <w:r>
        <w:rPr>
          <w:rFonts w:hint="eastAsia"/>
          <w:color w:val="auto"/>
        </w:rPr>
        <w:t>混凝土振捣应符合下列规定：</w:t>
      </w:r>
    </w:p>
    <w:p w14:paraId="1DC31229">
      <w:pPr>
        <w:spacing w:line="312" w:lineRule="auto"/>
        <w:ind w:firstLine="422" w:firstLineChars="200"/>
        <w:rPr>
          <w:color w:val="auto"/>
        </w:rPr>
      </w:pPr>
      <w:r>
        <w:rPr>
          <w:b/>
          <w:color w:val="auto"/>
        </w:rPr>
        <w:t>1</w:t>
      </w:r>
      <w:r>
        <w:rPr>
          <w:color w:val="auto"/>
        </w:rPr>
        <w:t xml:space="preserve">  </w:t>
      </w:r>
      <w:r>
        <w:rPr>
          <w:rFonts w:hint="eastAsia"/>
          <w:color w:val="auto"/>
        </w:rPr>
        <w:t>混凝土振捣应能使模具或模板内各个部位混凝土密实、均匀，不应漏振、欠振、过振；</w:t>
      </w:r>
    </w:p>
    <w:p w14:paraId="0960A71F">
      <w:pPr>
        <w:spacing w:line="312" w:lineRule="auto"/>
        <w:ind w:firstLine="422" w:firstLineChars="200"/>
        <w:rPr>
          <w:color w:val="auto"/>
        </w:rPr>
      </w:pPr>
      <w:r>
        <w:rPr>
          <w:b/>
          <w:color w:val="auto"/>
        </w:rPr>
        <w:t>2</w:t>
      </w:r>
      <w:r>
        <w:rPr>
          <w:color w:val="auto"/>
        </w:rPr>
        <w:t xml:space="preserve">  </w:t>
      </w:r>
      <w:r>
        <w:rPr>
          <w:rFonts w:hint="eastAsia"/>
          <w:color w:val="auto"/>
        </w:rPr>
        <w:t>混凝土振捣宜采用插入式振动棒、平板振动器、附着振动器或其他机械振捣方式。振捣方式和振捣设备应根据混凝土品种、工作性、模块单元预制部位的规格和形状等因素确定。</w:t>
      </w:r>
    </w:p>
    <w:p w14:paraId="389C255A">
      <w:pPr>
        <w:numPr>
          <w:ilvl w:val="0"/>
          <w:numId w:val="29"/>
        </w:numPr>
        <w:spacing w:line="312" w:lineRule="auto"/>
        <w:jc w:val="left"/>
        <w:rPr>
          <w:color w:val="auto"/>
        </w:rPr>
      </w:pPr>
      <w:r>
        <w:rPr>
          <w:rFonts w:hint="eastAsia"/>
          <w:color w:val="auto"/>
        </w:rPr>
        <w:t>模块单元养护应符合下列规定：</w:t>
      </w:r>
    </w:p>
    <w:p w14:paraId="1322E2ED">
      <w:pPr>
        <w:spacing w:line="312" w:lineRule="auto"/>
        <w:ind w:firstLine="422" w:firstLineChars="200"/>
        <w:rPr>
          <w:color w:val="auto"/>
        </w:rPr>
      </w:pPr>
      <w:r>
        <w:rPr>
          <w:b/>
          <w:color w:val="auto"/>
        </w:rPr>
        <w:t xml:space="preserve">1  </w:t>
      </w:r>
      <w:r>
        <w:rPr>
          <w:rFonts w:hint="eastAsia"/>
          <w:color w:val="auto"/>
        </w:rPr>
        <w:t>养护方式宜根据模块单元特点和生产任务量选择自然养护、自然养护加养护剂或加热养护方式；</w:t>
      </w:r>
    </w:p>
    <w:p w14:paraId="0A66CDDB">
      <w:pPr>
        <w:spacing w:line="312" w:lineRule="auto"/>
        <w:ind w:firstLine="422" w:firstLineChars="200"/>
        <w:rPr>
          <w:color w:val="auto"/>
        </w:rPr>
      </w:pPr>
      <w:r>
        <w:rPr>
          <w:b/>
          <w:color w:val="auto"/>
        </w:rPr>
        <w:t xml:space="preserve">2  </w:t>
      </w:r>
      <w:r>
        <w:rPr>
          <w:rFonts w:hint="eastAsia"/>
          <w:color w:val="auto"/>
        </w:rPr>
        <w:t>模块单元养护应制定专门养护方案，满足温度、湿度的要求；</w:t>
      </w:r>
    </w:p>
    <w:p w14:paraId="5AC1A19F">
      <w:pPr>
        <w:spacing w:line="312" w:lineRule="auto"/>
        <w:ind w:firstLine="422" w:firstLineChars="200"/>
        <w:rPr>
          <w:color w:val="auto"/>
        </w:rPr>
      </w:pPr>
      <w:r>
        <w:rPr>
          <w:b/>
          <w:color w:val="auto"/>
        </w:rPr>
        <w:t xml:space="preserve">3  </w:t>
      </w:r>
      <w:r>
        <w:rPr>
          <w:rFonts w:hint="eastAsia"/>
          <w:color w:val="auto"/>
        </w:rPr>
        <w:t>模块单元的凹槽、阴角等位置应注意养护到位。</w:t>
      </w:r>
    </w:p>
    <w:p w14:paraId="714EFD1E">
      <w:pPr>
        <w:pStyle w:val="33"/>
        <w:rPr>
          <w:color w:val="auto"/>
        </w:rPr>
      </w:pPr>
      <w:r>
        <w:rPr>
          <w:rFonts w:hint="eastAsia" w:ascii="楷体" w:hAnsi="楷体" w:cs="楷体"/>
          <w:color w:val="auto"/>
          <w:szCs w:val="21"/>
        </w:rPr>
        <w:t>【条文说明】</w:t>
      </w:r>
      <w:r>
        <w:rPr>
          <w:rFonts w:hint="eastAsia"/>
          <w:color w:val="auto"/>
        </w:rPr>
        <w:t>条件允许的情况下，模块单元优先推荐自然养护。采用加热养护时，按照合理的养护制度进行温控可避免模块单元出现温差裂缝，常用的加热养护方式主要包括蒸汽加热、电加热或模具加热等方式。</w:t>
      </w:r>
    </w:p>
    <w:p w14:paraId="52B66B35">
      <w:pPr>
        <w:numPr>
          <w:ilvl w:val="0"/>
          <w:numId w:val="29"/>
        </w:numPr>
        <w:spacing w:line="312" w:lineRule="auto"/>
        <w:jc w:val="left"/>
        <w:rPr>
          <w:color w:val="auto"/>
        </w:rPr>
      </w:pPr>
      <w:r>
        <w:rPr>
          <w:rFonts w:hint="eastAsia"/>
          <w:color w:val="auto"/>
        </w:rPr>
        <w:t>模块单元脱模起吊时，应符合下列规定：</w:t>
      </w:r>
    </w:p>
    <w:p w14:paraId="2152A58D">
      <w:pPr>
        <w:spacing w:line="312" w:lineRule="auto"/>
        <w:ind w:firstLine="422" w:firstLineChars="200"/>
        <w:rPr>
          <w:color w:val="auto"/>
        </w:rPr>
      </w:pPr>
      <w:r>
        <w:rPr>
          <w:rFonts w:hint="eastAsia"/>
          <w:b/>
          <w:color w:val="auto"/>
        </w:rPr>
        <w:t>1</w:t>
      </w:r>
      <w:r>
        <w:rPr>
          <w:color w:val="auto"/>
        </w:rPr>
        <w:t xml:space="preserve">  </w:t>
      </w:r>
      <w:r>
        <w:rPr>
          <w:rFonts w:hint="eastAsia"/>
          <w:color w:val="auto"/>
        </w:rPr>
        <w:t>混凝土立方体抗压强度应经计算确定，且不宜小于</w:t>
      </w:r>
      <w:r>
        <w:rPr>
          <w:color w:val="auto"/>
        </w:rPr>
        <w:t>15MPa</w:t>
      </w:r>
      <w:r>
        <w:rPr>
          <w:rFonts w:hint="eastAsia"/>
          <w:color w:val="auto"/>
        </w:rPr>
        <w:t>；</w:t>
      </w:r>
    </w:p>
    <w:p w14:paraId="05891C72">
      <w:pPr>
        <w:spacing w:line="312" w:lineRule="auto"/>
        <w:ind w:firstLine="422" w:firstLineChars="200"/>
        <w:rPr>
          <w:color w:val="auto"/>
        </w:rPr>
      </w:pPr>
      <w:r>
        <w:rPr>
          <w:rFonts w:hint="eastAsia"/>
          <w:b/>
          <w:color w:val="auto"/>
        </w:rPr>
        <w:t>2</w:t>
      </w:r>
      <w:r>
        <w:rPr>
          <w:color w:val="auto"/>
        </w:rPr>
        <w:t xml:space="preserve">  </w:t>
      </w:r>
      <w:r>
        <w:rPr>
          <w:rFonts w:hint="eastAsia"/>
          <w:color w:val="auto"/>
        </w:rPr>
        <w:t>对于设有门洞、窗洞等较大洞口的模块单元，脱模起吊时应进行加固；</w:t>
      </w:r>
    </w:p>
    <w:p w14:paraId="3EE489D5">
      <w:pPr>
        <w:spacing w:line="312" w:lineRule="auto"/>
        <w:ind w:firstLine="422" w:firstLineChars="200"/>
        <w:rPr>
          <w:color w:val="auto"/>
        </w:rPr>
      </w:pPr>
      <w:r>
        <w:rPr>
          <w:rFonts w:hint="eastAsia"/>
          <w:b/>
          <w:color w:val="auto"/>
        </w:rPr>
        <w:t>3</w:t>
      </w:r>
      <w:r>
        <w:rPr>
          <w:color w:val="auto"/>
        </w:rPr>
        <w:t xml:space="preserve">  </w:t>
      </w:r>
      <w:r>
        <w:rPr>
          <w:rFonts w:hint="eastAsia"/>
          <w:color w:val="auto"/>
        </w:rPr>
        <w:t>模块单元的脱模起吊宜采用平衡吊架。</w:t>
      </w:r>
    </w:p>
    <w:p w14:paraId="1338C149">
      <w:pPr>
        <w:pStyle w:val="33"/>
        <w:rPr>
          <w:color w:val="auto"/>
        </w:rPr>
      </w:pPr>
      <w:r>
        <w:rPr>
          <w:rFonts w:hint="eastAsia" w:ascii="楷体" w:hAnsi="楷体" w:cs="楷体"/>
          <w:color w:val="auto"/>
          <w:szCs w:val="21"/>
        </w:rPr>
        <w:t>【条文说明】</w:t>
      </w:r>
      <w:r>
        <w:rPr>
          <w:rFonts w:hint="eastAsia"/>
          <w:color w:val="auto"/>
        </w:rPr>
        <w:t>对于设有门洞、窗洞等较大洞口的墙板，脱模起吊时应进行加固，防止扭曲变形造成的开裂。脱模起吊宜采用平衡吊架，保证模块单元平衡且安全地出模，防止崩角、难以脱模的问题产生。</w:t>
      </w:r>
    </w:p>
    <w:p w14:paraId="23AEC76F">
      <w:pPr>
        <w:pStyle w:val="3"/>
        <w:rPr>
          <w:color w:val="auto"/>
        </w:rPr>
      </w:pPr>
      <w:bookmarkStart w:id="353" w:name="_Toc4151"/>
      <w:bookmarkStart w:id="354" w:name="_Toc6736"/>
      <w:bookmarkStart w:id="355" w:name="_Toc5786"/>
      <w:bookmarkStart w:id="356" w:name="_Toc14264"/>
      <w:bookmarkStart w:id="357" w:name="_Toc12163"/>
      <w:bookmarkStart w:id="358" w:name="_Toc21791"/>
      <w:bookmarkStart w:id="359" w:name="_Toc14719"/>
      <w:bookmarkStart w:id="360" w:name="_Toc22089"/>
      <w:bookmarkStart w:id="361" w:name="_Toc27650"/>
      <w:r>
        <w:rPr>
          <w:b/>
          <w:bCs w:val="0"/>
          <w:color w:val="auto"/>
        </w:rPr>
        <w:t>9</w:t>
      </w:r>
      <w:r>
        <w:rPr>
          <w:rFonts w:hint="eastAsia"/>
          <w:b/>
          <w:bCs w:val="0"/>
          <w:color w:val="auto"/>
        </w:rPr>
        <w:t>.5</w:t>
      </w:r>
      <w:r>
        <w:rPr>
          <w:rFonts w:hint="eastAsia"/>
          <w:color w:val="auto"/>
        </w:rPr>
        <w:t xml:space="preserve">  设备管线安装及装修</w:t>
      </w:r>
      <w:bookmarkEnd w:id="353"/>
      <w:bookmarkEnd w:id="354"/>
      <w:bookmarkEnd w:id="355"/>
      <w:bookmarkEnd w:id="356"/>
      <w:bookmarkEnd w:id="357"/>
      <w:bookmarkEnd w:id="358"/>
      <w:bookmarkEnd w:id="359"/>
      <w:bookmarkEnd w:id="360"/>
      <w:bookmarkEnd w:id="361"/>
    </w:p>
    <w:p w14:paraId="283DA6F1">
      <w:pPr>
        <w:numPr>
          <w:ilvl w:val="0"/>
          <w:numId w:val="30"/>
        </w:numPr>
        <w:spacing w:line="312" w:lineRule="auto"/>
        <w:rPr>
          <w:color w:val="auto"/>
        </w:rPr>
      </w:pPr>
      <w:r>
        <w:rPr>
          <w:rFonts w:hint="eastAsia"/>
          <w:color w:val="auto"/>
        </w:rPr>
        <w:t>模块单元的设备管线安装前，应按设计图纸核对预留预埋套管、线盒、预留孔洞及开槽的定位和尺寸，并应区分模块单元工厂集成部分和现场施工部分。</w:t>
      </w:r>
    </w:p>
    <w:p w14:paraId="18BB10E6">
      <w:pPr>
        <w:pStyle w:val="33"/>
        <w:rPr>
          <w:color w:val="auto"/>
        </w:rPr>
      </w:pPr>
      <w:r>
        <w:rPr>
          <w:rFonts w:hint="eastAsia" w:ascii="楷体" w:hAnsi="楷体" w:cs="楷体"/>
          <w:color w:val="auto"/>
          <w:szCs w:val="21"/>
        </w:rPr>
        <w:t>【条文说明】</w:t>
      </w:r>
      <w:r>
        <w:rPr>
          <w:rFonts w:hint="eastAsia"/>
          <w:color w:val="auto"/>
        </w:rPr>
        <w:t>模块单元结构制作阶段，应将各专业、各工种所需的预留孔洞、预埋件等设置完成，避免在施工现场进行剔凿、切割，伤及构件，影响质量及观感。</w:t>
      </w:r>
    </w:p>
    <w:p w14:paraId="6DCBA5B2">
      <w:pPr>
        <w:numPr>
          <w:ilvl w:val="0"/>
          <w:numId w:val="30"/>
        </w:numPr>
        <w:spacing w:line="312" w:lineRule="auto"/>
        <w:rPr>
          <w:color w:val="auto"/>
        </w:rPr>
      </w:pPr>
      <w:r>
        <w:rPr>
          <w:rFonts w:hint="eastAsia"/>
          <w:color w:val="auto"/>
        </w:rPr>
        <w:t>模块单元内电气系统的施工和安装应符合现行国家标准《建筑电气工程施工质量验收规范》GB 50303和《智能建筑工程施工规范》GB 50606等的规定，管道设备等的安装及调试应在建筑装饰装修工程施工前完成，所有弱电线路应点对点进行测试，完成后才能封墙面板材。</w:t>
      </w:r>
    </w:p>
    <w:p w14:paraId="425DB7C7">
      <w:pPr>
        <w:numPr>
          <w:ilvl w:val="0"/>
          <w:numId w:val="30"/>
        </w:numPr>
        <w:spacing w:line="312" w:lineRule="auto"/>
        <w:rPr>
          <w:color w:val="auto"/>
        </w:rPr>
      </w:pPr>
      <w:r>
        <w:rPr>
          <w:rFonts w:hint="eastAsia"/>
          <w:color w:val="auto"/>
        </w:rPr>
        <w:t>模块单元内含防雷引下线的，应在防雷引下钢筋上作明显标识。</w:t>
      </w:r>
    </w:p>
    <w:p w14:paraId="02B94C16">
      <w:pPr>
        <w:numPr>
          <w:ilvl w:val="0"/>
          <w:numId w:val="30"/>
        </w:numPr>
        <w:spacing w:line="312" w:lineRule="auto"/>
        <w:rPr>
          <w:color w:val="auto"/>
        </w:rPr>
      </w:pPr>
      <w:r>
        <w:rPr>
          <w:rFonts w:hint="eastAsia"/>
          <w:color w:val="auto"/>
        </w:rPr>
        <w:t>针对模块单元设备与管线工程中的工序隐蔽，应经专业质检员检验合格方可进入下道工序，模块单元出厂前应经必要的功能试验及检测。</w:t>
      </w:r>
    </w:p>
    <w:p w14:paraId="0B6D4EE0">
      <w:pPr>
        <w:pStyle w:val="33"/>
        <w:rPr>
          <w:color w:val="auto"/>
        </w:rPr>
      </w:pPr>
      <w:r>
        <w:rPr>
          <w:rFonts w:hint="eastAsia" w:ascii="楷体" w:hAnsi="楷体" w:cs="楷体"/>
          <w:color w:val="auto"/>
          <w:szCs w:val="21"/>
        </w:rPr>
        <w:t>【条文说明】</w:t>
      </w:r>
      <w:r>
        <w:rPr>
          <w:rFonts w:hint="eastAsia"/>
          <w:color w:val="auto"/>
        </w:rPr>
        <w:t>由于模块化建筑不同于传统建筑，模块单元具有产品属性。所以在模块单元吊装前需对其结构、机电、给水排水、供暖的工序隐蔽提前进行验收。否则，待组装之后工序隐蔽将无法验收。</w:t>
      </w:r>
    </w:p>
    <w:p w14:paraId="644B47DF">
      <w:pPr>
        <w:numPr>
          <w:ilvl w:val="0"/>
          <w:numId w:val="30"/>
        </w:numPr>
        <w:spacing w:line="312" w:lineRule="auto"/>
        <w:rPr>
          <w:color w:val="auto"/>
        </w:rPr>
      </w:pPr>
      <w:r>
        <w:rPr>
          <w:rFonts w:hint="eastAsia"/>
          <w:color w:val="auto"/>
        </w:rPr>
        <w:t>内装装修的安装次序宜按楼地面系统，轻质隔墙系统，吊顶系统的安装次序相配合。</w:t>
      </w:r>
    </w:p>
    <w:p w14:paraId="5FF7AA42">
      <w:pPr>
        <w:numPr>
          <w:ilvl w:val="0"/>
          <w:numId w:val="30"/>
        </w:numPr>
        <w:spacing w:line="312" w:lineRule="auto"/>
        <w:rPr>
          <w:color w:val="auto"/>
        </w:rPr>
      </w:pPr>
      <w:r>
        <w:rPr>
          <w:rFonts w:hint="eastAsia"/>
          <w:color w:val="auto"/>
        </w:rPr>
        <w:t>模块单元装修宜在接缝位置两侧预留现场安装区域。</w:t>
      </w:r>
    </w:p>
    <w:p w14:paraId="44966490">
      <w:pPr>
        <w:numPr>
          <w:ilvl w:val="0"/>
          <w:numId w:val="30"/>
        </w:numPr>
        <w:spacing w:line="312" w:lineRule="auto"/>
        <w:rPr>
          <w:color w:val="auto"/>
        </w:rPr>
      </w:pPr>
      <w:r>
        <w:rPr>
          <w:rFonts w:hint="eastAsia"/>
          <w:color w:val="auto"/>
        </w:rPr>
        <w:t>临时支撑构件的拆卸不应损坏已完成的模块单元装修。</w:t>
      </w:r>
    </w:p>
    <w:p w14:paraId="173772E7">
      <w:pPr>
        <w:pStyle w:val="3"/>
        <w:rPr>
          <w:color w:val="auto"/>
        </w:rPr>
      </w:pPr>
      <w:bookmarkStart w:id="362" w:name="_Toc9941"/>
      <w:r>
        <w:rPr>
          <w:b/>
          <w:bCs w:val="0"/>
          <w:color w:val="auto"/>
        </w:rPr>
        <w:t>9</w:t>
      </w:r>
      <w:r>
        <w:rPr>
          <w:rFonts w:hint="eastAsia"/>
          <w:b/>
          <w:bCs w:val="0"/>
          <w:color w:val="auto"/>
        </w:rPr>
        <w:t>.6</w:t>
      </w:r>
      <w:r>
        <w:rPr>
          <w:rFonts w:hint="eastAsia"/>
          <w:color w:val="auto"/>
        </w:rPr>
        <w:t xml:space="preserve">  驻厂监造</w:t>
      </w:r>
      <w:bookmarkEnd w:id="362"/>
    </w:p>
    <w:p w14:paraId="7E426FB5">
      <w:pPr>
        <w:numPr>
          <w:ilvl w:val="0"/>
          <w:numId w:val="31"/>
        </w:numPr>
        <w:spacing w:line="312" w:lineRule="auto"/>
        <w:rPr>
          <w:color w:val="auto"/>
        </w:rPr>
      </w:pPr>
      <w:r>
        <w:rPr>
          <w:rFonts w:hint="eastAsia"/>
          <w:color w:val="auto"/>
        </w:rPr>
        <w:t>一 般 规 定</w:t>
      </w:r>
    </w:p>
    <w:p w14:paraId="33EBB41D">
      <w:pPr>
        <w:spacing w:line="312" w:lineRule="auto"/>
        <w:ind w:firstLine="422" w:firstLineChars="200"/>
        <w:rPr>
          <w:color w:val="auto"/>
        </w:rPr>
      </w:pPr>
      <w:r>
        <w:rPr>
          <w:b/>
          <w:bCs/>
          <w:color w:val="auto"/>
        </w:rPr>
        <w:t xml:space="preserve">1  </w:t>
      </w:r>
      <w:r>
        <w:rPr>
          <w:rFonts w:hint="eastAsia"/>
          <w:color w:val="auto"/>
        </w:rPr>
        <w:t>驻厂监造机构应由具备资质的监理单位承担，根据混凝土模块单元驻厂监造合同约定，对混凝 土模块单元的生产进行监理。驻厂监造机构应与工程监理单位非同一单位。</w:t>
      </w:r>
    </w:p>
    <w:p w14:paraId="09FF278F">
      <w:pPr>
        <w:spacing w:line="312" w:lineRule="auto"/>
        <w:ind w:firstLine="422" w:firstLineChars="200"/>
        <w:rPr>
          <w:color w:val="auto"/>
        </w:rPr>
      </w:pPr>
      <w:r>
        <w:rPr>
          <w:rFonts w:hint="eastAsia"/>
          <w:b/>
          <w:bCs/>
          <w:color w:val="auto"/>
        </w:rPr>
        <w:t>2</w:t>
      </w:r>
      <w:r>
        <w:rPr>
          <w:b/>
          <w:bCs/>
          <w:color w:val="auto"/>
        </w:rPr>
        <w:t xml:space="preserve">  </w:t>
      </w:r>
      <w:r>
        <w:rPr>
          <w:rFonts w:hint="eastAsia"/>
          <w:color w:val="auto"/>
        </w:rPr>
        <w:t>驻厂监造机构应由驻厂监造负责人和若干驻厂监造工程师组成。驻厂监造负责人和驻厂监造工 程师的资格应符合相关规定。</w:t>
      </w:r>
    </w:p>
    <w:p w14:paraId="6B7270FF">
      <w:pPr>
        <w:spacing w:line="312" w:lineRule="auto"/>
        <w:ind w:firstLine="422" w:firstLineChars="200"/>
        <w:rPr>
          <w:color w:val="auto"/>
        </w:rPr>
      </w:pPr>
      <w:r>
        <w:rPr>
          <w:rFonts w:hint="eastAsia"/>
          <w:b/>
          <w:bCs/>
          <w:color w:val="auto"/>
        </w:rPr>
        <w:t>3</w:t>
      </w:r>
      <w:r>
        <w:rPr>
          <w:b/>
          <w:bCs/>
          <w:color w:val="auto"/>
        </w:rPr>
        <w:t xml:space="preserve">  </w:t>
      </w:r>
      <w:r>
        <w:rPr>
          <w:rFonts w:hint="eastAsia"/>
          <w:color w:val="auto"/>
        </w:rPr>
        <w:t>驻厂监造机构应对生产单位的混凝土模块单元生产能力进行评估和审核，包括原材料质量管理 和供应能力、生产管理、出厂质量管理和企业试验室管理的评估，以及管理人员、试验人员能力审核 等方面，评估和审核符合要求的方能进行本项目的模块单元生产。</w:t>
      </w:r>
    </w:p>
    <w:p w14:paraId="6CB250F7">
      <w:pPr>
        <w:spacing w:line="312" w:lineRule="auto"/>
        <w:ind w:firstLine="422" w:firstLineChars="200"/>
        <w:rPr>
          <w:color w:val="auto"/>
        </w:rPr>
      </w:pPr>
      <w:r>
        <w:rPr>
          <w:rFonts w:hint="eastAsia"/>
          <w:b/>
          <w:bCs/>
          <w:color w:val="auto"/>
        </w:rPr>
        <w:t>4</w:t>
      </w:r>
      <w:r>
        <w:rPr>
          <w:b/>
          <w:bCs/>
          <w:color w:val="auto"/>
        </w:rPr>
        <w:t xml:space="preserve">  </w:t>
      </w:r>
      <w:r>
        <w:rPr>
          <w:rFonts w:hint="eastAsia"/>
          <w:color w:val="auto"/>
        </w:rPr>
        <w:t>驻厂监造机构应审查生产单位根据施工图设计文件、深化设计文件和相关标准编制的生产方案， 并要求生产单位根据工程特点在施工安装前，就关键工序、关键部位的安装注意事项向施工单位进行   技术交底并留存记录。</w:t>
      </w:r>
    </w:p>
    <w:p w14:paraId="5B9E2F55">
      <w:pPr>
        <w:numPr>
          <w:ilvl w:val="0"/>
          <w:numId w:val="31"/>
        </w:numPr>
        <w:spacing w:line="312" w:lineRule="auto"/>
        <w:rPr>
          <w:color w:val="auto"/>
        </w:rPr>
      </w:pPr>
      <w:r>
        <w:rPr>
          <w:rFonts w:hint="eastAsia"/>
          <w:color w:val="auto"/>
        </w:rPr>
        <w:t>驻厂监造机制</w:t>
      </w:r>
    </w:p>
    <w:p w14:paraId="661FB1EA">
      <w:pPr>
        <w:spacing w:line="312" w:lineRule="auto"/>
        <w:ind w:firstLine="422" w:firstLineChars="200"/>
        <w:rPr>
          <w:color w:val="auto"/>
        </w:rPr>
      </w:pPr>
      <w:r>
        <w:rPr>
          <w:b/>
          <w:color w:val="auto"/>
        </w:rPr>
        <w:t xml:space="preserve">1  </w:t>
      </w:r>
      <w:r>
        <w:rPr>
          <w:rFonts w:hint="eastAsia"/>
          <w:color w:val="auto"/>
        </w:rPr>
        <w:t>混凝土模块单元驻厂监造的主要依据包括以下文件：</w:t>
      </w:r>
    </w:p>
    <w:p w14:paraId="0554BAC3">
      <w:pPr>
        <w:rPr>
          <w:color w:val="auto"/>
        </w:rPr>
      </w:pPr>
      <w:r>
        <w:rPr>
          <w:rFonts w:hint="eastAsia"/>
          <w:color w:val="auto"/>
        </w:rPr>
        <w:t>混凝土模块单元驻厂监造合同、混凝土模块单元生产合同、工程技术标准、施工图及深化设计等文件、混凝土模块单元生产方案、驻厂监造实施方案。</w:t>
      </w:r>
    </w:p>
    <w:p w14:paraId="733DEA4A">
      <w:pPr>
        <w:spacing w:line="312" w:lineRule="auto"/>
        <w:ind w:firstLine="422" w:firstLineChars="200"/>
        <w:rPr>
          <w:color w:val="auto"/>
        </w:rPr>
      </w:pPr>
      <w:r>
        <w:rPr>
          <w:rFonts w:hint="eastAsia"/>
          <w:b/>
          <w:color w:val="auto"/>
        </w:rPr>
        <w:t>2</w:t>
      </w:r>
      <w:r>
        <w:rPr>
          <w:b/>
          <w:color w:val="auto"/>
        </w:rPr>
        <w:t xml:space="preserve">  </w:t>
      </w:r>
      <w:r>
        <w:rPr>
          <w:rFonts w:hint="eastAsia"/>
          <w:color w:val="auto"/>
        </w:rPr>
        <w:t>驻厂监造机构应在开工前根据混凝土模块单元设计要求、相关标准规范和生产方案编制相应驻 厂监造实施方案，由驻厂监造负责人审批后实施。驻厂监造实施方案主要包含以下内容：项目基本情况，混凝土模块单元类型和使用范围；混凝土模块单元生产特点；驻厂监造工作流程，包括文件审批、重要生产工序管理以及混凝土模块单元报验等工作流程；混凝土模块单元生产监造控制要点；驻厂监造工作方法及措施。</w:t>
      </w:r>
    </w:p>
    <w:p w14:paraId="5026D64A">
      <w:pPr>
        <w:spacing w:line="312" w:lineRule="auto"/>
        <w:ind w:firstLine="422" w:firstLineChars="200"/>
        <w:rPr>
          <w:color w:val="auto"/>
        </w:rPr>
      </w:pPr>
      <w:r>
        <w:rPr>
          <w:rFonts w:hint="eastAsia"/>
          <w:b/>
          <w:color w:val="auto"/>
        </w:rPr>
        <w:t>3</w:t>
      </w:r>
      <w:r>
        <w:rPr>
          <w:b/>
          <w:color w:val="auto"/>
        </w:rPr>
        <w:t xml:space="preserve">  </w:t>
      </w:r>
      <w:r>
        <w:rPr>
          <w:rFonts w:hint="eastAsia"/>
          <w:color w:val="auto"/>
        </w:rPr>
        <w:t>驻厂监造机构应审查生产单位提交的生产方案，签署审查意见，符合要求时应由驻厂监造负责 人审批。审查主要包括以下内容：编制审核程序应符合相关规定；生产工艺、质量控制及生产进度安排应符合混凝土模块单元生产合同要求；生产线的安排、材料和劳动力的组织应满足供应计划要求；混凝土模块单元的标识方法和内容应准确、完整；混凝土模块单元的堆放、 吊装、成品保护方案应包括出厂时间、顺序、堆放场地、固定要求、 堆放支垫及成品保护措施等。</w:t>
      </w:r>
    </w:p>
    <w:p w14:paraId="498BA28A">
      <w:pPr>
        <w:spacing w:line="312" w:lineRule="auto"/>
        <w:ind w:firstLine="422" w:firstLineChars="200"/>
        <w:rPr>
          <w:color w:val="auto"/>
        </w:rPr>
      </w:pPr>
      <w:r>
        <w:rPr>
          <w:rFonts w:hint="eastAsia"/>
          <w:b/>
          <w:color w:val="auto"/>
        </w:rPr>
        <w:t>4</w:t>
      </w:r>
      <w:r>
        <w:rPr>
          <w:b/>
          <w:color w:val="auto"/>
        </w:rPr>
        <w:t xml:space="preserve">  </w:t>
      </w:r>
      <w:r>
        <w:rPr>
          <w:rFonts w:hint="eastAsia"/>
          <w:color w:val="auto"/>
        </w:rPr>
        <w:t>混凝土模块单元驻厂监造文件资料主要包括以下内容：混凝土模块单元驻厂监造合同及混凝土模块单元生产合同；施工图设计文件、深化设计文件及变更文件；生产方、驻场监造实施方案和质量计划等文件；混凝土模块单元的生产检验资料与出厂检验资料；驻厂监造验收文件；来往函件与会议纪要；驻厂监造工作总结报告。</w:t>
      </w:r>
    </w:p>
    <w:p w14:paraId="416F0A10">
      <w:pPr>
        <w:numPr>
          <w:ilvl w:val="0"/>
          <w:numId w:val="31"/>
        </w:numPr>
        <w:spacing w:line="312" w:lineRule="auto"/>
        <w:rPr>
          <w:color w:val="auto"/>
        </w:rPr>
      </w:pPr>
      <w:r>
        <w:rPr>
          <w:rFonts w:hint="eastAsia"/>
          <w:color w:val="auto"/>
        </w:rPr>
        <w:t>原材料质量管理</w:t>
      </w:r>
    </w:p>
    <w:p w14:paraId="337A0FD4">
      <w:pPr>
        <w:spacing w:line="312" w:lineRule="auto"/>
        <w:ind w:firstLine="422" w:firstLineChars="200"/>
        <w:rPr>
          <w:color w:val="auto"/>
        </w:rPr>
      </w:pPr>
      <w:r>
        <w:rPr>
          <w:b/>
          <w:color w:val="auto"/>
        </w:rPr>
        <w:t xml:space="preserve">1  </w:t>
      </w:r>
      <w:r>
        <w:rPr>
          <w:rFonts w:hint="eastAsia"/>
          <w:color w:val="auto"/>
        </w:rPr>
        <w:t>驻厂监造机构应检查生产单位的原材料、构配件和设备的质量管理制度。检查内容主要包括用 于混凝土模块单元生产的原材料、构配件、设备的记录清单、质量证明文件和使用管理制度，以及进 出货、生产及储存管理制度。</w:t>
      </w:r>
    </w:p>
    <w:p w14:paraId="2CC6FEE4">
      <w:pPr>
        <w:spacing w:line="312" w:lineRule="auto"/>
        <w:ind w:firstLine="422" w:firstLineChars="200"/>
        <w:rPr>
          <w:color w:val="auto"/>
        </w:rPr>
      </w:pPr>
      <w:r>
        <w:rPr>
          <w:rFonts w:hint="eastAsia"/>
          <w:b/>
          <w:color w:val="auto"/>
        </w:rPr>
        <w:t>2</w:t>
      </w:r>
      <w:r>
        <w:rPr>
          <w:b/>
          <w:color w:val="auto"/>
        </w:rPr>
        <w:t xml:space="preserve">  </w:t>
      </w:r>
      <w:r>
        <w:rPr>
          <w:rFonts w:hint="eastAsia"/>
          <w:color w:val="auto"/>
        </w:rPr>
        <w:t>驻厂监造机构应依据混凝土模块单元生产合同，对涉及重要使用功能和观感的设备管线和装饰 装修材料组织生产单位进行材料封样。</w:t>
      </w:r>
    </w:p>
    <w:p w14:paraId="678E80AE">
      <w:pPr>
        <w:spacing w:line="312" w:lineRule="auto"/>
        <w:ind w:firstLine="422" w:firstLineChars="200"/>
        <w:rPr>
          <w:color w:val="auto"/>
        </w:rPr>
      </w:pPr>
      <w:r>
        <w:rPr>
          <w:rFonts w:hint="eastAsia"/>
          <w:b/>
          <w:color w:val="auto"/>
        </w:rPr>
        <w:t>3</w:t>
      </w:r>
      <w:r>
        <w:rPr>
          <w:b/>
          <w:color w:val="auto"/>
        </w:rPr>
        <w:t xml:space="preserve">  </w:t>
      </w:r>
      <w:r>
        <w:rPr>
          <w:rFonts w:hint="eastAsia"/>
          <w:color w:val="auto"/>
        </w:rPr>
        <w:t>驻厂监造机构应监督生产单位的原材料质量管理，对进场原材料应当依据设计文件、技术标准 及合同的要求进行复验，合格后方可使用。水泥、钢筋、钢筋连接接头、钢筋灌浆套筒连接接头、保 温材料、装饰材料、28d 混凝土标养试件实施见证取样和送检，比例不得低于有关技术标准中规定应 取样数量的 100％。</w:t>
      </w:r>
    </w:p>
    <w:p w14:paraId="2A3078E2">
      <w:pPr>
        <w:spacing w:line="312" w:lineRule="auto"/>
        <w:ind w:firstLine="422" w:firstLineChars="200"/>
        <w:rPr>
          <w:color w:val="auto"/>
        </w:rPr>
      </w:pPr>
      <w:r>
        <w:rPr>
          <w:rFonts w:hint="eastAsia"/>
          <w:b/>
          <w:color w:val="auto"/>
        </w:rPr>
        <w:t>4</w:t>
      </w:r>
      <w:r>
        <w:rPr>
          <w:b/>
          <w:color w:val="auto"/>
        </w:rPr>
        <w:t xml:space="preserve">  </w:t>
      </w:r>
      <w:r>
        <w:rPr>
          <w:rFonts w:hint="eastAsia"/>
          <w:color w:val="auto"/>
        </w:rPr>
        <w:t>驻厂监造机构应对生产的钢筋网片、钢筋骨架等半成品进行检查验收，验收合格后应进行合格 标识，方可用于模块单元生产。</w:t>
      </w:r>
    </w:p>
    <w:p w14:paraId="0E71A61C">
      <w:pPr>
        <w:spacing w:line="312" w:lineRule="auto"/>
        <w:ind w:firstLine="422" w:firstLineChars="200"/>
        <w:rPr>
          <w:color w:val="auto"/>
        </w:rPr>
      </w:pPr>
      <w:r>
        <w:rPr>
          <w:rFonts w:hint="eastAsia"/>
          <w:b/>
          <w:color w:val="auto"/>
        </w:rPr>
        <w:t>5</w:t>
      </w:r>
      <w:r>
        <w:rPr>
          <w:b/>
          <w:color w:val="auto"/>
        </w:rPr>
        <w:t xml:space="preserve">  </w:t>
      </w:r>
      <w:r>
        <w:rPr>
          <w:rFonts w:hint="eastAsia"/>
          <w:color w:val="auto"/>
        </w:rPr>
        <w:t>驻厂监造机构应根据生产单位呈报的各种原材料按品种、规格及所需数量等建立原材料确认 台账。</w:t>
      </w:r>
    </w:p>
    <w:p w14:paraId="1DAE1A00">
      <w:pPr>
        <w:numPr>
          <w:ilvl w:val="0"/>
          <w:numId w:val="31"/>
        </w:numPr>
        <w:spacing w:line="312" w:lineRule="auto"/>
        <w:rPr>
          <w:color w:val="auto"/>
        </w:rPr>
      </w:pPr>
      <w:r>
        <w:rPr>
          <w:rFonts w:hint="eastAsia"/>
          <w:color w:val="auto"/>
        </w:rPr>
        <w:t>生产过程质量管理</w:t>
      </w:r>
    </w:p>
    <w:p w14:paraId="0FB725B1">
      <w:pPr>
        <w:spacing w:line="312" w:lineRule="auto"/>
        <w:ind w:firstLine="422" w:firstLineChars="200"/>
        <w:rPr>
          <w:color w:val="auto"/>
        </w:rPr>
      </w:pPr>
      <w:r>
        <w:rPr>
          <w:b/>
          <w:color w:val="auto"/>
        </w:rPr>
        <w:t xml:space="preserve">1  </w:t>
      </w:r>
      <w:r>
        <w:rPr>
          <w:rFonts w:hint="eastAsia"/>
          <w:color w:val="auto"/>
        </w:rPr>
        <w:t>驻厂监造机构应在混凝土模块单元生产前，核查根据批准的设计文件、拟定的生产工艺、吊装 方案等编制的加工详图完成情况，并参加由建设单位组织设计单位、生产单位、施工单位进行的设计 交底和图纸会审。</w:t>
      </w:r>
    </w:p>
    <w:p w14:paraId="4AF25941">
      <w:pPr>
        <w:spacing w:line="312" w:lineRule="auto"/>
        <w:ind w:firstLine="422" w:firstLineChars="200"/>
        <w:rPr>
          <w:color w:val="auto"/>
        </w:rPr>
      </w:pPr>
      <w:r>
        <w:rPr>
          <w:rFonts w:hint="eastAsia"/>
          <w:b/>
          <w:color w:val="auto"/>
        </w:rPr>
        <w:t>2</w:t>
      </w:r>
      <w:r>
        <w:rPr>
          <w:b/>
          <w:color w:val="auto"/>
        </w:rPr>
        <w:t xml:space="preserve">  </w:t>
      </w:r>
      <w:r>
        <w:rPr>
          <w:rFonts w:hint="eastAsia"/>
          <w:color w:val="auto"/>
        </w:rPr>
        <w:t>驻厂监造机构应组织建设单位、施工单位、监理单位等相关单位对同类型首件混凝土模块单元 进行验收，验收合格后，方可进行批量生产。</w:t>
      </w:r>
    </w:p>
    <w:p w14:paraId="357491E2">
      <w:pPr>
        <w:spacing w:line="312" w:lineRule="auto"/>
        <w:ind w:firstLine="422" w:firstLineChars="200"/>
        <w:rPr>
          <w:color w:val="auto"/>
        </w:rPr>
      </w:pPr>
      <w:r>
        <w:rPr>
          <w:rFonts w:hint="eastAsia"/>
          <w:b/>
          <w:color w:val="auto"/>
        </w:rPr>
        <w:t>3</w:t>
      </w:r>
      <w:r>
        <w:rPr>
          <w:b/>
          <w:color w:val="auto"/>
        </w:rPr>
        <w:t xml:space="preserve">  </w:t>
      </w:r>
      <w:r>
        <w:rPr>
          <w:rFonts w:hint="eastAsia"/>
          <w:color w:val="auto"/>
        </w:rPr>
        <w:t>驻厂监造机构应根据混凝土模块单元驻厂监造方案进行巡视，检查主要包括以下内容：按设计文件、工程建设标准、生产合同及批准的生产方案进行生产；检测仪器的标定和特种作业人员上岗证；生产环境和原材料管控状态；根据混凝土模块单元实际情况，对钢筋绑扎、灌浆套筒安放、预埋件安置、饰面及保温材料铺 贴、管线敷设、防雷接地、连接件、 吊点吊环的安置、混凝土浇筑、成品尺寸复核、集成的设备与管 线系统的预拼装等生产工序；混凝土模块单元堆放、标识、成品保护措施按生产方案落实情况；混凝土模块生产单位质量管理人员到位情况。</w:t>
      </w:r>
    </w:p>
    <w:p w14:paraId="3010DB30">
      <w:pPr>
        <w:spacing w:line="312" w:lineRule="auto"/>
        <w:ind w:firstLine="422" w:firstLineChars="200"/>
        <w:rPr>
          <w:color w:val="auto"/>
        </w:rPr>
      </w:pPr>
      <w:r>
        <w:rPr>
          <w:rFonts w:hint="eastAsia"/>
          <w:b/>
          <w:color w:val="auto"/>
        </w:rPr>
        <w:t>4</w:t>
      </w:r>
      <w:r>
        <w:rPr>
          <w:b/>
          <w:color w:val="auto"/>
        </w:rPr>
        <w:t xml:space="preserve">  </w:t>
      </w:r>
      <w:r>
        <w:rPr>
          <w:rFonts w:hint="eastAsia"/>
          <w:color w:val="auto"/>
        </w:rPr>
        <w:t>驻厂监造机构在巡视过程中，发现存在质量问题，或生产单位未采用批准的生产方案规定工艺 进行生产，造成质量不合格的，应由驻厂监造机构及时签发监造指令，要求生产单位整改。整改完毕 后，驻厂监造机构根据指令回复单对整改情况进行复查。</w:t>
      </w:r>
    </w:p>
    <w:p w14:paraId="5BB8B2F3">
      <w:pPr>
        <w:rPr>
          <w:color w:val="auto"/>
        </w:rPr>
      </w:pPr>
    </w:p>
    <w:p w14:paraId="66E5C2DB">
      <w:pPr>
        <w:spacing w:line="312" w:lineRule="auto"/>
        <w:ind w:firstLine="422" w:firstLineChars="200"/>
        <w:rPr>
          <w:color w:val="auto"/>
        </w:rPr>
      </w:pPr>
      <w:r>
        <w:rPr>
          <w:rFonts w:hint="eastAsia"/>
          <w:b/>
          <w:color w:val="auto"/>
        </w:rPr>
        <w:t>5</w:t>
      </w:r>
      <w:r>
        <w:rPr>
          <w:b/>
          <w:color w:val="auto"/>
        </w:rPr>
        <w:t xml:space="preserve">  </w:t>
      </w:r>
      <w:r>
        <w:rPr>
          <w:rFonts w:hint="eastAsia"/>
          <w:color w:val="auto"/>
        </w:rPr>
        <w:t>驻厂监造机构应对涉及结构安全和重要功能的关键部位和关键工序实施旁站监理：构件混凝土浇筑过程；钢筋隐蔽过程；预埋件、预留管线、预留洞口施工；防水及其构造做法；</w:t>
      </w:r>
    </w:p>
    <w:p w14:paraId="09803529">
      <w:pPr>
        <w:spacing w:line="312" w:lineRule="auto"/>
        <w:ind w:firstLine="422" w:firstLineChars="200"/>
        <w:rPr>
          <w:color w:val="auto"/>
        </w:rPr>
      </w:pPr>
      <w:r>
        <w:rPr>
          <w:rFonts w:hint="eastAsia"/>
          <w:b/>
          <w:color w:val="auto"/>
        </w:rPr>
        <w:t>6</w:t>
      </w:r>
      <w:r>
        <w:rPr>
          <w:b/>
          <w:color w:val="auto"/>
        </w:rPr>
        <w:t xml:space="preserve">  </w:t>
      </w:r>
      <w:r>
        <w:rPr>
          <w:rFonts w:hint="eastAsia"/>
          <w:color w:val="auto"/>
        </w:rPr>
        <w:t>驻厂监造机构应对工程质量进行平行检验，针对原材料、试验、生产等方面进行综合检查及抽 检原材料，并根据检查结果对生产单位提出相应的处理措施。</w:t>
      </w:r>
    </w:p>
    <w:p w14:paraId="6D8F232D">
      <w:pPr>
        <w:spacing w:line="312" w:lineRule="auto"/>
        <w:ind w:firstLine="422" w:firstLineChars="200"/>
        <w:rPr>
          <w:color w:val="auto"/>
        </w:rPr>
      </w:pPr>
      <w:r>
        <w:rPr>
          <w:rFonts w:hint="eastAsia"/>
          <w:b/>
          <w:color w:val="auto"/>
        </w:rPr>
        <w:t>7</w:t>
      </w:r>
      <w:r>
        <w:rPr>
          <w:b/>
          <w:color w:val="auto"/>
        </w:rPr>
        <w:t xml:space="preserve">  </w:t>
      </w:r>
      <w:r>
        <w:rPr>
          <w:rFonts w:hint="eastAsia"/>
          <w:color w:val="auto"/>
        </w:rPr>
        <w:t>驻厂监造机构应对生产单位报送的混凝土模块单元的成品进行出厂验收，检查主要包括以下内 容：质量合格证书及相关质量证明文件齐全；混凝土模块单元的标识应满足唯一性和可追溯性；成品的几何尺寸、外观质量、预留预埋等符合设计要求。</w:t>
      </w:r>
    </w:p>
    <w:p w14:paraId="26361CE4">
      <w:pPr>
        <w:spacing w:line="312" w:lineRule="auto"/>
        <w:ind w:firstLine="422" w:firstLineChars="200"/>
        <w:rPr>
          <w:color w:val="auto"/>
        </w:rPr>
      </w:pPr>
      <w:r>
        <w:rPr>
          <w:rFonts w:hint="eastAsia"/>
          <w:b/>
          <w:color w:val="auto"/>
        </w:rPr>
        <w:t>8</w:t>
      </w:r>
      <w:r>
        <w:rPr>
          <w:b/>
          <w:color w:val="auto"/>
        </w:rPr>
        <w:t xml:space="preserve">  </w:t>
      </w:r>
      <w:r>
        <w:rPr>
          <w:rFonts w:hint="eastAsia"/>
          <w:color w:val="auto"/>
        </w:rPr>
        <w:t>驻厂监造机构应要求生产单位对质量检查数据进行统计分析、制定改进措施，并检查改进落实 情况。</w:t>
      </w:r>
    </w:p>
    <w:p w14:paraId="1C01C56D">
      <w:pPr>
        <w:spacing w:line="312" w:lineRule="auto"/>
        <w:ind w:firstLine="422" w:firstLineChars="200"/>
        <w:rPr>
          <w:color w:val="auto"/>
        </w:rPr>
      </w:pPr>
      <w:r>
        <w:rPr>
          <w:rFonts w:hint="eastAsia"/>
          <w:b/>
          <w:color w:val="auto"/>
        </w:rPr>
        <w:t>9</w:t>
      </w:r>
      <w:r>
        <w:rPr>
          <w:b/>
          <w:color w:val="auto"/>
        </w:rPr>
        <w:t xml:space="preserve">  </w:t>
      </w:r>
      <w:r>
        <w:rPr>
          <w:rFonts w:hint="eastAsia"/>
          <w:color w:val="auto"/>
        </w:rPr>
        <w:t>驻厂监造机构应对试块留置过程、模块单元生产全过程和检验过程要按有关规定留存生产影响 资料，并符合下列规定：生产影响资料的保存应采用纸质介质和电子载体的形式；电子载体资料应长期保存，保存过程中应有保护措施和备份，涉及结构安全的文件资料保存年限应满足工程质量保修及质量追溯的需要。</w:t>
      </w:r>
    </w:p>
    <w:p w14:paraId="10587206">
      <w:pPr>
        <w:pStyle w:val="3"/>
        <w:rPr>
          <w:color w:val="auto"/>
        </w:rPr>
      </w:pPr>
      <w:bookmarkStart w:id="363" w:name="_Toc31045"/>
      <w:bookmarkStart w:id="364" w:name="_Toc1779"/>
      <w:bookmarkStart w:id="365" w:name="_Toc24547"/>
      <w:bookmarkStart w:id="366" w:name="_Toc15827"/>
      <w:bookmarkStart w:id="367" w:name="_Toc3273"/>
      <w:bookmarkStart w:id="368" w:name="_Toc30068"/>
      <w:bookmarkStart w:id="369" w:name="_Toc24816"/>
      <w:bookmarkStart w:id="370" w:name="_Toc22970"/>
      <w:bookmarkStart w:id="371" w:name="_Toc21708"/>
      <w:r>
        <w:rPr>
          <w:b/>
          <w:bCs w:val="0"/>
          <w:color w:val="auto"/>
        </w:rPr>
        <w:t>9</w:t>
      </w:r>
      <w:r>
        <w:rPr>
          <w:rFonts w:hint="eastAsia"/>
          <w:b/>
          <w:bCs w:val="0"/>
          <w:color w:val="auto"/>
        </w:rPr>
        <w:t>.7</w:t>
      </w:r>
      <w:r>
        <w:rPr>
          <w:rFonts w:hint="eastAsia"/>
          <w:color w:val="auto"/>
        </w:rPr>
        <w:t xml:space="preserve">  出厂检验及资料交付</w:t>
      </w:r>
      <w:bookmarkEnd w:id="363"/>
      <w:bookmarkEnd w:id="364"/>
      <w:bookmarkEnd w:id="365"/>
      <w:bookmarkEnd w:id="366"/>
      <w:bookmarkEnd w:id="367"/>
      <w:bookmarkEnd w:id="368"/>
      <w:bookmarkEnd w:id="369"/>
      <w:bookmarkEnd w:id="370"/>
      <w:bookmarkEnd w:id="371"/>
    </w:p>
    <w:p w14:paraId="76BB5349">
      <w:pPr>
        <w:numPr>
          <w:ilvl w:val="0"/>
          <w:numId w:val="32"/>
        </w:numPr>
        <w:spacing w:line="312" w:lineRule="auto"/>
        <w:rPr>
          <w:color w:val="auto"/>
        </w:rPr>
      </w:pPr>
      <w:r>
        <w:rPr>
          <w:rFonts w:hint="eastAsia"/>
          <w:color w:val="auto"/>
        </w:rPr>
        <w:t>模块单元的出厂检验应包括下列内容：</w:t>
      </w:r>
    </w:p>
    <w:p w14:paraId="18BF78F3">
      <w:pPr>
        <w:spacing w:line="312" w:lineRule="auto"/>
        <w:ind w:firstLine="422" w:firstLineChars="200"/>
        <w:rPr>
          <w:color w:val="auto"/>
        </w:rPr>
      </w:pPr>
      <w:r>
        <w:rPr>
          <w:rFonts w:hint="eastAsia"/>
          <w:b/>
          <w:color w:val="auto"/>
        </w:rPr>
        <w:t>1</w:t>
      </w:r>
      <w:r>
        <w:rPr>
          <w:color w:val="auto"/>
        </w:rPr>
        <w:t xml:space="preserve">  </w:t>
      </w:r>
      <w:r>
        <w:rPr>
          <w:rFonts w:hint="eastAsia"/>
          <w:color w:val="auto"/>
        </w:rPr>
        <w:t>模块单元的外观质量检验；</w:t>
      </w:r>
    </w:p>
    <w:p w14:paraId="2688FB9A">
      <w:pPr>
        <w:spacing w:line="312" w:lineRule="auto"/>
        <w:ind w:firstLine="422" w:firstLineChars="200"/>
        <w:rPr>
          <w:color w:val="auto"/>
        </w:rPr>
      </w:pPr>
      <w:r>
        <w:rPr>
          <w:rFonts w:hint="eastAsia"/>
          <w:b/>
          <w:color w:val="auto"/>
        </w:rPr>
        <w:t>2</w:t>
      </w:r>
      <w:r>
        <w:rPr>
          <w:color w:val="auto"/>
        </w:rPr>
        <w:t xml:space="preserve">  </w:t>
      </w:r>
      <w:r>
        <w:rPr>
          <w:rFonts w:hint="eastAsia"/>
          <w:color w:val="auto"/>
        </w:rPr>
        <w:t>模块单元的淋水试验；</w:t>
      </w:r>
    </w:p>
    <w:p w14:paraId="71270838">
      <w:pPr>
        <w:spacing w:line="312" w:lineRule="auto"/>
        <w:ind w:firstLine="422" w:firstLineChars="200"/>
        <w:rPr>
          <w:color w:val="auto"/>
        </w:rPr>
      </w:pPr>
      <w:r>
        <w:rPr>
          <w:rFonts w:hint="eastAsia"/>
          <w:b/>
          <w:color w:val="auto"/>
        </w:rPr>
        <w:t>3</w:t>
      </w:r>
      <w:r>
        <w:rPr>
          <w:color w:val="auto"/>
        </w:rPr>
        <w:t xml:space="preserve">  </w:t>
      </w:r>
      <w:r>
        <w:rPr>
          <w:rFonts w:hint="eastAsia"/>
          <w:color w:val="auto"/>
        </w:rPr>
        <w:t>模块单元的使用功能检验；</w:t>
      </w:r>
    </w:p>
    <w:p w14:paraId="36633704">
      <w:pPr>
        <w:spacing w:line="312" w:lineRule="auto"/>
        <w:ind w:firstLine="422" w:firstLineChars="200"/>
        <w:rPr>
          <w:color w:val="auto"/>
        </w:rPr>
      </w:pPr>
      <w:r>
        <w:rPr>
          <w:rFonts w:hint="eastAsia"/>
          <w:b/>
          <w:color w:val="auto"/>
        </w:rPr>
        <w:t>4</w:t>
      </w:r>
      <w:r>
        <w:rPr>
          <w:color w:val="auto"/>
        </w:rPr>
        <w:t xml:space="preserve">  </w:t>
      </w:r>
      <w:r>
        <w:rPr>
          <w:rFonts w:hint="eastAsia"/>
          <w:color w:val="auto"/>
        </w:rPr>
        <w:t>模块单元的生产过程资料检验。</w:t>
      </w:r>
    </w:p>
    <w:p w14:paraId="7903C158">
      <w:pPr>
        <w:pStyle w:val="33"/>
        <w:rPr>
          <w:color w:val="auto"/>
        </w:rPr>
      </w:pPr>
      <w:r>
        <w:rPr>
          <w:rFonts w:hint="eastAsia" w:ascii="楷体" w:hAnsi="楷体" w:cs="楷体"/>
          <w:color w:val="auto"/>
          <w:szCs w:val="21"/>
        </w:rPr>
        <w:t>【条文说明】</w:t>
      </w:r>
      <w:r>
        <w:rPr>
          <w:rFonts w:hint="eastAsia"/>
          <w:color w:val="auto"/>
        </w:rPr>
        <w:t>模块单元在出厂时需对外观质量、装修质量、吊装性能、防水性能、使用功能及生产过程资料进行检查，对于模块单元制作尺寸、装饰构件尺寸等，通过生产过程中的质量控制，出厂时采用抽检的方式进行检验。</w:t>
      </w:r>
    </w:p>
    <w:p w14:paraId="2219F33F">
      <w:pPr>
        <w:numPr>
          <w:ilvl w:val="0"/>
          <w:numId w:val="32"/>
        </w:numPr>
        <w:spacing w:line="312" w:lineRule="auto"/>
        <w:rPr>
          <w:color w:val="auto"/>
        </w:rPr>
      </w:pPr>
      <w:r>
        <w:rPr>
          <w:rFonts w:hint="eastAsia"/>
          <w:color w:val="auto"/>
        </w:rPr>
        <w:t>所有模块单元应进行淋水、通电、通水等必要测试，所有模块单元卫生间、阳台地面防水性能应通过蓄水试验，出厂时应具备相关可追溯的质量合格证明文件。</w:t>
      </w:r>
    </w:p>
    <w:p w14:paraId="1EDFBC12">
      <w:pPr>
        <w:numPr>
          <w:ilvl w:val="0"/>
          <w:numId w:val="32"/>
        </w:numPr>
        <w:spacing w:line="312" w:lineRule="auto"/>
        <w:rPr>
          <w:color w:val="auto"/>
        </w:rPr>
      </w:pPr>
      <w:r>
        <w:rPr>
          <w:rFonts w:hint="eastAsia"/>
          <w:color w:val="auto"/>
        </w:rPr>
        <w:t>模块结构出厂前，应对构配件的内在质量、外观质量、尺寸精度进行验收和吊点部位预埋件的隐蔽验收，应形成验收记录，并出具出厂合格证、质量保证书和检验报告；混凝土模块结构出厂时强度应达到设计要求。</w:t>
      </w:r>
    </w:p>
    <w:p w14:paraId="54A6827F">
      <w:pPr>
        <w:pStyle w:val="33"/>
        <w:rPr>
          <w:rFonts w:ascii="楷体" w:hAnsi="楷体" w:cs="楷体"/>
          <w:color w:val="auto"/>
          <w:szCs w:val="21"/>
        </w:rPr>
      </w:pPr>
      <w:r>
        <w:rPr>
          <w:rFonts w:hint="eastAsia" w:ascii="楷体" w:hAnsi="楷体" w:cs="楷体"/>
          <w:color w:val="auto"/>
          <w:szCs w:val="21"/>
        </w:rPr>
        <w:t>【条文说明】模块单元不应有影响结构性能、安装和使用功能的尺寸偏差。对超过尺寸允许偏差且影响结构性能和安装、使用功能的部位应制定技术处理方案进行处理，并重新检查验收。</w:t>
      </w:r>
    </w:p>
    <w:p w14:paraId="23E059E0">
      <w:pPr>
        <w:numPr>
          <w:ilvl w:val="0"/>
          <w:numId w:val="32"/>
        </w:numPr>
        <w:spacing w:line="312" w:lineRule="auto"/>
        <w:rPr>
          <w:color w:val="auto"/>
        </w:rPr>
      </w:pPr>
      <w:r>
        <w:rPr>
          <w:rFonts w:hint="eastAsia"/>
          <w:color w:val="auto"/>
        </w:rPr>
        <w:t>模块单元的混凝土外观质量不应有严重缺陷，对已经出现的严重缺陷应制定技术处理方案进行处理并重新检验，对出现的一般缺陷应进行修整并达到合格。</w:t>
      </w:r>
    </w:p>
    <w:p w14:paraId="44D0040C">
      <w:pPr>
        <w:pStyle w:val="26"/>
        <w:rPr>
          <w:color w:val="auto"/>
        </w:rPr>
      </w:pPr>
      <w:r>
        <w:rPr>
          <w:rFonts w:hint="eastAsia"/>
          <w:color w:val="auto"/>
        </w:rPr>
        <w:t>表9.6.4 模块单元外观质量缺陷分类</w:t>
      </w:r>
    </w:p>
    <w:tbl>
      <w:tblPr>
        <w:tblStyle w:val="17"/>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2109"/>
        <w:gridCol w:w="2436"/>
        <w:gridCol w:w="3111"/>
      </w:tblGrid>
      <w:tr w14:paraId="3B5858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4" w:hRule="atLeast"/>
          <w:tblHeader/>
          <w:jc w:val="center"/>
        </w:trPr>
        <w:tc>
          <w:tcPr>
            <w:tcW w:w="1416" w:type="dxa"/>
            <w:vAlign w:val="center"/>
          </w:tcPr>
          <w:p w14:paraId="2A76FED8">
            <w:pPr>
              <w:pStyle w:val="27"/>
              <w:rPr>
                <w:color w:val="auto"/>
              </w:rPr>
            </w:pPr>
            <w:r>
              <w:rPr>
                <w:rFonts w:hint="eastAsia"/>
                <w:color w:val="auto"/>
              </w:rPr>
              <w:t>名称</w:t>
            </w:r>
          </w:p>
        </w:tc>
        <w:tc>
          <w:tcPr>
            <w:tcW w:w="2109" w:type="dxa"/>
            <w:vAlign w:val="center"/>
          </w:tcPr>
          <w:p w14:paraId="423324CB">
            <w:pPr>
              <w:pStyle w:val="27"/>
              <w:rPr>
                <w:color w:val="auto"/>
              </w:rPr>
            </w:pPr>
            <w:r>
              <w:rPr>
                <w:rFonts w:hint="eastAsia"/>
                <w:color w:val="auto"/>
              </w:rPr>
              <w:t>现象</w:t>
            </w:r>
          </w:p>
        </w:tc>
        <w:tc>
          <w:tcPr>
            <w:tcW w:w="2436" w:type="dxa"/>
            <w:vAlign w:val="center"/>
          </w:tcPr>
          <w:p w14:paraId="002B2435">
            <w:pPr>
              <w:pStyle w:val="27"/>
              <w:rPr>
                <w:color w:val="auto"/>
              </w:rPr>
            </w:pPr>
            <w:r>
              <w:rPr>
                <w:rFonts w:hint="eastAsia"/>
                <w:color w:val="auto"/>
              </w:rPr>
              <w:t>严重缺陷</w:t>
            </w:r>
          </w:p>
        </w:tc>
        <w:tc>
          <w:tcPr>
            <w:tcW w:w="3111" w:type="dxa"/>
            <w:vAlign w:val="center"/>
          </w:tcPr>
          <w:p w14:paraId="2A3C4D00">
            <w:pPr>
              <w:pStyle w:val="27"/>
              <w:rPr>
                <w:color w:val="auto"/>
              </w:rPr>
            </w:pPr>
            <w:r>
              <w:rPr>
                <w:rFonts w:hint="eastAsia"/>
                <w:color w:val="auto"/>
              </w:rPr>
              <w:t>一般缺陷</w:t>
            </w:r>
          </w:p>
        </w:tc>
      </w:tr>
      <w:tr w14:paraId="037A74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416" w:type="dxa"/>
            <w:vAlign w:val="center"/>
          </w:tcPr>
          <w:p w14:paraId="5B07DD0D">
            <w:pPr>
              <w:pStyle w:val="27"/>
              <w:rPr>
                <w:color w:val="auto"/>
              </w:rPr>
            </w:pPr>
            <w:r>
              <w:rPr>
                <w:rFonts w:hint="eastAsia"/>
                <w:color w:val="auto"/>
              </w:rPr>
              <w:t>露筋</w:t>
            </w:r>
          </w:p>
        </w:tc>
        <w:tc>
          <w:tcPr>
            <w:tcW w:w="2109" w:type="dxa"/>
            <w:vAlign w:val="center"/>
          </w:tcPr>
          <w:p w14:paraId="6033867C">
            <w:pPr>
              <w:pStyle w:val="27"/>
              <w:rPr>
                <w:color w:val="auto"/>
              </w:rPr>
            </w:pPr>
            <w:r>
              <w:rPr>
                <w:rFonts w:hint="eastAsia"/>
                <w:color w:val="auto"/>
              </w:rPr>
              <w:t>钢筋未被混凝土包裹而外露</w:t>
            </w:r>
          </w:p>
        </w:tc>
        <w:tc>
          <w:tcPr>
            <w:tcW w:w="2436" w:type="dxa"/>
            <w:vAlign w:val="center"/>
          </w:tcPr>
          <w:p w14:paraId="2C990EC6">
            <w:pPr>
              <w:pStyle w:val="27"/>
              <w:rPr>
                <w:color w:val="auto"/>
              </w:rPr>
            </w:pPr>
            <w:r>
              <w:rPr>
                <w:rFonts w:hint="eastAsia"/>
                <w:color w:val="auto"/>
              </w:rPr>
              <w:t>纵向受力钢筋有露筋</w:t>
            </w:r>
          </w:p>
        </w:tc>
        <w:tc>
          <w:tcPr>
            <w:tcW w:w="3111" w:type="dxa"/>
            <w:vAlign w:val="center"/>
          </w:tcPr>
          <w:p w14:paraId="32706576">
            <w:pPr>
              <w:pStyle w:val="27"/>
              <w:rPr>
                <w:color w:val="auto"/>
              </w:rPr>
            </w:pPr>
            <w:r>
              <w:rPr>
                <w:rFonts w:hint="eastAsia"/>
                <w:color w:val="auto"/>
              </w:rPr>
              <w:t>其他钢筋有少量露筋</w:t>
            </w:r>
          </w:p>
        </w:tc>
      </w:tr>
      <w:tr w14:paraId="1CD3F5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416" w:type="dxa"/>
            <w:vAlign w:val="center"/>
          </w:tcPr>
          <w:p w14:paraId="1387EA3D">
            <w:pPr>
              <w:pStyle w:val="27"/>
              <w:rPr>
                <w:color w:val="auto"/>
              </w:rPr>
            </w:pPr>
            <w:r>
              <w:rPr>
                <w:rFonts w:hint="eastAsia"/>
                <w:color w:val="auto"/>
              </w:rPr>
              <w:t>蜂窝</w:t>
            </w:r>
          </w:p>
        </w:tc>
        <w:tc>
          <w:tcPr>
            <w:tcW w:w="2109" w:type="dxa"/>
            <w:vAlign w:val="center"/>
          </w:tcPr>
          <w:p w14:paraId="11024526">
            <w:pPr>
              <w:pStyle w:val="27"/>
              <w:rPr>
                <w:color w:val="auto"/>
              </w:rPr>
            </w:pPr>
            <w:r>
              <w:rPr>
                <w:rFonts w:hint="eastAsia"/>
                <w:color w:val="auto"/>
              </w:rPr>
              <w:t>混凝土表面缺少水泥砂浆而形成石子外露</w:t>
            </w:r>
          </w:p>
        </w:tc>
        <w:tc>
          <w:tcPr>
            <w:tcW w:w="2436" w:type="dxa"/>
            <w:vAlign w:val="center"/>
          </w:tcPr>
          <w:p w14:paraId="1628B36F">
            <w:pPr>
              <w:pStyle w:val="27"/>
              <w:rPr>
                <w:color w:val="auto"/>
              </w:rPr>
            </w:pPr>
            <w:r>
              <w:rPr>
                <w:rFonts w:hint="eastAsia"/>
                <w:color w:val="auto"/>
              </w:rPr>
              <w:t>结构主要受力部位有蜂窝</w:t>
            </w:r>
          </w:p>
        </w:tc>
        <w:tc>
          <w:tcPr>
            <w:tcW w:w="3111" w:type="dxa"/>
            <w:vAlign w:val="center"/>
          </w:tcPr>
          <w:p w14:paraId="76E25FD5">
            <w:pPr>
              <w:pStyle w:val="27"/>
              <w:rPr>
                <w:color w:val="auto"/>
              </w:rPr>
            </w:pPr>
            <w:r>
              <w:rPr>
                <w:rFonts w:hint="eastAsia"/>
                <w:color w:val="auto"/>
              </w:rPr>
              <w:t>其他部位有少量蜂窝</w:t>
            </w:r>
          </w:p>
        </w:tc>
      </w:tr>
      <w:tr w14:paraId="0F7B73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416" w:type="dxa"/>
            <w:vAlign w:val="center"/>
          </w:tcPr>
          <w:p w14:paraId="540CB528">
            <w:pPr>
              <w:pStyle w:val="27"/>
              <w:rPr>
                <w:color w:val="auto"/>
              </w:rPr>
            </w:pPr>
            <w:r>
              <w:rPr>
                <w:rFonts w:hint="eastAsia"/>
                <w:color w:val="auto"/>
              </w:rPr>
              <w:t>孔洞</w:t>
            </w:r>
          </w:p>
        </w:tc>
        <w:tc>
          <w:tcPr>
            <w:tcW w:w="2109" w:type="dxa"/>
            <w:vAlign w:val="center"/>
          </w:tcPr>
          <w:p w14:paraId="1A9CDFBF">
            <w:pPr>
              <w:pStyle w:val="27"/>
              <w:rPr>
                <w:color w:val="auto"/>
              </w:rPr>
            </w:pPr>
            <w:r>
              <w:rPr>
                <w:rFonts w:hint="eastAsia"/>
                <w:color w:val="auto"/>
              </w:rPr>
              <w:t>混凝土中孔穴深度和长度均超过保护层厚度</w:t>
            </w:r>
          </w:p>
        </w:tc>
        <w:tc>
          <w:tcPr>
            <w:tcW w:w="2436" w:type="dxa"/>
            <w:vAlign w:val="center"/>
          </w:tcPr>
          <w:p w14:paraId="4B0D3A3B">
            <w:pPr>
              <w:pStyle w:val="27"/>
              <w:rPr>
                <w:color w:val="auto"/>
              </w:rPr>
            </w:pPr>
            <w:r>
              <w:rPr>
                <w:rFonts w:hint="eastAsia"/>
                <w:color w:val="auto"/>
              </w:rPr>
              <w:t>结构主要受力部位有孔洞</w:t>
            </w:r>
          </w:p>
        </w:tc>
        <w:tc>
          <w:tcPr>
            <w:tcW w:w="3111" w:type="dxa"/>
            <w:vAlign w:val="center"/>
          </w:tcPr>
          <w:p w14:paraId="1A219CEB">
            <w:pPr>
              <w:pStyle w:val="27"/>
              <w:rPr>
                <w:color w:val="auto"/>
              </w:rPr>
            </w:pPr>
            <w:r>
              <w:rPr>
                <w:rFonts w:hint="eastAsia"/>
                <w:color w:val="auto"/>
              </w:rPr>
              <w:t>其他部位有少量孔洞</w:t>
            </w:r>
          </w:p>
        </w:tc>
      </w:tr>
      <w:tr w14:paraId="503492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416" w:type="dxa"/>
            <w:vAlign w:val="center"/>
          </w:tcPr>
          <w:p w14:paraId="589BB47B">
            <w:pPr>
              <w:pStyle w:val="27"/>
              <w:rPr>
                <w:color w:val="auto"/>
              </w:rPr>
            </w:pPr>
            <w:r>
              <w:rPr>
                <w:rFonts w:hint="eastAsia"/>
                <w:color w:val="auto"/>
              </w:rPr>
              <w:t>夹渣</w:t>
            </w:r>
          </w:p>
        </w:tc>
        <w:tc>
          <w:tcPr>
            <w:tcW w:w="2109" w:type="dxa"/>
            <w:vAlign w:val="center"/>
          </w:tcPr>
          <w:p w14:paraId="61BD4424">
            <w:pPr>
              <w:pStyle w:val="27"/>
              <w:rPr>
                <w:color w:val="auto"/>
              </w:rPr>
            </w:pPr>
            <w:r>
              <w:rPr>
                <w:rFonts w:hint="eastAsia"/>
                <w:color w:val="auto"/>
              </w:rPr>
              <w:t>混凝土中夹有杂物且深度超过保护层厚度</w:t>
            </w:r>
          </w:p>
        </w:tc>
        <w:tc>
          <w:tcPr>
            <w:tcW w:w="2436" w:type="dxa"/>
            <w:vAlign w:val="center"/>
          </w:tcPr>
          <w:p w14:paraId="015A1A75">
            <w:pPr>
              <w:pStyle w:val="27"/>
              <w:rPr>
                <w:color w:val="auto"/>
              </w:rPr>
            </w:pPr>
            <w:r>
              <w:rPr>
                <w:rFonts w:hint="eastAsia"/>
                <w:color w:val="auto"/>
              </w:rPr>
              <w:t>结构主要受力部位有夹渣</w:t>
            </w:r>
          </w:p>
        </w:tc>
        <w:tc>
          <w:tcPr>
            <w:tcW w:w="3111" w:type="dxa"/>
            <w:vAlign w:val="center"/>
          </w:tcPr>
          <w:p w14:paraId="00DDB2DA">
            <w:pPr>
              <w:pStyle w:val="27"/>
              <w:rPr>
                <w:color w:val="auto"/>
              </w:rPr>
            </w:pPr>
            <w:r>
              <w:rPr>
                <w:rFonts w:hint="eastAsia"/>
                <w:color w:val="auto"/>
              </w:rPr>
              <w:t>其他部位有少量夹渣</w:t>
            </w:r>
          </w:p>
        </w:tc>
      </w:tr>
      <w:tr w14:paraId="0CF162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416" w:type="dxa"/>
            <w:vAlign w:val="center"/>
          </w:tcPr>
          <w:p w14:paraId="5D99F7FA">
            <w:pPr>
              <w:pStyle w:val="27"/>
              <w:rPr>
                <w:color w:val="auto"/>
              </w:rPr>
            </w:pPr>
            <w:r>
              <w:rPr>
                <w:rFonts w:hint="eastAsia"/>
                <w:color w:val="auto"/>
              </w:rPr>
              <w:t>疏松</w:t>
            </w:r>
          </w:p>
        </w:tc>
        <w:tc>
          <w:tcPr>
            <w:tcW w:w="2109" w:type="dxa"/>
            <w:vAlign w:val="center"/>
          </w:tcPr>
          <w:p w14:paraId="5948C944">
            <w:pPr>
              <w:pStyle w:val="27"/>
              <w:rPr>
                <w:color w:val="auto"/>
              </w:rPr>
            </w:pPr>
            <w:r>
              <w:rPr>
                <w:rFonts w:hint="eastAsia"/>
                <w:color w:val="auto"/>
              </w:rPr>
              <w:t>混凝土中局部不密实</w:t>
            </w:r>
          </w:p>
        </w:tc>
        <w:tc>
          <w:tcPr>
            <w:tcW w:w="2436" w:type="dxa"/>
            <w:vAlign w:val="center"/>
          </w:tcPr>
          <w:p w14:paraId="41A24ACB">
            <w:pPr>
              <w:pStyle w:val="27"/>
              <w:rPr>
                <w:color w:val="auto"/>
              </w:rPr>
            </w:pPr>
            <w:r>
              <w:rPr>
                <w:rFonts w:hint="eastAsia"/>
                <w:color w:val="auto"/>
              </w:rPr>
              <w:t>结构主要受力部位有疏松</w:t>
            </w:r>
          </w:p>
        </w:tc>
        <w:tc>
          <w:tcPr>
            <w:tcW w:w="3111" w:type="dxa"/>
            <w:vAlign w:val="center"/>
          </w:tcPr>
          <w:p w14:paraId="7468F481">
            <w:pPr>
              <w:pStyle w:val="27"/>
              <w:rPr>
                <w:color w:val="auto"/>
              </w:rPr>
            </w:pPr>
            <w:r>
              <w:rPr>
                <w:rFonts w:hint="eastAsia"/>
                <w:color w:val="auto"/>
              </w:rPr>
              <w:t>其他部位有少量疏松</w:t>
            </w:r>
          </w:p>
        </w:tc>
      </w:tr>
      <w:tr w14:paraId="17F483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416" w:type="dxa"/>
            <w:vAlign w:val="center"/>
          </w:tcPr>
          <w:p w14:paraId="58321A82">
            <w:pPr>
              <w:pStyle w:val="27"/>
              <w:rPr>
                <w:color w:val="auto"/>
              </w:rPr>
            </w:pPr>
            <w:r>
              <w:rPr>
                <w:rFonts w:hint="eastAsia"/>
                <w:color w:val="auto"/>
              </w:rPr>
              <w:t>裂缝</w:t>
            </w:r>
          </w:p>
        </w:tc>
        <w:tc>
          <w:tcPr>
            <w:tcW w:w="2109" w:type="dxa"/>
            <w:vAlign w:val="center"/>
          </w:tcPr>
          <w:p w14:paraId="03A85F22">
            <w:pPr>
              <w:pStyle w:val="27"/>
              <w:rPr>
                <w:color w:val="auto"/>
              </w:rPr>
            </w:pPr>
            <w:r>
              <w:rPr>
                <w:rFonts w:hint="eastAsia"/>
                <w:color w:val="auto"/>
              </w:rPr>
              <w:t>缝隙从混凝土表面延伸至混凝土内部</w:t>
            </w:r>
          </w:p>
        </w:tc>
        <w:tc>
          <w:tcPr>
            <w:tcW w:w="2436" w:type="dxa"/>
            <w:vAlign w:val="center"/>
          </w:tcPr>
          <w:p w14:paraId="28B2C543">
            <w:pPr>
              <w:pStyle w:val="27"/>
              <w:rPr>
                <w:color w:val="auto"/>
              </w:rPr>
            </w:pPr>
            <w:r>
              <w:rPr>
                <w:rFonts w:hint="eastAsia"/>
                <w:color w:val="auto"/>
              </w:rPr>
              <w:t>结构主要受力部位有影响结构性能或使用功能的裂缝</w:t>
            </w:r>
          </w:p>
        </w:tc>
        <w:tc>
          <w:tcPr>
            <w:tcW w:w="3111" w:type="dxa"/>
            <w:vAlign w:val="center"/>
          </w:tcPr>
          <w:p w14:paraId="50150749">
            <w:pPr>
              <w:pStyle w:val="27"/>
              <w:rPr>
                <w:color w:val="auto"/>
              </w:rPr>
            </w:pPr>
            <w:r>
              <w:rPr>
                <w:rFonts w:hint="eastAsia"/>
                <w:color w:val="auto"/>
              </w:rPr>
              <w:t>其他部位有少量不影响结构性能或使用功能的裂缝</w:t>
            </w:r>
          </w:p>
        </w:tc>
      </w:tr>
      <w:tr w14:paraId="096B28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416" w:type="dxa"/>
            <w:vAlign w:val="center"/>
          </w:tcPr>
          <w:p w14:paraId="75436C27">
            <w:pPr>
              <w:pStyle w:val="27"/>
              <w:rPr>
                <w:color w:val="auto"/>
              </w:rPr>
            </w:pPr>
            <w:r>
              <w:rPr>
                <w:rFonts w:hint="eastAsia"/>
                <w:color w:val="auto"/>
              </w:rPr>
              <w:t>连接部位缺陷</w:t>
            </w:r>
          </w:p>
        </w:tc>
        <w:tc>
          <w:tcPr>
            <w:tcW w:w="2109" w:type="dxa"/>
            <w:vAlign w:val="center"/>
          </w:tcPr>
          <w:p w14:paraId="7DBF2CC4">
            <w:pPr>
              <w:pStyle w:val="27"/>
              <w:rPr>
                <w:color w:val="auto"/>
              </w:rPr>
            </w:pPr>
            <w:r>
              <w:rPr>
                <w:rFonts w:hint="eastAsia"/>
                <w:color w:val="auto"/>
              </w:rPr>
              <w:t>结构连接处混凝土缺陷及连接钢筋、连结件松动，插筋严重锈蚀、弯曲，灌浆套筒堵塞、偏位，灌浆孔洞堵塞、偏位、破损等缺陷</w:t>
            </w:r>
          </w:p>
        </w:tc>
        <w:tc>
          <w:tcPr>
            <w:tcW w:w="2436" w:type="dxa"/>
            <w:vAlign w:val="center"/>
          </w:tcPr>
          <w:p w14:paraId="02DD9E4B">
            <w:pPr>
              <w:pStyle w:val="27"/>
              <w:rPr>
                <w:color w:val="auto"/>
              </w:rPr>
            </w:pPr>
            <w:r>
              <w:rPr>
                <w:rFonts w:hint="eastAsia"/>
                <w:color w:val="auto"/>
              </w:rPr>
              <w:t>连接部位有影响结构传力性能的缺陷</w:t>
            </w:r>
          </w:p>
        </w:tc>
        <w:tc>
          <w:tcPr>
            <w:tcW w:w="3111" w:type="dxa"/>
            <w:vAlign w:val="center"/>
          </w:tcPr>
          <w:p w14:paraId="74FF81CD">
            <w:pPr>
              <w:pStyle w:val="27"/>
              <w:rPr>
                <w:color w:val="auto"/>
              </w:rPr>
            </w:pPr>
            <w:r>
              <w:rPr>
                <w:rFonts w:hint="eastAsia"/>
                <w:color w:val="auto"/>
              </w:rPr>
              <w:t>连接部位有基本不影响结构传力性能的缺陷</w:t>
            </w:r>
          </w:p>
        </w:tc>
      </w:tr>
      <w:tr w14:paraId="39A48F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416" w:type="dxa"/>
            <w:vAlign w:val="center"/>
          </w:tcPr>
          <w:p w14:paraId="0EBDE398">
            <w:pPr>
              <w:pStyle w:val="27"/>
              <w:rPr>
                <w:color w:val="auto"/>
              </w:rPr>
            </w:pPr>
            <w:r>
              <w:rPr>
                <w:rFonts w:hint="eastAsia"/>
                <w:color w:val="auto"/>
              </w:rPr>
              <w:t>外形缺陷</w:t>
            </w:r>
          </w:p>
        </w:tc>
        <w:tc>
          <w:tcPr>
            <w:tcW w:w="2109" w:type="dxa"/>
            <w:vAlign w:val="center"/>
          </w:tcPr>
          <w:p w14:paraId="080E2EF4">
            <w:pPr>
              <w:pStyle w:val="27"/>
              <w:rPr>
                <w:color w:val="auto"/>
              </w:rPr>
            </w:pPr>
            <w:r>
              <w:rPr>
                <w:rFonts w:hint="eastAsia"/>
                <w:color w:val="auto"/>
              </w:rPr>
              <w:t>缺棱掉角、棱角不直、翘曲不平、飞出凸肋等</w:t>
            </w:r>
          </w:p>
        </w:tc>
        <w:tc>
          <w:tcPr>
            <w:tcW w:w="2436" w:type="dxa"/>
            <w:vAlign w:val="center"/>
          </w:tcPr>
          <w:p w14:paraId="1A41CB0D">
            <w:pPr>
              <w:pStyle w:val="27"/>
              <w:rPr>
                <w:color w:val="auto"/>
              </w:rPr>
            </w:pPr>
            <w:r>
              <w:rPr>
                <w:rFonts w:hint="eastAsia"/>
                <w:color w:val="auto"/>
              </w:rPr>
              <w:t>混凝土构件有影响使用功能的外形缺陷</w:t>
            </w:r>
          </w:p>
        </w:tc>
        <w:tc>
          <w:tcPr>
            <w:tcW w:w="3111" w:type="dxa"/>
            <w:vAlign w:val="center"/>
          </w:tcPr>
          <w:p w14:paraId="7EF55BF2">
            <w:pPr>
              <w:pStyle w:val="27"/>
              <w:rPr>
                <w:color w:val="auto"/>
              </w:rPr>
            </w:pPr>
            <w:r>
              <w:rPr>
                <w:rFonts w:hint="eastAsia"/>
                <w:color w:val="auto"/>
              </w:rPr>
              <w:t>其他混凝土构件有不影响使用功能的外形缺陷</w:t>
            </w:r>
          </w:p>
        </w:tc>
      </w:tr>
      <w:tr w14:paraId="03C65F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416" w:type="dxa"/>
            <w:vAlign w:val="center"/>
          </w:tcPr>
          <w:p w14:paraId="29EC54FC">
            <w:pPr>
              <w:pStyle w:val="27"/>
              <w:rPr>
                <w:color w:val="auto"/>
              </w:rPr>
            </w:pPr>
            <w:r>
              <w:rPr>
                <w:rFonts w:hint="eastAsia"/>
                <w:color w:val="auto"/>
              </w:rPr>
              <w:t>外表缺陷</w:t>
            </w:r>
          </w:p>
        </w:tc>
        <w:tc>
          <w:tcPr>
            <w:tcW w:w="2109" w:type="dxa"/>
            <w:vAlign w:val="center"/>
          </w:tcPr>
          <w:p w14:paraId="39CF6A25">
            <w:pPr>
              <w:pStyle w:val="27"/>
              <w:rPr>
                <w:color w:val="auto"/>
              </w:rPr>
            </w:pPr>
            <w:r>
              <w:rPr>
                <w:rFonts w:hint="eastAsia"/>
                <w:color w:val="auto"/>
              </w:rPr>
              <w:t>混凝土表面麻面、掉皮、起砂、沾污等</w:t>
            </w:r>
          </w:p>
        </w:tc>
        <w:tc>
          <w:tcPr>
            <w:tcW w:w="2436" w:type="dxa"/>
            <w:vAlign w:val="center"/>
          </w:tcPr>
          <w:p w14:paraId="0656CEF0">
            <w:pPr>
              <w:pStyle w:val="27"/>
              <w:rPr>
                <w:color w:val="auto"/>
              </w:rPr>
            </w:pPr>
            <w:r>
              <w:rPr>
                <w:rFonts w:hint="eastAsia"/>
                <w:color w:val="auto"/>
              </w:rPr>
              <w:t>清水混凝土构件有外表缺陷</w:t>
            </w:r>
          </w:p>
        </w:tc>
        <w:tc>
          <w:tcPr>
            <w:tcW w:w="3111" w:type="dxa"/>
            <w:vAlign w:val="center"/>
          </w:tcPr>
          <w:p w14:paraId="6E758EF3">
            <w:pPr>
              <w:pStyle w:val="27"/>
              <w:rPr>
                <w:color w:val="auto"/>
              </w:rPr>
            </w:pPr>
            <w:r>
              <w:rPr>
                <w:rFonts w:hint="eastAsia"/>
                <w:color w:val="auto"/>
              </w:rPr>
              <w:t>其他混凝土构件有不影响使用功能的外表缺陷</w:t>
            </w:r>
          </w:p>
        </w:tc>
      </w:tr>
    </w:tbl>
    <w:p w14:paraId="6D1D9A1D">
      <w:pPr>
        <w:tabs>
          <w:tab w:val="left" w:pos="0"/>
        </w:tabs>
        <w:spacing w:line="312" w:lineRule="auto"/>
        <w:rPr>
          <w:color w:val="auto"/>
        </w:rPr>
      </w:pPr>
    </w:p>
    <w:p w14:paraId="5CC6AE19">
      <w:pPr>
        <w:numPr>
          <w:ilvl w:val="0"/>
          <w:numId w:val="32"/>
        </w:numPr>
        <w:spacing w:line="312" w:lineRule="auto"/>
        <w:rPr>
          <w:color w:val="auto"/>
        </w:rPr>
      </w:pPr>
      <w:r>
        <w:rPr>
          <w:rFonts w:hint="eastAsia"/>
          <w:color w:val="auto"/>
        </w:rPr>
        <w:t>模块单元的尺寸偏差和检验方法应符合表9.6.5的规定。</w:t>
      </w:r>
    </w:p>
    <w:p w14:paraId="1DE403EC">
      <w:pPr>
        <w:spacing w:line="312" w:lineRule="auto"/>
        <w:ind w:firstLine="420" w:firstLineChars="200"/>
        <w:rPr>
          <w:color w:val="auto"/>
          <w:szCs w:val="24"/>
        </w:rPr>
      </w:pPr>
      <w:r>
        <w:rPr>
          <w:rFonts w:hint="eastAsia"/>
          <w:color w:val="auto"/>
          <w:szCs w:val="24"/>
        </w:rPr>
        <w:t>检查数量：同种类型的模块单元不超过</w:t>
      </w:r>
      <w:r>
        <w:rPr>
          <w:color w:val="auto"/>
          <w:szCs w:val="24"/>
        </w:rPr>
        <w:t>10</w:t>
      </w:r>
      <w:r>
        <w:rPr>
          <w:rFonts w:hint="eastAsia"/>
          <w:color w:val="auto"/>
          <w:szCs w:val="24"/>
        </w:rPr>
        <w:t>个为一批，每批检查1个。</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05AD5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center"/>
          </w:tcPr>
          <w:p w14:paraId="60F93672">
            <w:pPr>
              <w:adjustRightInd w:val="0"/>
              <w:snapToGrid w:val="0"/>
              <w:jc w:val="center"/>
              <w:rPr>
                <w:color w:val="auto"/>
                <w:szCs w:val="24"/>
              </w:rPr>
            </w:pPr>
            <w:r>
              <w:rPr>
                <w:color w:val="auto"/>
              </w:rPr>
              <w:pict>
                <v:shape id="_x0000_i1032" o:spt="75" type="#_x0000_t75" style="height:127.5pt;width:244.5pt;" filled="f" o:preferrelative="t" stroked="f" coordsize="21600,21600">
                  <v:path/>
                  <v:fill on="f" focussize="0,0"/>
                  <v:stroke on="f" joinstyle="miter"/>
                  <v:imagedata r:id="rId76" o:title=""/>
                  <o:lock v:ext="edit" aspectratio="t"/>
                  <w10:wrap type="none"/>
                  <w10:anchorlock/>
                </v:shape>
              </w:pict>
            </w:r>
          </w:p>
        </w:tc>
      </w:tr>
    </w:tbl>
    <w:p w14:paraId="574A75B0">
      <w:pPr>
        <w:pStyle w:val="26"/>
        <w:rPr>
          <w:color w:val="auto"/>
        </w:rPr>
      </w:pPr>
      <w:r>
        <w:rPr>
          <w:rFonts w:hint="eastAsia"/>
          <w:color w:val="auto"/>
        </w:rPr>
        <w:t>图</w:t>
      </w:r>
      <w:r>
        <w:rPr>
          <w:rFonts w:hint="eastAsia"/>
          <w:b/>
          <w:color w:val="auto"/>
        </w:rPr>
        <w:t>9</w:t>
      </w:r>
      <w:r>
        <w:rPr>
          <w:rFonts w:ascii="宋体" w:hAnsi="宋体"/>
          <w:b/>
          <w:color w:val="auto"/>
        </w:rPr>
        <w:t>.</w:t>
      </w:r>
      <w:r>
        <w:rPr>
          <w:rFonts w:hint="eastAsia"/>
          <w:b/>
          <w:color w:val="auto"/>
        </w:rPr>
        <w:t>6</w:t>
      </w:r>
      <w:r>
        <w:rPr>
          <w:rFonts w:ascii="宋体" w:hAnsi="宋体"/>
          <w:b/>
          <w:color w:val="auto"/>
        </w:rPr>
        <w:t>.</w:t>
      </w:r>
      <w:r>
        <w:rPr>
          <w:rFonts w:hint="eastAsia"/>
          <w:b/>
          <w:color w:val="auto"/>
        </w:rPr>
        <w:t>5</w:t>
      </w:r>
      <w:r>
        <w:rPr>
          <w:color w:val="auto"/>
        </w:rPr>
        <w:t xml:space="preserve">  </w:t>
      </w:r>
      <w:r>
        <w:rPr>
          <w:rFonts w:hint="eastAsia"/>
          <w:color w:val="auto"/>
        </w:rPr>
        <w:t>模块单元外形尺寸示意图</w:t>
      </w:r>
    </w:p>
    <w:p w14:paraId="595C5932">
      <w:pPr>
        <w:pStyle w:val="26"/>
        <w:rPr>
          <w:color w:val="auto"/>
        </w:rPr>
      </w:pPr>
      <w:r>
        <w:rPr>
          <w:rFonts w:hint="eastAsia"/>
          <w:color w:val="auto"/>
        </w:rPr>
        <w:t>表</w:t>
      </w:r>
      <w:r>
        <w:rPr>
          <w:b/>
          <w:color w:val="auto"/>
        </w:rPr>
        <w:t>9</w:t>
      </w:r>
      <w:r>
        <w:rPr>
          <w:rFonts w:ascii="宋体" w:hAnsi="宋体"/>
          <w:b/>
          <w:color w:val="auto"/>
        </w:rPr>
        <w:t>.</w:t>
      </w:r>
      <w:r>
        <w:rPr>
          <w:rFonts w:hint="eastAsia"/>
          <w:b/>
          <w:color w:val="auto"/>
        </w:rPr>
        <w:t>6</w:t>
      </w:r>
      <w:r>
        <w:rPr>
          <w:rFonts w:ascii="宋体" w:hAnsi="宋体"/>
          <w:b/>
          <w:color w:val="auto"/>
        </w:rPr>
        <w:t>.</w:t>
      </w:r>
      <w:r>
        <w:rPr>
          <w:rFonts w:hint="eastAsia"/>
          <w:b/>
          <w:color w:val="auto"/>
        </w:rPr>
        <w:t>5</w:t>
      </w:r>
      <w:r>
        <w:rPr>
          <w:color w:val="auto"/>
        </w:rPr>
        <w:t xml:space="preserve">  </w:t>
      </w:r>
      <w:r>
        <w:rPr>
          <w:rFonts w:hint="eastAsia"/>
          <w:color w:val="auto"/>
        </w:rPr>
        <w:t>模块单元外形尺寸允许偏差及检验方法</w:t>
      </w:r>
    </w:p>
    <w:tbl>
      <w:tblPr>
        <w:tblStyle w:val="17"/>
        <w:tblW w:w="92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054"/>
        <w:gridCol w:w="3177"/>
        <w:gridCol w:w="1817"/>
        <w:gridCol w:w="1020"/>
        <w:gridCol w:w="1624"/>
      </w:tblGrid>
      <w:tr w14:paraId="53A9AB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67" w:type="dxa"/>
            <w:vAlign w:val="center"/>
          </w:tcPr>
          <w:p w14:paraId="2AE3E4B8">
            <w:pPr>
              <w:pStyle w:val="27"/>
              <w:rPr>
                <w:color w:val="auto"/>
              </w:rPr>
            </w:pPr>
            <w:r>
              <w:rPr>
                <w:rFonts w:hint="eastAsia"/>
                <w:color w:val="auto"/>
              </w:rPr>
              <w:t>项次</w:t>
            </w:r>
          </w:p>
        </w:tc>
        <w:tc>
          <w:tcPr>
            <w:tcW w:w="6048" w:type="dxa"/>
            <w:gridSpan w:val="3"/>
            <w:vAlign w:val="center"/>
          </w:tcPr>
          <w:p w14:paraId="59DE98D3">
            <w:pPr>
              <w:pStyle w:val="27"/>
              <w:rPr>
                <w:color w:val="auto"/>
              </w:rPr>
            </w:pPr>
            <w:r>
              <w:rPr>
                <w:color w:val="auto"/>
              </w:rPr>
              <w:t>项  目</w:t>
            </w:r>
          </w:p>
        </w:tc>
        <w:tc>
          <w:tcPr>
            <w:tcW w:w="1020" w:type="dxa"/>
            <w:vAlign w:val="center"/>
          </w:tcPr>
          <w:p w14:paraId="0A133503">
            <w:pPr>
              <w:pStyle w:val="27"/>
              <w:snapToGrid w:val="0"/>
              <w:rPr>
                <w:color w:val="auto"/>
              </w:rPr>
            </w:pPr>
            <w:r>
              <w:rPr>
                <w:color w:val="auto"/>
              </w:rPr>
              <w:t>允许偏差</w:t>
            </w:r>
          </w:p>
          <w:p w14:paraId="1F9B7455">
            <w:pPr>
              <w:pStyle w:val="27"/>
              <w:snapToGrid w:val="0"/>
              <w:rPr>
                <w:color w:val="auto"/>
              </w:rPr>
            </w:pPr>
            <w:r>
              <w:rPr>
                <w:rFonts w:hint="eastAsia"/>
                <w:color w:val="auto"/>
              </w:rPr>
              <w:t>（</w:t>
            </w:r>
            <w:r>
              <w:rPr>
                <w:color w:val="auto"/>
              </w:rPr>
              <w:t>mm</w:t>
            </w:r>
            <w:r>
              <w:rPr>
                <w:rFonts w:hint="eastAsia"/>
                <w:color w:val="auto"/>
              </w:rPr>
              <w:t>）</w:t>
            </w:r>
          </w:p>
        </w:tc>
        <w:tc>
          <w:tcPr>
            <w:tcW w:w="1624" w:type="dxa"/>
            <w:shd w:val="clear" w:color="auto" w:fill="auto"/>
            <w:vAlign w:val="center"/>
          </w:tcPr>
          <w:p w14:paraId="2E3F1938">
            <w:pPr>
              <w:pStyle w:val="27"/>
              <w:snapToGrid w:val="0"/>
              <w:rPr>
                <w:color w:val="auto"/>
              </w:rPr>
            </w:pPr>
            <w:r>
              <w:rPr>
                <w:color w:val="auto"/>
              </w:rPr>
              <w:t>检验方法</w:t>
            </w:r>
          </w:p>
        </w:tc>
      </w:tr>
      <w:tr w14:paraId="089B8C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dxa"/>
            <w:vMerge w:val="restart"/>
            <w:vAlign w:val="center"/>
          </w:tcPr>
          <w:p w14:paraId="4FF10039">
            <w:pPr>
              <w:pStyle w:val="27"/>
              <w:rPr>
                <w:color w:val="auto"/>
              </w:rPr>
            </w:pPr>
            <w:r>
              <w:rPr>
                <w:rFonts w:hint="eastAsia"/>
                <w:color w:val="auto"/>
              </w:rPr>
              <w:t>1</w:t>
            </w:r>
          </w:p>
        </w:tc>
        <w:tc>
          <w:tcPr>
            <w:tcW w:w="1054" w:type="dxa"/>
            <w:vMerge w:val="restart"/>
            <w:vAlign w:val="center"/>
          </w:tcPr>
          <w:p w14:paraId="58CF5F9D">
            <w:pPr>
              <w:pStyle w:val="27"/>
              <w:rPr>
                <w:color w:val="auto"/>
              </w:rPr>
            </w:pPr>
            <w:r>
              <w:rPr>
                <w:color w:val="auto"/>
              </w:rPr>
              <w:t>长度</w:t>
            </w:r>
          </w:p>
        </w:tc>
        <w:tc>
          <w:tcPr>
            <w:tcW w:w="3177" w:type="dxa"/>
            <w:vMerge w:val="restart"/>
            <w:vAlign w:val="center"/>
          </w:tcPr>
          <w:p w14:paraId="57EFED4C">
            <w:pPr>
              <w:pStyle w:val="27"/>
              <w:rPr>
                <w:color w:val="auto"/>
              </w:rPr>
            </w:pPr>
            <w:r>
              <w:rPr>
                <w:color w:val="auto"/>
              </w:rPr>
              <w:t>AB、A'B'、CD、C'D'</w:t>
            </w:r>
          </w:p>
        </w:tc>
        <w:tc>
          <w:tcPr>
            <w:tcW w:w="1817" w:type="dxa"/>
            <w:vAlign w:val="center"/>
          </w:tcPr>
          <w:p w14:paraId="3EF3532F">
            <w:pPr>
              <w:pStyle w:val="27"/>
              <w:rPr>
                <w:color w:val="auto"/>
              </w:rPr>
            </w:pPr>
            <w:r>
              <w:rPr>
                <w:color w:val="auto"/>
              </w:rPr>
              <w:t>≤6m</w:t>
            </w:r>
          </w:p>
        </w:tc>
        <w:tc>
          <w:tcPr>
            <w:tcW w:w="1020" w:type="dxa"/>
            <w:vAlign w:val="center"/>
          </w:tcPr>
          <w:p w14:paraId="34AF41AC">
            <w:pPr>
              <w:pStyle w:val="27"/>
              <w:rPr>
                <w:color w:val="auto"/>
              </w:rPr>
            </w:pPr>
            <w:r>
              <w:rPr>
                <w:color w:val="auto"/>
              </w:rPr>
              <w:t>-5，+2</w:t>
            </w:r>
          </w:p>
        </w:tc>
        <w:tc>
          <w:tcPr>
            <w:tcW w:w="1624" w:type="dxa"/>
            <w:vMerge w:val="restart"/>
            <w:shd w:val="clear" w:color="auto" w:fill="auto"/>
            <w:vAlign w:val="center"/>
          </w:tcPr>
          <w:p w14:paraId="752B0B8A">
            <w:pPr>
              <w:pStyle w:val="27"/>
              <w:snapToGrid w:val="0"/>
              <w:rPr>
                <w:color w:val="auto"/>
              </w:rPr>
            </w:pPr>
            <w:r>
              <w:rPr>
                <w:color w:val="auto"/>
              </w:rPr>
              <w:t>尺量检查</w:t>
            </w:r>
          </w:p>
        </w:tc>
      </w:tr>
      <w:tr w14:paraId="18A3A5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dxa"/>
            <w:vMerge w:val="continue"/>
            <w:vAlign w:val="center"/>
          </w:tcPr>
          <w:p w14:paraId="09DE3FEA">
            <w:pPr>
              <w:pStyle w:val="27"/>
              <w:rPr>
                <w:color w:val="auto"/>
              </w:rPr>
            </w:pPr>
          </w:p>
        </w:tc>
        <w:tc>
          <w:tcPr>
            <w:tcW w:w="1054" w:type="dxa"/>
            <w:vMerge w:val="continue"/>
            <w:vAlign w:val="center"/>
          </w:tcPr>
          <w:p w14:paraId="2D67104D">
            <w:pPr>
              <w:pStyle w:val="27"/>
              <w:rPr>
                <w:color w:val="auto"/>
              </w:rPr>
            </w:pPr>
          </w:p>
        </w:tc>
        <w:tc>
          <w:tcPr>
            <w:tcW w:w="3177" w:type="dxa"/>
            <w:vMerge w:val="continue"/>
            <w:vAlign w:val="center"/>
          </w:tcPr>
          <w:p w14:paraId="2E590E42">
            <w:pPr>
              <w:pStyle w:val="27"/>
              <w:rPr>
                <w:color w:val="auto"/>
              </w:rPr>
            </w:pPr>
          </w:p>
        </w:tc>
        <w:tc>
          <w:tcPr>
            <w:tcW w:w="1817" w:type="dxa"/>
            <w:vAlign w:val="center"/>
          </w:tcPr>
          <w:p w14:paraId="27056307">
            <w:pPr>
              <w:pStyle w:val="27"/>
              <w:rPr>
                <w:color w:val="auto"/>
              </w:rPr>
            </w:pPr>
            <w:r>
              <w:rPr>
                <w:color w:val="auto"/>
              </w:rPr>
              <w:t>&gt;6m</w:t>
            </w:r>
          </w:p>
        </w:tc>
        <w:tc>
          <w:tcPr>
            <w:tcW w:w="1020" w:type="dxa"/>
            <w:vAlign w:val="center"/>
          </w:tcPr>
          <w:p w14:paraId="4100E0B0">
            <w:pPr>
              <w:pStyle w:val="27"/>
              <w:rPr>
                <w:color w:val="auto"/>
              </w:rPr>
            </w:pPr>
            <w:bookmarkStart w:id="372" w:name="OLE_LINK2"/>
            <w:r>
              <w:rPr>
                <w:color w:val="auto"/>
              </w:rPr>
              <w:t>-10，+2</w:t>
            </w:r>
            <w:bookmarkEnd w:id="372"/>
          </w:p>
        </w:tc>
        <w:tc>
          <w:tcPr>
            <w:tcW w:w="1624" w:type="dxa"/>
            <w:vMerge w:val="continue"/>
            <w:shd w:val="clear" w:color="auto" w:fill="auto"/>
            <w:vAlign w:val="center"/>
          </w:tcPr>
          <w:p w14:paraId="5D842232">
            <w:pPr>
              <w:pStyle w:val="27"/>
              <w:snapToGrid w:val="0"/>
              <w:rPr>
                <w:color w:val="auto"/>
              </w:rPr>
            </w:pPr>
          </w:p>
        </w:tc>
      </w:tr>
      <w:tr w14:paraId="4E4C94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567" w:type="dxa"/>
            <w:vAlign w:val="center"/>
          </w:tcPr>
          <w:p w14:paraId="0DF2CE68">
            <w:pPr>
              <w:pStyle w:val="27"/>
              <w:rPr>
                <w:color w:val="auto"/>
              </w:rPr>
            </w:pPr>
            <w:r>
              <w:rPr>
                <w:rFonts w:hint="eastAsia"/>
                <w:color w:val="auto"/>
              </w:rPr>
              <w:t>2</w:t>
            </w:r>
          </w:p>
        </w:tc>
        <w:tc>
          <w:tcPr>
            <w:tcW w:w="1054" w:type="dxa"/>
            <w:vAlign w:val="center"/>
          </w:tcPr>
          <w:p w14:paraId="062B78D4">
            <w:pPr>
              <w:pStyle w:val="27"/>
              <w:rPr>
                <w:color w:val="auto"/>
              </w:rPr>
            </w:pPr>
            <w:r>
              <w:rPr>
                <w:color w:val="auto"/>
              </w:rPr>
              <w:t>宽度</w:t>
            </w:r>
          </w:p>
        </w:tc>
        <w:tc>
          <w:tcPr>
            <w:tcW w:w="4994" w:type="dxa"/>
            <w:gridSpan w:val="2"/>
            <w:vAlign w:val="center"/>
          </w:tcPr>
          <w:p w14:paraId="4BCB1496">
            <w:pPr>
              <w:pStyle w:val="27"/>
              <w:rPr>
                <w:color w:val="auto"/>
              </w:rPr>
            </w:pPr>
            <w:r>
              <w:rPr>
                <w:color w:val="auto"/>
              </w:rPr>
              <w:t>AC、A'C'、BD、B'D'</w:t>
            </w:r>
          </w:p>
        </w:tc>
        <w:tc>
          <w:tcPr>
            <w:tcW w:w="1020" w:type="dxa"/>
            <w:vAlign w:val="center"/>
          </w:tcPr>
          <w:p w14:paraId="78B65A61">
            <w:pPr>
              <w:pStyle w:val="27"/>
              <w:rPr>
                <w:color w:val="auto"/>
              </w:rPr>
            </w:pPr>
            <w:r>
              <w:rPr>
                <w:color w:val="auto"/>
              </w:rPr>
              <w:t>-5，+2</w:t>
            </w:r>
          </w:p>
        </w:tc>
        <w:tc>
          <w:tcPr>
            <w:tcW w:w="1624" w:type="dxa"/>
            <w:vMerge w:val="restart"/>
            <w:shd w:val="clear" w:color="auto" w:fill="auto"/>
            <w:vAlign w:val="center"/>
          </w:tcPr>
          <w:p w14:paraId="35E32CB4">
            <w:pPr>
              <w:pStyle w:val="27"/>
              <w:snapToGrid w:val="0"/>
              <w:rPr>
                <w:color w:val="auto"/>
              </w:rPr>
            </w:pPr>
            <w:r>
              <w:rPr>
                <w:color w:val="auto"/>
              </w:rPr>
              <w:t>钢尺量一端及中部，取其中偏差绝对值较大处</w:t>
            </w:r>
          </w:p>
        </w:tc>
      </w:tr>
      <w:tr w14:paraId="250CB9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dxa"/>
            <w:vAlign w:val="center"/>
          </w:tcPr>
          <w:p w14:paraId="6628201A">
            <w:pPr>
              <w:pStyle w:val="27"/>
              <w:rPr>
                <w:color w:val="auto"/>
              </w:rPr>
            </w:pPr>
            <w:r>
              <w:rPr>
                <w:rFonts w:hint="eastAsia"/>
                <w:color w:val="auto"/>
              </w:rPr>
              <w:t>3</w:t>
            </w:r>
          </w:p>
        </w:tc>
        <w:tc>
          <w:tcPr>
            <w:tcW w:w="1054" w:type="dxa"/>
            <w:vAlign w:val="center"/>
          </w:tcPr>
          <w:p w14:paraId="692A8C60">
            <w:pPr>
              <w:pStyle w:val="27"/>
              <w:rPr>
                <w:color w:val="auto"/>
              </w:rPr>
            </w:pPr>
            <w:r>
              <w:rPr>
                <w:color w:val="auto"/>
              </w:rPr>
              <w:t>高度</w:t>
            </w:r>
          </w:p>
        </w:tc>
        <w:tc>
          <w:tcPr>
            <w:tcW w:w="4994" w:type="dxa"/>
            <w:gridSpan w:val="2"/>
            <w:vAlign w:val="center"/>
          </w:tcPr>
          <w:p w14:paraId="6B149F29">
            <w:pPr>
              <w:pStyle w:val="27"/>
              <w:rPr>
                <w:color w:val="auto"/>
              </w:rPr>
            </w:pPr>
            <w:r>
              <w:rPr>
                <w:color w:val="auto"/>
              </w:rPr>
              <w:t>AA'、BB'、CC'、DD'</w:t>
            </w:r>
          </w:p>
        </w:tc>
        <w:tc>
          <w:tcPr>
            <w:tcW w:w="1020" w:type="dxa"/>
            <w:vAlign w:val="center"/>
          </w:tcPr>
          <w:p w14:paraId="78204126">
            <w:pPr>
              <w:pStyle w:val="27"/>
              <w:rPr>
                <w:color w:val="auto"/>
              </w:rPr>
            </w:pPr>
            <w:r>
              <w:rPr>
                <w:color w:val="auto"/>
              </w:rPr>
              <w:t>-5，+2</w:t>
            </w:r>
          </w:p>
        </w:tc>
        <w:tc>
          <w:tcPr>
            <w:tcW w:w="1624" w:type="dxa"/>
            <w:vMerge w:val="continue"/>
            <w:shd w:val="clear" w:color="auto" w:fill="auto"/>
            <w:vAlign w:val="center"/>
          </w:tcPr>
          <w:p w14:paraId="7F42CC73">
            <w:pPr>
              <w:pStyle w:val="27"/>
              <w:snapToGrid w:val="0"/>
              <w:rPr>
                <w:color w:val="auto"/>
              </w:rPr>
            </w:pPr>
          </w:p>
        </w:tc>
      </w:tr>
      <w:tr w14:paraId="7D6D81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dxa"/>
            <w:vAlign w:val="center"/>
          </w:tcPr>
          <w:p w14:paraId="3E2513DD">
            <w:pPr>
              <w:pStyle w:val="27"/>
              <w:rPr>
                <w:color w:val="auto"/>
              </w:rPr>
            </w:pPr>
            <w:r>
              <w:rPr>
                <w:rFonts w:hint="eastAsia"/>
                <w:color w:val="auto"/>
              </w:rPr>
              <w:t>4</w:t>
            </w:r>
          </w:p>
        </w:tc>
        <w:tc>
          <w:tcPr>
            <w:tcW w:w="1054" w:type="dxa"/>
            <w:vAlign w:val="center"/>
          </w:tcPr>
          <w:p w14:paraId="1BFE1357">
            <w:pPr>
              <w:pStyle w:val="27"/>
              <w:rPr>
                <w:color w:val="auto"/>
              </w:rPr>
            </w:pPr>
            <w:r>
              <w:rPr>
                <w:rFonts w:hint="eastAsia"/>
                <w:color w:val="auto"/>
              </w:rPr>
              <w:t>阴阳角方正</w:t>
            </w:r>
          </w:p>
        </w:tc>
        <w:tc>
          <w:tcPr>
            <w:tcW w:w="4994" w:type="dxa"/>
            <w:gridSpan w:val="2"/>
            <w:vAlign w:val="center"/>
          </w:tcPr>
          <w:p w14:paraId="7B2EABE6">
            <w:pPr>
              <w:pStyle w:val="27"/>
              <w:rPr>
                <w:color w:val="auto"/>
              </w:rPr>
            </w:pPr>
            <w:r>
              <w:rPr>
                <w:rFonts w:hint="eastAsia"/>
                <w:color w:val="auto"/>
              </w:rPr>
              <w:t>平面ABDC与平面AB</w:t>
            </w:r>
            <w:r>
              <w:rPr>
                <w:color w:val="auto"/>
              </w:rPr>
              <w:t>B'A'</w:t>
            </w:r>
            <w:r>
              <w:rPr>
                <w:rFonts w:hint="eastAsia"/>
                <w:color w:val="auto"/>
              </w:rPr>
              <w:t>、平面ABDC与平面ACC</w:t>
            </w:r>
            <w:r>
              <w:rPr>
                <w:color w:val="auto"/>
              </w:rPr>
              <w:t>'A'</w:t>
            </w:r>
            <w:r>
              <w:rPr>
                <w:rFonts w:hint="eastAsia"/>
                <w:color w:val="auto"/>
              </w:rPr>
              <w:t>、</w:t>
            </w:r>
          </w:p>
          <w:p w14:paraId="14F7399A">
            <w:pPr>
              <w:pStyle w:val="27"/>
              <w:rPr>
                <w:color w:val="auto"/>
              </w:rPr>
            </w:pPr>
            <w:r>
              <w:rPr>
                <w:rFonts w:hint="eastAsia"/>
                <w:color w:val="auto"/>
              </w:rPr>
              <w:t>平面ABDC与平面BDD</w:t>
            </w:r>
            <w:r>
              <w:rPr>
                <w:color w:val="auto"/>
              </w:rPr>
              <w:t>'</w:t>
            </w:r>
            <w:r>
              <w:rPr>
                <w:rFonts w:hint="eastAsia"/>
                <w:color w:val="auto"/>
              </w:rPr>
              <w:t>B</w:t>
            </w:r>
            <w:r>
              <w:rPr>
                <w:color w:val="auto"/>
              </w:rPr>
              <w:t>'</w:t>
            </w:r>
            <w:r>
              <w:rPr>
                <w:rFonts w:hint="eastAsia"/>
                <w:color w:val="auto"/>
              </w:rPr>
              <w:t>、平面ABDC与平面CDD</w:t>
            </w:r>
            <w:r>
              <w:rPr>
                <w:color w:val="auto"/>
              </w:rPr>
              <w:t>'</w:t>
            </w:r>
            <w:r>
              <w:rPr>
                <w:rFonts w:hint="eastAsia"/>
                <w:color w:val="auto"/>
              </w:rPr>
              <w:t>C</w:t>
            </w:r>
            <w:r>
              <w:rPr>
                <w:color w:val="auto"/>
              </w:rPr>
              <w:t>'</w:t>
            </w:r>
            <w:r>
              <w:rPr>
                <w:rFonts w:hint="eastAsia"/>
                <w:color w:val="auto"/>
              </w:rPr>
              <w:t>、</w:t>
            </w:r>
          </w:p>
          <w:p w14:paraId="66F3F0A5">
            <w:pPr>
              <w:pStyle w:val="27"/>
              <w:rPr>
                <w:color w:val="auto"/>
              </w:rPr>
            </w:pPr>
            <w:r>
              <w:rPr>
                <w:rFonts w:hint="eastAsia"/>
                <w:color w:val="auto"/>
              </w:rPr>
              <w:t>平面A</w:t>
            </w:r>
            <w:r>
              <w:rPr>
                <w:color w:val="auto"/>
              </w:rPr>
              <w:t>'</w:t>
            </w:r>
            <w:r>
              <w:rPr>
                <w:rFonts w:hint="eastAsia"/>
                <w:color w:val="auto"/>
              </w:rPr>
              <w:t>B</w:t>
            </w:r>
            <w:r>
              <w:rPr>
                <w:color w:val="auto"/>
              </w:rPr>
              <w:t>'</w:t>
            </w:r>
            <w:r>
              <w:rPr>
                <w:rFonts w:hint="eastAsia"/>
                <w:color w:val="auto"/>
              </w:rPr>
              <w:t>D</w:t>
            </w:r>
            <w:r>
              <w:rPr>
                <w:color w:val="auto"/>
              </w:rPr>
              <w:t>'</w:t>
            </w:r>
            <w:r>
              <w:rPr>
                <w:rFonts w:hint="eastAsia"/>
                <w:color w:val="auto"/>
              </w:rPr>
              <w:t>C</w:t>
            </w:r>
            <w:r>
              <w:rPr>
                <w:color w:val="auto"/>
              </w:rPr>
              <w:t>'</w:t>
            </w:r>
            <w:r>
              <w:rPr>
                <w:rFonts w:hint="eastAsia"/>
                <w:color w:val="auto"/>
              </w:rPr>
              <w:t>与平面AB</w:t>
            </w:r>
            <w:r>
              <w:rPr>
                <w:color w:val="auto"/>
              </w:rPr>
              <w:t>B'A'</w:t>
            </w:r>
            <w:r>
              <w:rPr>
                <w:rFonts w:hint="eastAsia"/>
                <w:color w:val="auto"/>
              </w:rPr>
              <w:t>、平面A</w:t>
            </w:r>
            <w:r>
              <w:rPr>
                <w:color w:val="auto"/>
              </w:rPr>
              <w:t>'</w:t>
            </w:r>
            <w:r>
              <w:rPr>
                <w:rFonts w:hint="eastAsia"/>
                <w:color w:val="auto"/>
              </w:rPr>
              <w:t>B</w:t>
            </w:r>
            <w:r>
              <w:rPr>
                <w:color w:val="auto"/>
              </w:rPr>
              <w:t>'</w:t>
            </w:r>
            <w:r>
              <w:rPr>
                <w:rFonts w:hint="eastAsia"/>
                <w:color w:val="auto"/>
              </w:rPr>
              <w:t>D</w:t>
            </w:r>
            <w:r>
              <w:rPr>
                <w:color w:val="auto"/>
              </w:rPr>
              <w:t>'</w:t>
            </w:r>
            <w:r>
              <w:rPr>
                <w:rFonts w:hint="eastAsia"/>
                <w:color w:val="auto"/>
              </w:rPr>
              <w:t>C</w:t>
            </w:r>
            <w:r>
              <w:rPr>
                <w:color w:val="auto"/>
              </w:rPr>
              <w:t>'</w:t>
            </w:r>
            <w:r>
              <w:rPr>
                <w:rFonts w:hint="eastAsia"/>
                <w:color w:val="auto"/>
              </w:rPr>
              <w:t>与平面ACC</w:t>
            </w:r>
            <w:r>
              <w:rPr>
                <w:color w:val="auto"/>
              </w:rPr>
              <w:t>'A'</w:t>
            </w:r>
            <w:r>
              <w:rPr>
                <w:rFonts w:hint="eastAsia"/>
                <w:color w:val="auto"/>
              </w:rPr>
              <w:t>、</w:t>
            </w:r>
          </w:p>
          <w:p w14:paraId="182184EB">
            <w:pPr>
              <w:pStyle w:val="27"/>
              <w:rPr>
                <w:color w:val="auto"/>
              </w:rPr>
            </w:pPr>
            <w:r>
              <w:rPr>
                <w:rFonts w:hint="eastAsia"/>
                <w:color w:val="auto"/>
              </w:rPr>
              <w:t>平面A</w:t>
            </w:r>
            <w:r>
              <w:rPr>
                <w:color w:val="auto"/>
              </w:rPr>
              <w:t>'</w:t>
            </w:r>
            <w:r>
              <w:rPr>
                <w:rFonts w:hint="eastAsia"/>
                <w:color w:val="auto"/>
              </w:rPr>
              <w:t>B</w:t>
            </w:r>
            <w:r>
              <w:rPr>
                <w:color w:val="auto"/>
              </w:rPr>
              <w:t>'</w:t>
            </w:r>
            <w:r>
              <w:rPr>
                <w:rFonts w:hint="eastAsia"/>
                <w:color w:val="auto"/>
              </w:rPr>
              <w:t>D</w:t>
            </w:r>
            <w:r>
              <w:rPr>
                <w:color w:val="auto"/>
              </w:rPr>
              <w:t>'</w:t>
            </w:r>
            <w:r>
              <w:rPr>
                <w:rFonts w:hint="eastAsia"/>
                <w:color w:val="auto"/>
              </w:rPr>
              <w:t>C</w:t>
            </w:r>
            <w:r>
              <w:rPr>
                <w:color w:val="auto"/>
              </w:rPr>
              <w:t>'</w:t>
            </w:r>
            <w:r>
              <w:rPr>
                <w:rFonts w:hint="eastAsia"/>
                <w:color w:val="auto"/>
              </w:rPr>
              <w:t>与平面BDD</w:t>
            </w:r>
            <w:r>
              <w:rPr>
                <w:color w:val="auto"/>
              </w:rPr>
              <w:t>'</w:t>
            </w:r>
            <w:r>
              <w:rPr>
                <w:rFonts w:hint="eastAsia"/>
                <w:color w:val="auto"/>
              </w:rPr>
              <w:t>B</w:t>
            </w:r>
            <w:r>
              <w:rPr>
                <w:color w:val="auto"/>
              </w:rPr>
              <w:t>'</w:t>
            </w:r>
            <w:r>
              <w:rPr>
                <w:rFonts w:hint="eastAsia"/>
                <w:color w:val="auto"/>
              </w:rPr>
              <w:t>、平面A</w:t>
            </w:r>
            <w:r>
              <w:rPr>
                <w:color w:val="auto"/>
              </w:rPr>
              <w:t>'</w:t>
            </w:r>
            <w:r>
              <w:rPr>
                <w:rFonts w:hint="eastAsia"/>
                <w:color w:val="auto"/>
              </w:rPr>
              <w:t>B</w:t>
            </w:r>
            <w:r>
              <w:rPr>
                <w:color w:val="auto"/>
              </w:rPr>
              <w:t>'</w:t>
            </w:r>
            <w:r>
              <w:rPr>
                <w:rFonts w:hint="eastAsia"/>
                <w:color w:val="auto"/>
              </w:rPr>
              <w:t>D</w:t>
            </w:r>
            <w:r>
              <w:rPr>
                <w:color w:val="auto"/>
              </w:rPr>
              <w:t>'</w:t>
            </w:r>
            <w:r>
              <w:rPr>
                <w:rFonts w:hint="eastAsia"/>
                <w:color w:val="auto"/>
              </w:rPr>
              <w:t>C</w:t>
            </w:r>
            <w:r>
              <w:rPr>
                <w:color w:val="auto"/>
              </w:rPr>
              <w:t>'</w:t>
            </w:r>
            <w:r>
              <w:rPr>
                <w:rFonts w:hint="eastAsia"/>
                <w:color w:val="auto"/>
              </w:rPr>
              <w:t>与平面CDD</w:t>
            </w:r>
            <w:r>
              <w:rPr>
                <w:color w:val="auto"/>
              </w:rPr>
              <w:t>'</w:t>
            </w:r>
            <w:r>
              <w:rPr>
                <w:rFonts w:hint="eastAsia"/>
                <w:color w:val="auto"/>
              </w:rPr>
              <w:t>C</w:t>
            </w:r>
            <w:r>
              <w:rPr>
                <w:color w:val="auto"/>
              </w:rPr>
              <w:t>'</w:t>
            </w:r>
            <w:r>
              <w:rPr>
                <w:rFonts w:hint="eastAsia"/>
                <w:color w:val="auto"/>
              </w:rPr>
              <w:t>、</w:t>
            </w:r>
          </w:p>
          <w:p w14:paraId="56E459DB">
            <w:pPr>
              <w:pStyle w:val="27"/>
              <w:rPr>
                <w:color w:val="auto"/>
              </w:rPr>
            </w:pPr>
            <w:r>
              <w:rPr>
                <w:rFonts w:hint="eastAsia"/>
                <w:color w:val="auto"/>
              </w:rPr>
              <w:t>平面AB</w:t>
            </w:r>
            <w:r>
              <w:rPr>
                <w:color w:val="auto"/>
              </w:rPr>
              <w:t>B'A'</w:t>
            </w:r>
            <w:r>
              <w:rPr>
                <w:rFonts w:hint="eastAsia"/>
                <w:color w:val="auto"/>
              </w:rPr>
              <w:t>与平面ACC</w:t>
            </w:r>
            <w:r>
              <w:rPr>
                <w:color w:val="auto"/>
              </w:rPr>
              <w:t>'A'</w:t>
            </w:r>
            <w:r>
              <w:rPr>
                <w:rFonts w:hint="eastAsia"/>
                <w:color w:val="auto"/>
              </w:rPr>
              <w:t>、平面AB</w:t>
            </w:r>
            <w:r>
              <w:rPr>
                <w:color w:val="auto"/>
              </w:rPr>
              <w:t>B'A'</w:t>
            </w:r>
            <w:r>
              <w:rPr>
                <w:rFonts w:hint="eastAsia"/>
                <w:color w:val="auto"/>
              </w:rPr>
              <w:t>与平面BDD</w:t>
            </w:r>
            <w:r>
              <w:rPr>
                <w:color w:val="auto"/>
              </w:rPr>
              <w:t>'</w:t>
            </w:r>
            <w:r>
              <w:rPr>
                <w:rFonts w:hint="eastAsia"/>
                <w:color w:val="auto"/>
              </w:rPr>
              <w:t>B</w:t>
            </w:r>
            <w:r>
              <w:rPr>
                <w:color w:val="auto"/>
              </w:rPr>
              <w:t>'</w:t>
            </w:r>
            <w:r>
              <w:rPr>
                <w:rFonts w:hint="eastAsia"/>
                <w:color w:val="auto"/>
              </w:rPr>
              <w:t>、</w:t>
            </w:r>
          </w:p>
          <w:p w14:paraId="512DACC3">
            <w:pPr>
              <w:pStyle w:val="27"/>
              <w:rPr>
                <w:color w:val="auto"/>
              </w:rPr>
            </w:pPr>
            <w:r>
              <w:rPr>
                <w:rFonts w:hint="eastAsia"/>
                <w:color w:val="auto"/>
              </w:rPr>
              <w:t>平面CDD</w:t>
            </w:r>
            <w:r>
              <w:rPr>
                <w:color w:val="auto"/>
              </w:rPr>
              <w:t>'</w:t>
            </w:r>
            <w:r>
              <w:rPr>
                <w:rFonts w:hint="eastAsia"/>
                <w:color w:val="auto"/>
              </w:rPr>
              <w:t>C</w:t>
            </w:r>
            <w:r>
              <w:rPr>
                <w:color w:val="auto"/>
              </w:rPr>
              <w:t>'</w:t>
            </w:r>
            <w:r>
              <w:rPr>
                <w:rFonts w:hint="eastAsia"/>
                <w:color w:val="auto"/>
              </w:rPr>
              <w:t>与平面ACC</w:t>
            </w:r>
            <w:r>
              <w:rPr>
                <w:color w:val="auto"/>
              </w:rPr>
              <w:t>'A'</w:t>
            </w:r>
            <w:r>
              <w:rPr>
                <w:rFonts w:hint="eastAsia"/>
                <w:color w:val="auto"/>
              </w:rPr>
              <w:t>、平面CDD</w:t>
            </w:r>
            <w:r>
              <w:rPr>
                <w:color w:val="auto"/>
              </w:rPr>
              <w:t>'</w:t>
            </w:r>
            <w:r>
              <w:rPr>
                <w:rFonts w:hint="eastAsia"/>
                <w:color w:val="auto"/>
              </w:rPr>
              <w:t>C</w:t>
            </w:r>
            <w:r>
              <w:rPr>
                <w:color w:val="auto"/>
              </w:rPr>
              <w:t>'</w:t>
            </w:r>
            <w:r>
              <w:rPr>
                <w:rFonts w:hint="eastAsia"/>
                <w:color w:val="auto"/>
              </w:rPr>
              <w:t>与平面BDD</w:t>
            </w:r>
            <w:r>
              <w:rPr>
                <w:color w:val="auto"/>
              </w:rPr>
              <w:t>'</w:t>
            </w:r>
            <w:r>
              <w:rPr>
                <w:rFonts w:hint="eastAsia"/>
                <w:color w:val="auto"/>
              </w:rPr>
              <w:t>B</w:t>
            </w:r>
            <w:r>
              <w:rPr>
                <w:color w:val="auto"/>
              </w:rPr>
              <w:t>'</w:t>
            </w:r>
          </w:p>
        </w:tc>
        <w:tc>
          <w:tcPr>
            <w:tcW w:w="1020" w:type="dxa"/>
            <w:vAlign w:val="center"/>
          </w:tcPr>
          <w:p w14:paraId="0F2AC5D4">
            <w:pPr>
              <w:pStyle w:val="27"/>
              <w:rPr>
                <w:color w:val="auto"/>
              </w:rPr>
            </w:pPr>
            <w:r>
              <w:rPr>
                <w:rFonts w:hint="eastAsia"/>
                <w:color w:val="auto"/>
              </w:rPr>
              <w:t>≤3</w:t>
            </w:r>
          </w:p>
        </w:tc>
        <w:tc>
          <w:tcPr>
            <w:tcW w:w="1624" w:type="dxa"/>
            <w:shd w:val="clear" w:color="auto" w:fill="auto"/>
            <w:vAlign w:val="center"/>
          </w:tcPr>
          <w:p w14:paraId="12AA65B1">
            <w:pPr>
              <w:pStyle w:val="27"/>
              <w:snapToGrid w:val="0"/>
              <w:rPr>
                <w:color w:val="auto"/>
              </w:rPr>
            </w:pPr>
            <w:r>
              <w:rPr>
                <w:rFonts w:hint="eastAsia"/>
                <w:color w:val="auto"/>
              </w:rPr>
              <w:t>用200mm直角检测尺检查，精确至1mm</w:t>
            </w:r>
          </w:p>
        </w:tc>
      </w:tr>
      <w:tr w14:paraId="29EDFC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dxa"/>
            <w:vMerge w:val="restart"/>
            <w:vAlign w:val="center"/>
          </w:tcPr>
          <w:p w14:paraId="2CE49B85">
            <w:pPr>
              <w:pStyle w:val="27"/>
              <w:rPr>
                <w:color w:val="auto"/>
              </w:rPr>
            </w:pPr>
            <w:r>
              <w:rPr>
                <w:rFonts w:hint="eastAsia"/>
                <w:color w:val="auto"/>
              </w:rPr>
              <w:t>5</w:t>
            </w:r>
          </w:p>
        </w:tc>
        <w:tc>
          <w:tcPr>
            <w:tcW w:w="1054" w:type="dxa"/>
            <w:vMerge w:val="restart"/>
            <w:vAlign w:val="center"/>
          </w:tcPr>
          <w:p w14:paraId="4F198703">
            <w:pPr>
              <w:pStyle w:val="27"/>
              <w:rPr>
                <w:color w:val="auto"/>
              </w:rPr>
            </w:pPr>
            <w:r>
              <w:rPr>
                <w:color w:val="auto"/>
              </w:rPr>
              <w:t>表面平整度</w:t>
            </w:r>
          </w:p>
        </w:tc>
        <w:tc>
          <w:tcPr>
            <w:tcW w:w="4994" w:type="dxa"/>
            <w:gridSpan w:val="2"/>
            <w:vAlign w:val="center"/>
          </w:tcPr>
          <w:p w14:paraId="315652DA">
            <w:pPr>
              <w:pStyle w:val="27"/>
              <w:rPr>
                <w:color w:val="auto"/>
              </w:rPr>
            </w:pPr>
            <w:r>
              <w:rPr>
                <w:color w:val="auto"/>
              </w:rPr>
              <w:t>内表面</w:t>
            </w:r>
          </w:p>
        </w:tc>
        <w:tc>
          <w:tcPr>
            <w:tcW w:w="1020" w:type="dxa"/>
            <w:vAlign w:val="center"/>
          </w:tcPr>
          <w:p w14:paraId="6164CE4B">
            <w:pPr>
              <w:pStyle w:val="27"/>
              <w:rPr>
                <w:color w:val="auto"/>
              </w:rPr>
            </w:pPr>
            <w:r>
              <w:rPr>
                <w:color w:val="auto"/>
              </w:rPr>
              <w:t>4</w:t>
            </w:r>
          </w:p>
        </w:tc>
        <w:tc>
          <w:tcPr>
            <w:tcW w:w="1624" w:type="dxa"/>
            <w:vMerge w:val="restart"/>
            <w:shd w:val="clear" w:color="auto" w:fill="auto"/>
            <w:vAlign w:val="center"/>
          </w:tcPr>
          <w:p w14:paraId="7D299D19">
            <w:pPr>
              <w:pStyle w:val="27"/>
              <w:snapToGrid w:val="0"/>
              <w:rPr>
                <w:color w:val="auto"/>
              </w:rPr>
            </w:pPr>
            <w:r>
              <w:rPr>
                <w:color w:val="auto"/>
              </w:rPr>
              <w:t>2m靠尺和塞尺检查</w:t>
            </w:r>
          </w:p>
        </w:tc>
      </w:tr>
      <w:tr w14:paraId="0C3C4B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dxa"/>
            <w:vMerge w:val="continue"/>
            <w:vAlign w:val="center"/>
          </w:tcPr>
          <w:p w14:paraId="06A7181D">
            <w:pPr>
              <w:pStyle w:val="27"/>
              <w:rPr>
                <w:color w:val="auto"/>
              </w:rPr>
            </w:pPr>
          </w:p>
        </w:tc>
        <w:tc>
          <w:tcPr>
            <w:tcW w:w="1054" w:type="dxa"/>
            <w:vMerge w:val="continue"/>
            <w:vAlign w:val="center"/>
          </w:tcPr>
          <w:p w14:paraId="2A0B505A">
            <w:pPr>
              <w:pStyle w:val="27"/>
              <w:rPr>
                <w:color w:val="auto"/>
              </w:rPr>
            </w:pPr>
          </w:p>
        </w:tc>
        <w:tc>
          <w:tcPr>
            <w:tcW w:w="4994" w:type="dxa"/>
            <w:gridSpan w:val="2"/>
            <w:vAlign w:val="center"/>
          </w:tcPr>
          <w:p w14:paraId="4F42C911">
            <w:pPr>
              <w:pStyle w:val="27"/>
              <w:rPr>
                <w:color w:val="auto"/>
              </w:rPr>
            </w:pPr>
            <w:r>
              <w:rPr>
                <w:color w:val="auto"/>
              </w:rPr>
              <w:t>外表面</w:t>
            </w:r>
          </w:p>
        </w:tc>
        <w:tc>
          <w:tcPr>
            <w:tcW w:w="1020" w:type="dxa"/>
            <w:vAlign w:val="center"/>
          </w:tcPr>
          <w:p w14:paraId="7C1FAE26">
            <w:pPr>
              <w:pStyle w:val="27"/>
              <w:rPr>
                <w:color w:val="auto"/>
              </w:rPr>
            </w:pPr>
            <w:r>
              <w:rPr>
                <w:color w:val="auto"/>
              </w:rPr>
              <w:t>4</w:t>
            </w:r>
          </w:p>
        </w:tc>
        <w:tc>
          <w:tcPr>
            <w:tcW w:w="1624" w:type="dxa"/>
            <w:vMerge w:val="continue"/>
            <w:shd w:val="clear" w:color="auto" w:fill="auto"/>
            <w:vAlign w:val="center"/>
          </w:tcPr>
          <w:p w14:paraId="02911A25">
            <w:pPr>
              <w:pStyle w:val="27"/>
              <w:snapToGrid w:val="0"/>
              <w:rPr>
                <w:color w:val="auto"/>
              </w:rPr>
            </w:pPr>
          </w:p>
        </w:tc>
      </w:tr>
      <w:tr w14:paraId="30A980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dxa"/>
            <w:vMerge w:val="restart"/>
            <w:vAlign w:val="center"/>
          </w:tcPr>
          <w:p w14:paraId="480E78A1">
            <w:pPr>
              <w:pStyle w:val="27"/>
              <w:rPr>
                <w:color w:val="auto"/>
              </w:rPr>
            </w:pPr>
            <w:r>
              <w:rPr>
                <w:rFonts w:hint="eastAsia"/>
                <w:color w:val="auto"/>
              </w:rPr>
              <w:t>6</w:t>
            </w:r>
          </w:p>
        </w:tc>
        <w:tc>
          <w:tcPr>
            <w:tcW w:w="1054" w:type="dxa"/>
            <w:vMerge w:val="restart"/>
            <w:vAlign w:val="center"/>
          </w:tcPr>
          <w:p w14:paraId="65FD9078">
            <w:pPr>
              <w:pStyle w:val="27"/>
              <w:rPr>
                <w:color w:val="auto"/>
              </w:rPr>
            </w:pPr>
            <w:r>
              <w:rPr>
                <w:color w:val="auto"/>
              </w:rPr>
              <w:t>垂直度</w:t>
            </w:r>
          </w:p>
        </w:tc>
        <w:tc>
          <w:tcPr>
            <w:tcW w:w="3177" w:type="dxa"/>
            <w:vMerge w:val="restart"/>
            <w:vAlign w:val="center"/>
          </w:tcPr>
          <w:p w14:paraId="79BCA48E">
            <w:pPr>
              <w:pStyle w:val="27"/>
              <w:rPr>
                <w:color w:val="auto"/>
              </w:rPr>
            </w:pPr>
            <w:r>
              <w:rPr>
                <w:color w:val="auto"/>
              </w:rPr>
              <w:t>柱、墙板</w:t>
            </w:r>
          </w:p>
        </w:tc>
        <w:tc>
          <w:tcPr>
            <w:tcW w:w="1817" w:type="dxa"/>
            <w:vAlign w:val="center"/>
          </w:tcPr>
          <w:p w14:paraId="4F727B1F">
            <w:pPr>
              <w:pStyle w:val="27"/>
              <w:rPr>
                <w:color w:val="auto"/>
              </w:rPr>
            </w:pPr>
            <w:r>
              <w:rPr>
                <w:color w:val="auto"/>
              </w:rPr>
              <w:t>≤3m</w:t>
            </w:r>
          </w:p>
        </w:tc>
        <w:tc>
          <w:tcPr>
            <w:tcW w:w="1020" w:type="dxa"/>
            <w:vAlign w:val="center"/>
          </w:tcPr>
          <w:p w14:paraId="7B4AA027">
            <w:pPr>
              <w:pStyle w:val="27"/>
              <w:rPr>
                <w:color w:val="auto"/>
              </w:rPr>
            </w:pPr>
            <w:r>
              <w:rPr>
                <w:color w:val="auto"/>
              </w:rPr>
              <w:t>4</w:t>
            </w:r>
          </w:p>
        </w:tc>
        <w:tc>
          <w:tcPr>
            <w:tcW w:w="1624" w:type="dxa"/>
            <w:vMerge w:val="restart"/>
            <w:shd w:val="clear" w:color="auto" w:fill="auto"/>
            <w:vAlign w:val="center"/>
          </w:tcPr>
          <w:p w14:paraId="5934FAD6">
            <w:pPr>
              <w:pStyle w:val="27"/>
              <w:snapToGrid w:val="0"/>
              <w:rPr>
                <w:color w:val="auto"/>
              </w:rPr>
            </w:pPr>
            <w:r>
              <w:rPr>
                <w:color w:val="auto"/>
              </w:rPr>
              <w:t>2m垂直检测尺或吊线、钢尺量测</w:t>
            </w:r>
          </w:p>
        </w:tc>
      </w:tr>
      <w:tr w14:paraId="7F97B4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dxa"/>
            <w:vMerge w:val="continue"/>
            <w:vAlign w:val="center"/>
          </w:tcPr>
          <w:p w14:paraId="3717C517">
            <w:pPr>
              <w:pStyle w:val="27"/>
              <w:rPr>
                <w:color w:val="auto"/>
              </w:rPr>
            </w:pPr>
          </w:p>
        </w:tc>
        <w:tc>
          <w:tcPr>
            <w:tcW w:w="1054" w:type="dxa"/>
            <w:vMerge w:val="continue"/>
            <w:vAlign w:val="center"/>
          </w:tcPr>
          <w:p w14:paraId="7762DF46">
            <w:pPr>
              <w:pStyle w:val="27"/>
              <w:rPr>
                <w:color w:val="auto"/>
              </w:rPr>
            </w:pPr>
          </w:p>
        </w:tc>
        <w:tc>
          <w:tcPr>
            <w:tcW w:w="3177" w:type="dxa"/>
            <w:vMerge w:val="continue"/>
            <w:vAlign w:val="center"/>
          </w:tcPr>
          <w:p w14:paraId="23C3E2DA">
            <w:pPr>
              <w:pStyle w:val="27"/>
              <w:rPr>
                <w:color w:val="auto"/>
              </w:rPr>
            </w:pPr>
          </w:p>
        </w:tc>
        <w:tc>
          <w:tcPr>
            <w:tcW w:w="1817" w:type="dxa"/>
            <w:vAlign w:val="center"/>
          </w:tcPr>
          <w:p w14:paraId="124A6C07">
            <w:pPr>
              <w:pStyle w:val="27"/>
              <w:rPr>
                <w:color w:val="auto"/>
              </w:rPr>
            </w:pPr>
            <w:r>
              <w:rPr>
                <w:color w:val="auto"/>
              </w:rPr>
              <w:t>&gt;3m</w:t>
            </w:r>
          </w:p>
        </w:tc>
        <w:tc>
          <w:tcPr>
            <w:tcW w:w="1020" w:type="dxa"/>
            <w:vAlign w:val="center"/>
          </w:tcPr>
          <w:p w14:paraId="3D074117">
            <w:pPr>
              <w:pStyle w:val="27"/>
              <w:rPr>
                <w:color w:val="auto"/>
              </w:rPr>
            </w:pPr>
            <w:r>
              <w:rPr>
                <w:color w:val="auto"/>
              </w:rPr>
              <w:t>5</w:t>
            </w:r>
          </w:p>
        </w:tc>
        <w:tc>
          <w:tcPr>
            <w:tcW w:w="1624" w:type="dxa"/>
            <w:vMerge w:val="continue"/>
            <w:shd w:val="clear" w:color="auto" w:fill="auto"/>
            <w:vAlign w:val="center"/>
          </w:tcPr>
          <w:p w14:paraId="0A09E76D">
            <w:pPr>
              <w:pStyle w:val="27"/>
              <w:snapToGrid w:val="0"/>
              <w:rPr>
                <w:color w:val="auto"/>
              </w:rPr>
            </w:pPr>
          </w:p>
        </w:tc>
      </w:tr>
    </w:tbl>
    <w:p w14:paraId="43BE9FA0">
      <w:pPr>
        <w:pStyle w:val="28"/>
        <w:rPr>
          <w:iCs/>
          <w:color w:val="auto"/>
        </w:rPr>
      </w:pPr>
      <w:r>
        <w:rPr>
          <w:rFonts w:hint="eastAsia"/>
          <w:color w:val="auto"/>
        </w:rPr>
        <w:t>注：</w:t>
      </w:r>
      <w:r>
        <w:rPr>
          <w:rFonts w:hint="eastAsia"/>
          <w:iCs/>
          <w:color w:val="auto"/>
        </w:rPr>
        <w:t>表格中所检查的模块单元尺寸为模块单元装修前的尺寸。</w:t>
      </w:r>
    </w:p>
    <w:p w14:paraId="3D989E0E">
      <w:pPr>
        <w:numPr>
          <w:ilvl w:val="0"/>
          <w:numId w:val="32"/>
        </w:numPr>
        <w:spacing w:line="312" w:lineRule="auto"/>
        <w:rPr>
          <w:color w:val="auto"/>
        </w:rPr>
      </w:pPr>
      <w:r>
        <w:rPr>
          <w:rFonts w:hint="eastAsia"/>
          <w:color w:val="auto"/>
        </w:rPr>
        <w:t>模块单元的对拉孔、设备孔、门窗口、预埋件、预留插筋、键槽的位置和检验方法应符合表9.6.6的规定。</w:t>
      </w:r>
    </w:p>
    <w:p w14:paraId="544F8E03">
      <w:pPr>
        <w:spacing w:line="312" w:lineRule="auto"/>
        <w:ind w:firstLine="420" w:firstLineChars="200"/>
        <w:rPr>
          <w:color w:val="auto"/>
          <w:szCs w:val="24"/>
        </w:rPr>
      </w:pPr>
      <w:r>
        <w:rPr>
          <w:rFonts w:hint="eastAsia"/>
          <w:color w:val="auto"/>
          <w:szCs w:val="24"/>
        </w:rPr>
        <w:t>检查数量：全数检查</w:t>
      </w:r>
    </w:p>
    <w:p w14:paraId="196CDB73">
      <w:pPr>
        <w:pStyle w:val="26"/>
        <w:autoSpaceDE/>
        <w:autoSpaceDN/>
        <w:adjustRightInd/>
        <w:ind w:firstLine="360" w:firstLineChars="200"/>
        <w:rPr>
          <w:color w:val="auto"/>
          <w:szCs w:val="24"/>
        </w:rPr>
      </w:pPr>
      <w:r>
        <w:rPr>
          <w:rFonts w:hint="eastAsia"/>
          <w:color w:val="auto"/>
        </w:rPr>
        <w:t>表</w:t>
      </w:r>
      <w:r>
        <w:rPr>
          <w:b/>
          <w:color w:val="auto"/>
        </w:rPr>
        <w:t>9</w:t>
      </w:r>
      <w:r>
        <w:rPr>
          <w:rFonts w:ascii="宋体" w:hAnsi="宋体"/>
          <w:b/>
          <w:color w:val="auto"/>
        </w:rPr>
        <w:t>.</w:t>
      </w:r>
      <w:r>
        <w:rPr>
          <w:rFonts w:hint="eastAsia"/>
          <w:b/>
          <w:color w:val="auto"/>
        </w:rPr>
        <w:t>6</w:t>
      </w:r>
      <w:r>
        <w:rPr>
          <w:rFonts w:ascii="宋体" w:hAnsi="宋体"/>
          <w:b/>
          <w:color w:val="auto"/>
        </w:rPr>
        <w:t>.</w:t>
      </w:r>
      <w:r>
        <w:rPr>
          <w:rFonts w:hint="eastAsia"/>
          <w:b/>
          <w:color w:val="auto"/>
        </w:rPr>
        <w:t>6</w:t>
      </w:r>
      <w:r>
        <w:rPr>
          <w:color w:val="auto"/>
        </w:rPr>
        <w:t xml:space="preserve">  </w:t>
      </w:r>
      <w:r>
        <w:rPr>
          <w:rFonts w:hint="eastAsia"/>
          <w:color w:val="auto"/>
        </w:rPr>
        <w:t>模块单元预留孔洞和预埋件尺寸允许偏差及检验方法</w:t>
      </w:r>
    </w:p>
    <w:tbl>
      <w:tblPr>
        <w:tblStyle w:val="17"/>
        <w:tblW w:w="809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06"/>
        <w:gridCol w:w="1888"/>
        <w:gridCol w:w="1884"/>
        <w:gridCol w:w="1167"/>
        <w:gridCol w:w="1134"/>
        <w:gridCol w:w="1417"/>
      </w:tblGrid>
      <w:tr w14:paraId="19967D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606" w:type="dxa"/>
            <w:vAlign w:val="center"/>
          </w:tcPr>
          <w:p w14:paraId="4FA74F65">
            <w:pPr>
              <w:pStyle w:val="27"/>
              <w:snapToGrid w:val="0"/>
              <w:rPr>
                <w:color w:val="auto"/>
                <w:szCs w:val="15"/>
              </w:rPr>
            </w:pPr>
            <w:r>
              <w:rPr>
                <w:rFonts w:hint="eastAsia"/>
                <w:color w:val="auto"/>
                <w:szCs w:val="15"/>
              </w:rPr>
              <w:t>项次</w:t>
            </w:r>
          </w:p>
        </w:tc>
        <w:tc>
          <w:tcPr>
            <w:tcW w:w="4939" w:type="dxa"/>
            <w:gridSpan w:val="3"/>
            <w:vAlign w:val="center"/>
          </w:tcPr>
          <w:p w14:paraId="51008DD9">
            <w:pPr>
              <w:pStyle w:val="27"/>
              <w:snapToGrid w:val="0"/>
              <w:rPr>
                <w:color w:val="auto"/>
                <w:szCs w:val="15"/>
              </w:rPr>
            </w:pPr>
            <w:r>
              <w:rPr>
                <w:color w:val="auto"/>
                <w:szCs w:val="15"/>
              </w:rPr>
              <w:t>项目</w:t>
            </w:r>
          </w:p>
        </w:tc>
        <w:tc>
          <w:tcPr>
            <w:tcW w:w="1134" w:type="dxa"/>
            <w:vAlign w:val="center"/>
          </w:tcPr>
          <w:p w14:paraId="34496C9E">
            <w:pPr>
              <w:pStyle w:val="27"/>
              <w:snapToGrid w:val="0"/>
              <w:rPr>
                <w:color w:val="auto"/>
                <w:szCs w:val="15"/>
              </w:rPr>
            </w:pPr>
            <w:r>
              <w:rPr>
                <w:color w:val="auto"/>
                <w:szCs w:val="15"/>
              </w:rPr>
              <w:t>允许偏差</w:t>
            </w:r>
          </w:p>
          <w:p w14:paraId="2464D73A">
            <w:pPr>
              <w:pStyle w:val="27"/>
              <w:snapToGrid w:val="0"/>
              <w:rPr>
                <w:color w:val="auto"/>
                <w:szCs w:val="15"/>
              </w:rPr>
            </w:pPr>
            <w:r>
              <w:rPr>
                <w:rFonts w:hint="eastAsia"/>
                <w:color w:val="auto"/>
                <w:szCs w:val="15"/>
              </w:rPr>
              <w:t>(</w:t>
            </w:r>
            <w:r>
              <w:rPr>
                <w:color w:val="auto"/>
                <w:szCs w:val="15"/>
              </w:rPr>
              <w:t>mm</w:t>
            </w:r>
            <w:r>
              <w:rPr>
                <w:rFonts w:hint="eastAsia"/>
                <w:color w:val="auto"/>
                <w:szCs w:val="15"/>
              </w:rPr>
              <w:t>)</w:t>
            </w:r>
          </w:p>
        </w:tc>
        <w:tc>
          <w:tcPr>
            <w:tcW w:w="1417" w:type="dxa"/>
            <w:vAlign w:val="center"/>
          </w:tcPr>
          <w:p w14:paraId="0FC1B4FF">
            <w:pPr>
              <w:pStyle w:val="27"/>
              <w:snapToGrid w:val="0"/>
              <w:rPr>
                <w:color w:val="auto"/>
                <w:szCs w:val="15"/>
              </w:rPr>
            </w:pPr>
            <w:r>
              <w:rPr>
                <w:rFonts w:hint="eastAsia"/>
                <w:color w:val="auto"/>
                <w:szCs w:val="15"/>
              </w:rPr>
              <w:t>检验方法</w:t>
            </w:r>
          </w:p>
        </w:tc>
      </w:tr>
      <w:tr w14:paraId="515CC7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restart"/>
            <w:vAlign w:val="center"/>
          </w:tcPr>
          <w:p w14:paraId="0832886D">
            <w:pPr>
              <w:pStyle w:val="27"/>
              <w:rPr>
                <w:color w:val="auto"/>
                <w:szCs w:val="15"/>
              </w:rPr>
            </w:pPr>
            <w:r>
              <w:rPr>
                <w:rFonts w:hint="eastAsia"/>
                <w:color w:val="auto"/>
                <w:szCs w:val="15"/>
              </w:rPr>
              <w:t>1</w:t>
            </w:r>
          </w:p>
        </w:tc>
        <w:tc>
          <w:tcPr>
            <w:tcW w:w="1888" w:type="dxa"/>
            <w:vMerge w:val="restart"/>
            <w:vAlign w:val="center"/>
          </w:tcPr>
          <w:p w14:paraId="5C2C5010">
            <w:pPr>
              <w:pStyle w:val="27"/>
              <w:rPr>
                <w:color w:val="auto"/>
                <w:szCs w:val="15"/>
              </w:rPr>
            </w:pPr>
            <w:r>
              <w:rPr>
                <w:color w:val="auto"/>
                <w:szCs w:val="15"/>
              </w:rPr>
              <w:t>对拉孔</w:t>
            </w:r>
          </w:p>
        </w:tc>
        <w:tc>
          <w:tcPr>
            <w:tcW w:w="3051" w:type="dxa"/>
            <w:gridSpan w:val="2"/>
            <w:vAlign w:val="center"/>
          </w:tcPr>
          <w:p w14:paraId="2DCB74D3">
            <w:pPr>
              <w:pStyle w:val="27"/>
              <w:rPr>
                <w:color w:val="auto"/>
                <w:szCs w:val="15"/>
              </w:rPr>
            </w:pPr>
            <w:r>
              <w:rPr>
                <w:color w:val="auto"/>
                <w:szCs w:val="15"/>
              </w:rPr>
              <w:t>中心线位置</w:t>
            </w:r>
          </w:p>
        </w:tc>
        <w:tc>
          <w:tcPr>
            <w:tcW w:w="1134" w:type="dxa"/>
            <w:vAlign w:val="center"/>
          </w:tcPr>
          <w:p w14:paraId="392C85B4">
            <w:pPr>
              <w:pStyle w:val="27"/>
              <w:rPr>
                <w:color w:val="auto"/>
                <w:szCs w:val="15"/>
              </w:rPr>
            </w:pPr>
            <w:r>
              <w:rPr>
                <w:color w:val="auto"/>
                <w:szCs w:val="15"/>
              </w:rPr>
              <w:t>3</w:t>
            </w:r>
          </w:p>
        </w:tc>
        <w:tc>
          <w:tcPr>
            <w:tcW w:w="1417" w:type="dxa"/>
            <w:vMerge w:val="restart"/>
            <w:shd w:val="clear" w:color="auto" w:fill="auto"/>
            <w:vAlign w:val="center"/>
          </w:tcPr>
          <w:p w14:paraId="7649D025">
            <w:pPr>
              <w:pStyle w:val="27"/>
              <w:rPr>
                <w:color w:val="auto"/>
                <w:szCs w:val="15"/>
              </w:rPr>
            </w:pPr>
            <w:r>
              <w:rPr>
                <w:rFonts w:hint="eastAsia" w:ascii="宋体" w:hAnsi="宋体"/>
                <w:color w:val="auto"/>
              </w:rPr>
              <w:t>尺量检查</w:t>
            </w:r>
          </w:p>
        </w:tc>
      </w:tr>
      <w:tr w14:paraId="504EA8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56907ED8">
            <w:pPr>
              <w:pStyle w:val="27"/>
              <w:rPr>
                <w:color w:val="auto"/>
                <w:szCs w:val="15"/>
              </w:rPr>
            </w:pPr>
          </w:p>
        </w:tc>
        <w:tc>
          <w:tcPr>
            <w:tcW w:w="1888" w:type="dxa"/>
            <w:vMerge w:val="continue"/>
            <w:vAlign w:val="center"/>
          </w:tcPr>
          <w:p w14:paraId="0D43429D">
            <w:pPr>
              <w:pStyle w:val="27"/>
              <w:rPr>
                <w:color w:val="auto"/>
                <w:szCs w:val="15"/>
              </w:rPr>
            </w:pPr>
          </w:p>
        </w:tc>
        <w:tc>
          <w:tcPr>
            <w:tcW w:w="3051" w:type="dxa"/>
            <w:gridSpan w:val="2"/>
            <w:vAlign w:val="center"/>
          </w:tcPr>
          <w:p w14:paraId="372143F1">
            <w:pPr>
              <w:pStyle w:val="27"/>
              <w:rPr>
                <w:color w:val="auto"/>
                <w:szCs w:val="15"/>
              </w:rPr>
            </w:pPr>
            <w:r>
              <w:rPr>
                <w:rFonts w:hint="eastAsia"/>
                <w:color w:val="auto"/>
                <w:szCs w:val="15"/>
              </w:rPr>
              <w:t>孔</w:t>
            </w:r>
            <w:r>
              <w:rPr>
                <w:color w:val="auto"/>
                <w:szCs w:val="15"/>
              </w:rPr>
              <w:t>尺寸</w:t>
            </w:r>
          </w:p>
        </w:tc>
        <w:tc>
          <w:tcPr>
            <w:tcW w:w="1134" w:type="dxa"/>
            <w:vAlign w:val="center"/>
          </w:tcPr>
          <w:p w14:paraId="7006B6B9">
            <w:pPr>
              <w:pStyle w:val="27"/>
              <w:rPr>
                <w:color w:val="auto"/>
                <w:szCs w:val="15"/>
              </w:rPr>
            </w:pPr>
            <w:r>
              <w:rPr>
                <w:color w:val="auto"/>
                <w:szCs w:val="15"/>
              </w:rPr>
              <w:t>+5</w:t>
            </w:r>
            <w:r>
              <w:rPr>
                <w:rFonts w:hint="eastAsia"/>
                <w:color w:val="auto"/>
                <w:szCs w:val="15"/>
              </w:rPr>
              <w:t>，0</w:t>
            </w:r>
          </w:p>
        </w:tc>
        <w:tc>
          <w:tcPr>
            <w:tcW w:w="1417" w:type="dxa"/>
            <w:vMerge w:val="continue"/>
            <w:vAlign w:val="center"/>
          </w:tcPr>
          <w:p w14:paraId="03F76C2B">
            <w:pPr>
              <w:pStyle w:val="27"/>
              <w:rPr>
                <w:color w:val="auto"/>
                <w:szCs w:val="15"/>
              </w:rPr>
            </w:pPr>
          </w:p>
        </w:tc>
      </w:tr>
      <w:tr w14:paraId="7AB070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restart"/>
            <w:vAlign w:val="center"/>
          </w:tcPr>
          <w:p w14:paraId="20A57599">
            <w:pPr>
              <w:pStyle w:val="27"/>
              <w:rPr>
                <w:color w:val="auto"/>
                <w:szCs w:val="15"/>
              </w:rPr>
            </w:pPr>
            <w:r>
              <w:rPr>
                <w:rFonts w:hint="eastAsia"/>
                <w:color w:val="auto"/>
                <w:szCs w:val="15"/>
              </w:rPr>
              <w:t>2</w:t>
            </w:r>
          </w:p>
        </w:tc>
        <w:tc>
          <w:tcPr>
            <w:tcW w:w="1888" w:type="dxa"/>
            <w:vMerge w:val="restart"/>
            <w:vAlign w:val="center"/>
          </w:tcPr>
          <w:p w14:paraId="718A88CF">
            <w:pPr>
              <w:pStyle w:val="27"/>
              <w:rPr>
                <w:color w:val="auto"/>
                <w:szCs w:val="15"/>
              </w:rPr>
            </w:pPr>
            <w:r>
              <w:rPr>
                <w:color w:val="auto"/>
                <w:szCs w:val="15"/>
              </w:rPr>
              <w:t>设备孔</w:t>
            </w:r>
          </w:p>
        </w:tc>
        <w:tc>
          <w:tcPr>
            <w:tcW w:w="3051" w:type="dxa"/>
            <w:gridSpan w:val="2"/>
            <w:vAlign w:val="center"/>
          </w:tcPr>
          <w:p w14:paraId="3AC21EB3">
            <w:pPr>
              <w:pStyle w:val="27"/>
              <w:rPr>
                <w:color w:val="auto"/>
                <w:szCs w:val="15"/>
              </w:rPr>
            </w:pPr>
            <w:r>
              <w:rPr>
                <w:color w:val="auto"/>
                <w:szCs w:val="15"/>
              </w:rPr>
              <w:t>中心线位置</w:t>
            </w:r>
          </w:p>
        </w:tc>
        <w:tc>
          <w:tcPr>
            <w:tcW w:w="1134" w:type="dxa"/>
            <w:vAlign w:val="center"/>
          </w:tcPr>
          <w:p w14:paraId="6B386FB3">
            <w:pPr>
              <w:pStyle w:val="27"/>
              <w:rPr>
                <w:color w:val="auto"/>
                <w:szCs w:val="15"/>
              </w:rPr>
            </w:pPr>
            <w:r>
              <w:rPr>
                <w:color w:val="auto"/>
              </w:rPr>
              <w:t>10</w:t>
            </w:r>
          </w:p>
        </w:tc>
        <w:tc>
          <w:tcPr>
            <w:tcW w:w="1417" w:type="dxa"/>
            <w:vMerge w:val="restart"/>
            <w:shd w:val="clear" w:color="auto" w:fill="auto"/>
            <w:vAlign w:val="center"/>
          </w:tcPr>
          <w:p w14:paraId="4EF89621">
            <w:pPr>
              <w:pStyle w:val="27"/>
              <w:rPr>
                <w:color w:val="auto"/>
                <w:szCs w:val="15"/>
              </w:rPr>
            </w:pPr>
            <w:r>
              <w:rPr>
                <w:rFonts w:hint="eastAsia" w:ascii="宋体" w:hAnsi="宋体"/>
                <w:color w:val="auto"/>
              </w:rPr>
              <w:t>尺量检查</w:t>
            </w:r>
          </w:p>
        </w:tc>
      </w:tr>
      <w:tr w14:paraId="133CF0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66B60393">
            <w:pPr>
              <w:pStyle w:val="27"/>
              <w:rPr>
                <w:color w:val="auto"/>
                <w:szCs w:val="15"/>
              </w:rPr>
            </w:pPr>
          </w:p>
        </w:tc>
        <w:tc>
          <w:tcPr>
            <w:tcW w:w="1888" w:type="dxa"/>
            <w:vMerge w:val="continue"/>
            <w:vAlign w:val="center"/>
          </w:tcPr>
          <w:p w14:paraId="487A628B">
            <w:pPr>
              <w:pStyle w:val="27"/>
              <w:rPr>
                <w:color w:val="auto"/>
                <w:szCs w:val="15"/>
              </w:rPr>
            </w:pPr>
          </w:p>
        </w:tc>
        <w:tc>
          <w:tcPr>
            <w:tcW w:w="3051" w:type="dxa"/>
            <w:gridSpan w:val="2"/>
            <w:vAlign w:val="center"/>
          </w:tcPr>
          <w:p w14:paraId="72E73606">
            <w:pPr>
              <w:pStyle w:val="27"/>
              <w:rPr>
                <w:color w:val="auto"/>
                <w:szCs w:val="15"/>
              </w:rPr>
            </w:pPr>
            <w:r>
              <w:rPr>
                <w:color w:val="auto"/>
                <w:szCs w:val="15"/>
              </w:rPr>
              <w:t>洞口尺寸、深度</w:t>
            </w:r>
          </w:p>
        </w:tc>
        <w:tc>
          <w:tcPr>
            <w:tcW w:w="1134" w:type="dxa"/>
            <w:vAlign w:val="center"/>
          </w:tcPr>
          <w:p w14:paraId="08B2AA28">
            <w:pPr>
              <w:pStyle w:val="27"/>
              <w:rPr>
                <w:color w:val="auto"/>
                <w:szCs w:val="15"/>
              </w:rPr>
            </w:pPr>
            <w:r>
              <w:rPr>
                <w:color w:val="auto"/>
              </w:rPr>
              <w:t>±10</w:t>
            </w:r>
          </w:p>
        </w:tc>
        <w:tc>
          <w:tcPr>
            <w:tcW w:w="1417" w:type="dxa"/>
            <w:vMerge w:val="continue"/>
            <w:vAlign w:val="center"/>
          </w:tcPr>
          <w:p w14:paraId="7F5646C8">
            <w:pPr>
              <w:pStyle w:val="27"/>
              <w:rPr>
                <w:color w:val="auto"/>
                <w:szCs w:val="15"/>
              </w:rPr>
            </w:pPr>
          </w:p>
        </w:tc>
      </w:tr>
      <w:tr w14:paraId="27F0AF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restart"/>
            <w:vAlign w:val="center"/>
          </w:tcPr>
          <w:p w14:paraId="290F35D6">
            <w:pPr>
              <w:pStyle w:val="27"/>
              <w:rPr>
                <w:color w:val="auto"/>
                <w:szCs w:val="15"/>
              </w:rPr>
            </w:pPr>
            <w:r>
              <w:rPr>
                <w:rFonts w:hint="eastAsia"/>
                <w:color w:val="auto"/>
                <w:szCs w:val="15"/>
              </w:rPr>
              <w:t>3</w:t>
            </w:r>
          </w:p>
        </w:tc>
        <w:tc>
          <w:tcPr>
            <w:tcW w:w="1888" w:type="dxa"/>
            <w:vMerge w:val="restart"/>
            <w:vAlign w:val="center"/>
          </w:tcPr>
          <w:p w14:paraId="0286CF9B">
            <w:pPr>
              <w:pStyle w:val="27"/>
              <w:rPr>
                <w:color w:val="auto"/>
                <w:szCs w:val="15"/>
              </w:rPr>
            </w:pPr>
            <w:r>
              <w:rPr>
                <w:color w:val="auto"/>
                <w:szCs w:val="15"/>
              </w:rPr>
              <w:t>门窗洞口</w:t>
            </w:r>
          </w:p>
        </w:tc>
        <w:tc>
          <w:tcPr>
            <w:tcW w:w="3051" w:type="dxa"/>
            <w:gridSpan w:val="2"/>
            <w:vAlign w:val="center"/>
          </w:tcPr>
          <w:p w14:paraId="7F8BECD6">
            <w:pPr>
              <w:pStyle w:val="27"/>
              <w:rPr>
                <w:color w:val="auto"/>
                <w:szCs w:val="15"/>
              </w:rPr>
            </w:pPr>
            <w:r>
              <w:rPr>
                <w:color w:val="auto"/>
                <w:szCs w:val="15"/>
              </w:rPr>
              <w:t>中心线位置</w:t>
            </w:r>
          </w:p>
        </w:tc>
        <w:tc>
          <w:tcPr>
            <w:tcW w:w="1134" w:type="dxa"/>
            <w:vAlign w:val="center"/>
          </w:tcPr>
          <w:p w14:paraId="0AA448FF">
            <w:pPr>
              <w:pStyle w:val="27"/>
              <w:rPr>
                <w:color w:val="auto"/>
                <w:szCs w:val="15"/>
              </w:rPr>
            </w:pPr>
            <w:r>
              <w:rPr>
                <w:color w:val="auto"/>
              </w:rPr>
              <w:t>5</w:t>
            </w:r>
          </w:p>
        </w:tc>
        <w:tc>
          <w:tcPr>
            <w:tcW w:w="1417" w:type="dxa"/>
            <w:vMerge w:val="restart"/>
            <w:shd w:val="clear" w:color="auto" w:fill="auto"/>
            <w:vAlign w:val="center"/>
          </w:tcPr>
          <w:p w14:paraId="4AE1C3DF">
            <w:pPr>
              <w:pStyle w:val="27"/>
              <w:rPr>
                <w:color w:val="auto"/>
              </w:rPr>
            </w:pPr>
            <w:r>
              <w:rPr>
                <w:rFonts w:hint="eastAsia" w:ascii="宋体" w:hAnsi="宋体"/>
                <w:color w:val="auto"/>
              </w:rPr>
              <w:t>尺量检查</w:t>
            </w:r>
          </w:p>
        </w:tc>
      </w:tr>
      <w:tr w14:paraId="621C71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1C5F2C4A">
            <w:pPr>
              <w:pStyle w:val="27"/>
              <w:rPr>
                <w:color w:val="auto"/>
                <w:szCs w:val="15"/>
              </w:rPr>
            </w:pPr>
          </w:p>
        </w:tc>
        <w:tc>
          <w:tcPr>
            <w:tcW w:w="1888" w:type="dxa"/>
            <w:vMerge w:val="continue"/>
            <w:vAlign w:val="center"/>
          </w:tcPr>
          <w:p w14:paraId="3442D6BA">
            <w:pPr>
              <w:pStyle w:val="27"/>
              <w:rPr>
                <w:color w:val="auto"/>
                <w:szCs w:val="15"/>
              </w:rPr>
            </w:pPr>
          </w:p>
        </w:tc>
        <w:tc>
          <w:tcPr>
            <w:tcW w:w="3051" w:type="dxa"/>
            <w:gridSpan w:val="2"/>
            <w:vAlign w:val="center"/>
          </w:tcPr>
          <w:p w14:paraId="17E874AA">
            <w:pPr>
              <w:pStyle w:val="27"/>
              <w:rPr>
                <w:color w:val="auto"/>
                <w:szCs w:val="15"/>
              </w:rPr>
            </w:pPr>
            <w:r>
              <w:rPr>
                <w:color w:val="auto"/>
                <w:szCs w:val="15"/>
              </w:rPr>
              <w:t>宽度、高度</w:t>
            </w:r>
          </w:p>
        </w:tc>
        <w:tc>
          <w:tcPr>
            <w:tcW w:w="1134" w:type="dxa"/>
            <w:vAlign w:val="center"/>
          </w:tcPr>
          <w:p w14:paraId="3C2358FE">
            <w:pPr>
              <w:pStyle w:val="27"/>
              <w:rPr>
                <w:color w:val="auto"/>
                <w:szCs w:val="15"/>
              </w:rPr>
            </w:pPr>
            <w:r>
              <w:rPr>
                <w:color w:val="auto"/>
              </w:rPr>
              <w:t>±3</w:t>
            </w:r>
          </w:p>
        </w:tc>
        <w:tc>
          <w:tcPr>
            <w:tcW w:w="1417" w:type="dxa"/>
            <w:vMerge w:val="continue"/>
            <w:vAlign w:val="center"/>
          </w:tcPr>
          <w:p w14:paraId="2AFBEFB7">
            <w:pPr>
              <w:pStyle w:val="27"/>
              <w:rPr>
                <w:color w:val="auto"/>
                <w:szCs w:val="15"/>
              </w:rPr>
            </w:pPr>
          </w:p>
        </w:tc>
      </w:tr>
      <w:tr w14:paraId="647282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restart"/>
            <w:vAlign w:val="center"/>
          </w:tcPr>
          <w:p w14:paraId="01EC5C8E">
            <w:pPr>
              <w:pStyle w:val="27"/>
              <w:rPr>
                <w:color w:val="auto"/>
                <w:szCs w:val="15"/>
              </w:rPr>
            </w:pPr>
            <w:r>
              <w:rPr>
                <w:rFonts w:hint="eastAsia"/>
                <w:color w:val="auto"/>
                <w:szCs w:val="15"/>
              </w:rPr>
              <w:t>4</w:t>
            </w:r>
          </w:p>
        </w:tc>
        <w:tc>
          <w:tcPr>
            <w:tcW w:w="1888" w:type="dxa"/>
            <w:vMerge w:val="restart"/>
            <w:vAlign w:val="center"/>
          </w:tcPr>
          <w:p w14:paraId="5708CC97">
            <w:pPr>
              <w:pStyle w:val="27"/>
              <w:rPr>
                <w:color w:val="auto"/>
                <w:szCs w:val="15"/>
              </w:rPr>
            </w:pPr>
            <w:r>
              <w:rPr>
                <w:color w:val="auto"/>
                <w:szCs w:val="15"/>
              </w:rPr>
              <w:t>键槽</w:t>
            </w:r>
          </w:p>
        </w:tc>
        <w:tc>
          <w:tcPr>
            <w:tcW w:w="3051" w:type="dxa"/>
            <w:gridSpan w:val="2"/>
            <w:vAlign w:val="center"/>
          </w:tcPr>
          <w:p w14:paraId="2C14FD10">
            <w:pPr>
              <w:pStyle w:val="27"/>
              <w:rPr>
                <w:color w:val="auto"/>
                <w:szCs w:val="15"/>
              </w:rPr>
            </w:pPr>
            <w:r>
              <w:rPr>
                <w:color w:val="auto"/>
                <w:szCs w:val="15"/>
              </w:rPr>
              <w:t>中心线位置</w:t>
            </w:r>
          </w:p>
        </w:tc>
        <w:tc>
          <w:tcPr>
            <w:tcW w:w="1134" w:type="dxa"/>
            <w:vAlign w:val="center"/>
          </w:tcPr>
          <w:p w14:paraId="139F7383">
            <w:pPr>
              <w:pStyle w:val="27"/>
              <w:rPr>
                <w:color w:val="auto"/>
                <w:szCs w:val="15"/>
              </w:rPr>
            </w:pPr>
            <w:r>
              <w:rPr>
                <w:color w:val="auto"/>
              </w:rPr>
              <w:t>5</w:t>
            </w:r>
          </w:p>
        </w:tc>
        <w:tc>
          <w:tcPr>
            <w:tcW w:w="1417" w:type="dxa"/>
            <w:vMerge w:val="restart"/>
            <w:vAlign w:val="center"/>
          </w:tcPr>
          <w:p w14:paraId="21A8B27D">
            <w:pPr>
              <w:pStyle w:val="27"/>
              <w:rPr>
                <w:color w:val="auto"/>
                <w:szCs w:val="15"/>
              </w:rPr>
            </w:pPr>
            <w:r>
              <w:rPr>
                <w:rFonts w:hint="eastAsia" w:ascii="宋体" w:hAnsi="宋体"/>
                <w:color w:val="auto"/>
              </w:rPr>
              <w:t>尺量检查</w:t>
            </w:r>
          </w:p>
        </w:tc>
      </w:tr>
      <w:tr w14:paraId="77C791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606" w:type="dxa"/>
            <w:vMerge w:val="continue"/>
            <w:vAlign w:val="center"/>
          </w:tcPr>
          <w:p w14:paraId="65691E38">
            <w:pPr>
              <w:pStyle w:val="27"/>
              <w:rPr>
                <w:color w:val="auto"/>
                <w:szCs w:val="15"/>
              </w:rPr>
            </w:pPr>
          </w:p>
        </w:tc>
        <w:tc>
          <w:tcPr>
            <w:tcW w:w="1888" w:type="dxa"/>
            <w:vMerge w:val="continue"/>
            <w:vAlign w:val="center"/>
          </w:tcPr>
          <w:p w14:paraId="6DB67826">
            <w:pPr>
              <w:pStyle w:val="27"/>
              <w:rPr>
                <w:color w:val="auto"/>
                <w:szCs w:val="15"/>
              </w:rPr>
            </w:pPr>
          </w:p>
        </w:tc>
        <w:tc>
          <w:tcPr>
            <w:tcW w:w="3051" w:type="dxa"/>
            <w:gridSpan w:val="2"/>
            <w:vAlign w:val="center"/>
          </w:tcPr>
          <w:p w14:paraId="3BBCE9E9">
            <w:pPr>
              <w:pStyle w:val="27"/>
              <w:rPr>
                <w:color w:val="auto"/>
                <w:szCs w:val="15"/>
              </w:rPr>
            </w:pPr>
            <w:r>
              <w:rPr>
                <w:color w:val="auto"/>
                <w:szCs w:val="15"/>
              </w:rPr>
              <w:t>长度、宽度、深度</w:t>
            </w:r>
          </w:p>
        </w:tc>
        <w:tc>
          <w:tcPr>
            <w:tcW w:w="1134" w:type="dxa"/>
            <w:vAlign w:val="center"/>
          </w:tcPr>
          <w:p w14:paraId="65A4455C">
            <w:pPr>
              <w:pStyle w:val="27"/>
              <w:rPr>
                <w:color w:val="auto"/>
                <w:szCs w:val="15"/>
              </w:rPr>
            </w:pPr>
            <w:r>
              <w:rPr>
                <w:color w:val="auto"/>
              </w:rPr>
              <w:t>±5</w:t>
            </w:r>
          </w:p>
        </w:tc>
        <w:tc>
          <w:tcPr>
            <w:tcW w:w="1417" w:type="dxa"/>
            <w:vMerge w:val="continue"/>
            <w:vAlign w:val="center"/>
          </w:tcPr>
          <w:p w14:paraId="76C7BDB4">
            <w:pPr>
              <w:pStyle w:val="27"/>
              <w:rPr>
                <w:color w:val="auto"/>
                <w:szCs w:val="15"/>
              </w:rPr>
            </w:pPr>
          </w:p>
        </w:tc>
      </w:tr>
      <w:tr w14:paraId="48471A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restart"/>
            <w:vAlign w:val="center"/>
          </w:tcPr>
          <w:p w14:paraId="38548F7E">
            <w:pPr>
              <w:pStyle w:val="27"/>
              <w:rPr>
                <w:color w:val="auto"/>
                <w:szCs w:val="15"/>
              </w:rPr>
            </w:pPr>
            <w:r>
              <w:rPr>
                <w:rFonts w:hint="eastAsia"/>
                <w:color w:val="auto"/>
                <w:szCs w:val="15"/>
              </w:rPr>
              <w:t>5</w:t>
            </w:r>
          </w:p>
        </w:tc>
        <w:tc>
          <w:tcPr>
            <w:tcW w:w="1888" w:type="dxa"/>
            <w:vMerge w:val="restart"/>
            <w:vAlign w:val="center"/>
          </w:tcPr>
          <w:p w14:paraId="12F3A366">
            <w:pPr>
              <w:pStyle w:val="27"/>
              <w:rPr>
                <w:color w:val="auto"/>
                <w:szCs w:val="15"/>
              </w:rPr>
            </w:pPr>
            <w:r>
              <w:rPr>
                <w:color w:val="auto"/>
                <w:szCs w:val="15"/>
              </w:rPr>
              <w:t>预埋件</w:t>
            </w:r>
          </w:p>
        </w:tc>
        <w:tc>
          <w:tcPr>
            <w:tcW w:w="1884" w:type="dxa"/>
            <w:vMerge w:val="restart"/>
            <w:vAlign w:val="center"/>
          </w:tcPr>
          <w:p w14:paraId="62BF8C7D">
            <w:pPr>
              <w:pStyle w:val="27"/>
              <w:rPr>
                <w:color w:val="auto"/>
                <w:szCs w:val="15"/>
              </w:rPr>
            </w:pPr>
            <w:r>
              <w:rPr>
                <w:color w:val="auto"/>
                <w:szCs w:val="15"/>
              </w:rPr>
              <w:t>预埋件锚板</w:t>
            </w:r>
          </w:p>
        </w:tc>
        <w:tc>
          <w:tcPr>
            <w:tcW w:w="1167" w:type="dxa"/>
            <w:vAlign w:val="center"/>
          </w:tcPr>
          <w:p w14:paraId="22DFD8F3">
            <w:pPr>
              <w:pStyle w:val="27"/>
              <w:rPr>
                <w:color w:val="auto"/>
                <w:szCs w:val="15"/>
              </w:rPr>
            </w:pPr>
            <w:r>
              <w:rPr>
                <w:color w:val="auto"/>
                <w:szCs w:val="15"/>
              </w:rPr>
              <w:t>中心线位置</w:t>
            </w:r>
          </w:p>
        </w:tc>
        <w:tc>
          <w:tcPr>
            <w:tcW w:w="1134" w:type="dxa"/>
            <w:vAlign w:val="center"/>
          </w:tcPr>
          <w:p w14:paraId="7BDA982C">
            <w:pPr>
              <w:pStyle w:val="27"/>
              <w:rPr>
                <w:color w:val="auto"/>
                <w:szCs w:val="15"/>
              </w:rPr>
            </w:pPr>
            <w:r>
              <w:rPr>
                <w:color w:val="auto"/>
              </w:rPr>
              <w:t>5</w:t>
            </w:r>
          </w:p>
        </w:tc>
        <w:tc>
          <w:tcPr>
            <w:tcW w:w="1417" w:type="dxa"/>
            <w:vMerge w:val="restart"/>
            <w:vAlign w:val="center"/>
          </w:tcPr>
          <w:p w14:paraId="597F7924">
            <w:pPr>
              <w:pStyle w:val="27"/>
              <w:rPr>
                <w:color w:val="auto"/>
                <w:szCs w:val="15"/>
              </w:rPr>
            </w:pPr>
            <w:r>
              <w:rPr>
                <w:rFonts w:hint="eastAsia" w:ascii="宋体" w:hAnsi="宋体"/>
                <w:color w:val="auto"/>
              </w:rPr>
              <w:t>尺量检查</w:t>
            </w:r>
          </w:p>
        </w:tc>
      </w:tr>
      <w:tr w14:paraId="3054C8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06" w:type="dxa"/>
            <w:vMerge w:val="continue"/>
            <w:vAlign w:val="center"/>
          </w:tcPr>
          <w:p w14:paraId="56369BEC">
            <w:pPr>
              <w:pStyle w:val="27"/>
              <w:rPr>
                <w:color w:val="auto"/>
                <w:szCs w:val="15"/>
              </w:rPr>
            </w:pPr>
          </w:p>
        </w:tc>
        <w:tc>
          <w:tcPr>
            <w:tcW w:w="1888" w:type="dxa"/>
            <w:vMerge w:val="continue"/>
            <w:vAlign w:val="center"/>
          </w:tcPr>
          <w:p w14:paraId="623AD622">
            <w:pPr>
              <w:pStyle w:val="27"/>
              <w:rPr>
                <w:color w:val="auto"/>
                <w:szCs w:val="15"/>
              </w:rPr>
            </w:pPr>
          </w:p>
        </w:tc>
        <w:tc>
          <w:tcPr>
            <w:tcW w:w="1884" w:type="dxa"/>
            <w:vMerge w:val="continue"/>
            <w:vAlign w:val="center"/>
          </w:tcPr>
          <w:p w14:paraId="02E71AE2">
            <w:pPr>
              <w:pStyle w:val="27"/>
              <w:rPr>
                <w:color w:val="auto"/>
                <w:szCs w:val="15"/>
              </w:rPr>
            </w:pPr>
          </w:p>
        </w:tc>
        <w:tc>
          <w:tcPr>
            <w:tcW w:w="1167" w:type="dxa"/>
            <w:vAlign w:val="center"/>
          </w:tcPr>
          <w:p w14:paraId="1F75FBA7">
            <w:pPr>
              <w:pStyle w:val="27"/>
              <w:rPr>
                <w:color w:val="auto"/>
                <w:szCs w:val="15"/>
              </w:rPr>
            </w:pPr>
            <w:r>
              <w:rPr>
                <w:color w:val="auto"/>
                <w:szCs w:val="15"/>
              </w:rPr>
              <w:t>平面高差</w:t>
            </w:r>
          </w:p>
        </w:tc>
        <w:tc>
          <w:tcPr>
            <w:tcW w:w="1134" w:type="dxa"/>
            <w:vAlign w:val="center"/>
          </w:tcPr>
          <w:p w14:paraId="6E086BB4">
            <w:pPr>
              <w:pStyle w:val="27"/>
              <w:rPr>
                <w:color w:val="auto"/>
                <w:szCs w:val="15"/>
              </w:rPr>
            </w:pPr>
            <w:r>
              <w:rPr>
                <w:color w:val="auto"/>
              </w:rPr>
              <w:t>0</w:t>
            </w:r>
            <w:r>
              <w:rPr>
                <w:rFonts w:hint="eastAsia" w:ascii="宋体" w:hAnsi="宋体"/>
                <w:color w:val="auto"/>
              </w:rPr>
              <w:t>，</w:t>
            </w:r>
            <w:r>
              <w:rPr>
                <w:color w:val="auto"/>
              </w:rPr>
              <w:t>-5</w:t>
            </w:r>
          </w:p>
        </w:tc>
        <w:tc>
          <w:tcPr>
            <w:tcW w:w="1417" w:type="dxa"/>
            <w:vMerge w:val="continue"/>
            <w:vAlign w:val="center"/>
          </w:tcPr>
          <w:p w14:paraId="7541DF4B">
            <w:pPr>
              <w:pStyle w:val="27"/>
              <w:rPr>
                <w:color w:val="auto"/>
                <w:szCs w:val="15"/>
              </w:rPr>
            </w:pPr>
          </w:p>
        </w:tc>
      </w:tr>
      <w:tr w14:paraId="3C6F75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4A2B0184">
            <w:pPr>
              <w:pStyle w:val="27"/>
              <w:rPr>
                <w:color w:val="auto"/>
                <w:szCs w:val="15"/>
              </w:rPr>
            </w:pPr>
          </w:p>
        </w:tc>
        <w:tc>
          <w:tcPr>
            <w:tcW w:w="1888" w:type="dxa"/>
            <w:vMerge w:val="continue"/>
            <w:vAlign w:val="center"/>
          </w:tcPr>
          <w:p w14:paraId="4547BB64">
            <w:pPr>
              <w:pStyle w:val="27"/>
              <w:rPr>
                <w:color w:val="auto"/>
                <w:szCs w:val="15"/>
              </w:rPr>
            </w:pPr>
          </w:p>
        </w:tc>
        <w:tc>
          <w:tcPr>
            <w:tcW w:w="1884" w:type="dxa"/>
            <w:vMerge w:val="restart"/>
            <w:vAlign w:val="center"/>
          </w:tcPr>
          <w:p w14:paraId="67A0B3D1">
            <w:pPr>
              <w:pStyle w:val="27"/>
              <w:rPr>
                <w:color w:val="auto"/>
                <w:szCs w:val="15"/>
              </w:rPr>
            </w:pPr>
            <w:r>
              <w:rPr>
                <w:color w:val="auto"/>
                <w:szCs w:val="15"/>
              </w:rPr>
              <w:t>预埋螺栓</w:t>
            </w:r>
          </w:p>
        </w:tc>
        <w:tc>
          <w:tcPr>
            <w:tcW w:w="1167" w:type="dxa"/>
            <w:vAlign w:val="center"/>
          </w:tcPr>
          <w:p w14:paraId="34940A9A">
            <w:pPr>
              <w:pStyle w:val="27"/>
              <w:rPr>
                <w:color w:val="auto"/>
                <w:szCs w:val="15"/>
              </w:rPr>
            </w:pPr>
            <w:r>
              <w:rPr>
                <w:color w:val="auto"/>
                <w:szCs w:val="15"/>
              </w:rPr>
              <w:t>中心线位置</w:t>
            </w:r>
          </w:p>
        </w:tc>
        <w:tc>
          <w:tcPr>
            <w:tcW w:w="1134" w:type="dxa"/>
            <w:vAlign w:val="center"/>
          </w:tcPr>
          <w:p w14:paraId="67A4B5A1">
            <w:pPr>
              <w:pStyle w:val="27"/>
              <w:rPr>
                <w:color w:val="auto"/>
                <w:szCs w:val="15"/>
              </w:rPr>
            </w:pPr>
            <w:r>
              <w:rPr>
                <w:color w:val="auto"/>
              </w:rPr>
              <w:t>2</w:t>
            </w:r>
          </w:p>
        </w:tc>
        <w:tc>
          <w:tcPr>
            <w:tcW w:w="1417" w:type="dxa"/>
            <w:vMerge w:val="continue"/>
            <w:vAlign w:val="center"/>
          </w:tcPr>
          <w:p w14:paraId="179F5140">
            <w:pPr>
              <w:pStyle w:val="27"/>
              <w:rPr>
                <w:color w:val="auto"/>
                <w:szCs w:val="15"/>
              </w:rPr>
            </w:pPr>
          </w:p>
        </w:tc>
      </w:tr>
      <w:tr w14:paraId="4F322F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1697FA63">
            <w:pPr>
              <w:pStyle w:val="27"/>
              <w:rPr>
                <w:color w:val="auto"/>
                <w:szCs w:val="15"/>
              </w:rPr>
            </w:pPr>
          </w:p>
        </w:tc>
        <w:tc>
          <w:tcPr>
            <w:tcW w:w="1888" w:type="dxa"/>
            <w:vMerge w:val="continue"/>
            <w:vAlign w:val="center"/>
          </w:tcPr>
          <w:p w14:paraId="14F3A4B9">
            <w:pPr>
              <w:pStyle w:val="27"/>
              <w:rPr>
                <w:color w:val="auto"/>
                <w:szCs w:val="15"/>
              </w:rPr>
            </w:pPr>
          </w:p>
        </w:tc>
        <w:tc>
          <w:tcPr>
            <w:tcW w:w="1884" w:type="dxa"/>
            <w:vMerge w:val="continue"/>
            <w:vAlign w:val="center"/>
          </w:tcPr>
          <w:p w14:paraId="3CAF8A63">
            <w:pPr>
              <w:pStyle w:val="27"/>
              <w:rPr>
                <w:color w:val="auto"/>
                <w:szCs w:val="15"/>
              </w:rPr>
            </w:pPr>
          </w:p>
        </w:tc>
        <w:tc>
          <w:tcPr>
            <w:tcW w:w="1167" w:type="dxa"/>
            <w:vAlign w:val="center"/>
          </w:tcPr>
          <w:p w14:paraId="41803E54">
            <w:pPr>
              <w:pStyle w:val="27"/>
              <w:rPr>
                <w:color w:val="auto"/>
                <w:szCs w:val="15"/>
              </w:rPr>
            </w:pPr>
            <w:r>
              <w:rPr>
                <w:color w:val="auto"/>
                <w:szCs w:val="15"/>
              </w:rPr>
              <w:t>外露长度</w:t>
            </w:r>
          </w:p>
        </w:tc>
        <w:tc>
          <w:tcPr>
            <w:tcW w:w="1134" w:type="dxa"/>
            <w:vAlign w:val="center"/>
          </w:tcPr>
          <w:p w14:paraId="032D9B8B">
            <w:pPr>
              <w:pStyle w:val="27"/>
              <w:rPr>
                <w:color w:val="auto"/>
                <w:szCs w:val="15"/>
              </w:rPr>
            </w:pPr>
            <w:r>
              <w:rPr>
                <w:color w:val="auto"/>
              </w:rPr>
              <w:t>+10</w:t>
            </w:r>
            <w:r>
              <w:rPr>
                <w:rFonts w:hint="eastAsia" w:ascii="宋体" w:hAnsi="宋体"/>
                <w:color w:val="auto"/>
              </w:rPr>
              <w:t>，</w:t>
            </w:r>
            <w:r>
              <w:rPr>
                <w:color w:val="auto"/>
              </w:rPr>
              <w:t>-5</w:t>
            </w:r>
          </w:p>
        </w:tc>
        <w:tc>
          <w:tcPr>
            <w:tcW w:w="1417" w:type="dxa"/>
            <w:vMerge w:val="continue"/>
            <w:vAlign w:val="center"/>
          </w:tcPr>
          <w:p w14:paraId="48AB59E9">
            <w:pPr>
              <w:pStyle w:val="27"/>
              <w:rPr>
                <w:color w:val="auto"/>
                <w:szCs w:val="15"/>
              </w:rPr>
            </w:pPr>
          </w:p>
        </w:tc>
      </w:tr>
      <w:tr w14:paraId="3E72EB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47A12752">
            <w:pPr>
              <w:pStyle w:val="27"/>
              <w:rPr>
                <w:color w:val="auto"/>
                <w:szCs w:val="15"/>
              </w:rPr>
            </w:pPr>
          </w:p>
        </w:tc>
        <w:tc>
          <w:tcPr>
            <w:tcW w:w="1888" w:type="dxa"/>
            <w:vMerge w:val="continue"/>
            <w:vAlign w:val="center"/>
          </w:tcPr>
          <w:p w14:paraId="62DDB07D">
            <w:pPr>
              <w:pStyle w:val="27"/>
              <w:rPr>
                <w:color w:val="auto"/>
                <w:szCs w:val="15"/>
              </w:rPr>
            </w:pPr>
          </w:p>
        </w:tc>
        <w:tc>
          <w:tcPr>
            <w:tcW w:w="1884" w:type="dxa"/>
            <w:vMerge w:val="restart"/>
            <w:vAlign w:val="center"/>
          </w:tcPr>
          <w:p w14:paraId="6C97449B">
            <w:pPr>
              <w:pStyle w:val="27"/>
              <w:rPr>
                <w:color w:val="auto"/>
                <w:szCs w:val="15"/>
              </w:rPr>
            </w:pPr>
            <w:r>
              <w:rPr>
                <w:color w:val="auto"/>
                <w:szCs w:val="15"/>
              </w:rPr>
              <w:t>预埋套筒、螺母</w:t>
            </w:r>
          </w:p>
        </w:tc>
        <w:tc>
          <w:tcPr>
            <w:tcW w:w="1167" w:type="dxa"/>
            <w:vAlign w:val="center"/>
          </w:tcPr>
          <w:p w14:paraId="0BA098E1">
            <w:pPr>
              <w:pStyle w:val="27"/>
              <w:rPr>
                <w:color w:val="auto"/>
                <w:szCs w:val="15"/>
              </w:rPr>
            </w:pPr>
            <w:r>
              <w:rPr>
                <w:color w:val="auto"/>
                <w:szCs w:val="15"/>
              </w:rPr>
              <w:t>中心线位置</w:t>
            </w:r>
          </w:p>
        </w:tc>
        <w:tc>
          <w:tcPr>
            <w:tcW w:w="1134" w:type="dxa"/>
            <w:vAlign w:val="center"/>
          </w:tcPr>
          <w:p w14:paraId="66ADF739">
            <w:pPr>
              <w:pStyle w:val="27"/>
              <w:rPr>
                <w:color w:val="auto"/>
                <w:szCs w:val="15"/>
              </w:rPr>
            </w:pPr>
            <w:r>
              <w:rPr>
                <w:color w:val="auto"/>
              </w:rPr>
              <w:t>2</w:t>
            </w:r>
          </w:p>
        </w:tc>
        <w:tc>
          <w:tcPr>
            <w:tcW w:w="1417" w:type="dxa"/>
            <w:vMerge w:val="continue"/>
            <w:vAlign w:val="center"/>
          </w:tcPr>
          <w:p w14:paraId="03007B63">
            <w:pPr>
              <w:pStyle w:val="27"/>
              <w:rPr>
                <w:color w:val="auto"/>
                <w:szCs w:val="15"/>
              </w:rPr>
            </w:pPr>
          </w:p>
        </w:tc>
      </w:tr>
      <w:tr w14:paraId="50D05F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06" w:type="dxa"/>
            <w:vMerge w:val="continue"/>
            <w:vAlign w:val="center"/>
          </w:tcPr>
          <w:p w14:paraId="5BB7CE43">
            <w:pPr>
              <w:pStyle w:val="27"/>
              <w:rPr>
                <w:color w:val="auto"/>
                <w:szCs w:val="15"/>
              </w:rPr>
            </w:pPr>
          </w:p>
        </w:tc>
        <w:tc>
          <w:tcPr>
            <w:tcW w:w="1888" w:type="dxa"/>
            <w:vMerge w:val="continue"/>
            <w:vAlign w:val="center"/>
          </w:tcPr>
          <w:p w14:paraId="0F6EC5A2">
            <w:pPr>
              <w:pStyle w:val="27"/>
              <w:rPr>
                <w:color w:val="auto"/>
                <w:szCs w:val="15"/>
              </w:rPr>
            </w:pPr>
          </w:p>
        </w:tc>
        <w:tc>
          <w:tcPr>
            <w:tcW w:w="1884" w:type="dxa"/>
            <w:vMerge w:val="continue"/>
            <w:vAlign w:val="center"/>
          </w:tcPr>
          <w:p w14:paraId="2DAAC997">
            <w:pPr>
              <w:pStyle w:val="27"/>
              <w:rPr>
                <w:color w:val="auto"/>
                <w:szCs w:val="15"/>
              </w:rPr>
            </w:pPr>
          </w:p>
        </w:tc>
        <w:tc>
          <w:tcPr>
            <w:tcW w:w="1167" w:type="dxa"/>
            <w:vAlign w:val="center"/>
          </w:tcPr>
          <w:p w14:paraId="61BFBD34">
            <w:pPr>
              <w:pStyle w:val="27"/>
              <w:rPr>
                <w:color w:val="auto"/>
                <w:szCs w:val="15"/>
              </w:rPr>
            </w:pPr>
            <w:r>
              <w:rPr>
                <w:color w:val="auto"/>
                <w:szCs w:val="15"/>
              </w:rPr>
              <w:t>平面高差</w:t>
            </w:r>
          </w:p>
        </w:tc>
        <w:tc>
          <w:tcPr>
            <w:tcW w:w="1134" w:type="dxa"/>
            <w:vAlign w:val="center"/>
          </w:tcPr>
          <w:p w14:paraId="4AADF0DD">
            <w:pPr>
              <w:pStyle w:val="27"/>
              <w:rPr>
                <w:color w:val="auto"/>
                <w:szCs w:val="15"/>
              </w:rPr>
            </w:pPr>
            <w:r>
              <w:rPr>
                <w:color w:val="auto"/>
              </w:rPr>
              <w:t>0</w:t>
            </w:r>
            <w:r>
              <w:rPr>
                <w:rFonts w:hint="eastAsia" w:ascii="宋体" w:hAnsi="宋体"/>
                <w:color w:val="auto"/>
              </w:rPr>
              <w:t>，</w:t>
            </w:r>
            <w:r>
              <w:rPr>
                <w:color w:val="auto"/>
              </w:rPr>
              <w:t>-5</w:t>
            </w:r>
          </w:p>
        </w:tc>
        <w:tc>
          <w:tcPr>
            <w:tcW w:w="1417" w:type="dxa"/>
            <w:vMerge w:val="continue"/>
            <w:vAlign w:val="center"/>
          </w:tcPr>
          <w:p w14:paraId="0E8BB1C5">
            <w:pPr>
              <w:pStyle w:val="27"/>
              <w:rPr>
                <w:color w:val="auto"/>
                <w:szCs w:val="15"/>
              </w:rPr>
            </w:pPr>
          </w:p>
        </w:tc>
      </w:tr>
      <w:tr w14:paraId="1DC93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606" w:type="dxa"/>
            <w:vMerge w:val="continue"/>
            <w:vAlign w:val="center"/>
          </w:tcPr>
          <w:p w14:paraId="6CBCFBA4">
            <w:pPr>
              <w:pStyle w:val="27"/>
              <w:rPr>
                <w:color w:val="auto"/>
                <w:szCs w:val="15"/>
              </w:rPr>
            </w:pPr>
          </w:p>
        </w:tc>
        <w:tc>
          <w:tcPr>
            <w:tcW w:w="1888" w:type="dxa"/>
            <w:vMerge w:val="continue"/>
            <w:vAlign w:val="center"/>
          </w:tcPr>
          <w:p w14:paraId="341B5D3E">
            <w:pPr>
              <w:pStyle w:val="27"/>
              <w:rPr>
                <w:color w:val="auto"/>
                <w:szCs w:val="15"/>
              </w:rPr>
            </w:pPr>
          </w:p>
        </w:tc>
        <w:tc>
          <w:tcPr>
            <w:tcW w:w="1884" w:type="dxa"/>
            <w:vMerge w:val="restart"/>
            <w:vAlign w:val="center"/>
          </w:tcPr>
          <w:p w14:paraId="2FFE4586">
            <w:pPr>
              <w:pStyle w:val="27"/>
              <w:rPr>
                <w:color w:val="auto"/>
                <w:szCs w:val="15"/>
              </w:rPr>
            </w:pPr>
            <w:r>
              <w:rPr>
                <w:color w:val="auto"/>
                <w:szCs w:val="15"/>
              </w:rPr>
              <w:t>线管、电盒、木砖、吊环</w:t>
            </w:r>
          </w:p>
        </w:tc>
        <w:tc>
          <w:tcPr>
            <w:tcW w:w="1167" w:type="dxa"/>
            <w:vAlign w:val="center"/>
          </w:tcPr>
          <w:p w14:paraId="0FE1E542">
            <w:pPr>
              <w:pStyle w:val="27"/>
              <w:rPr>
                <w:color w:val="auto"/>
                <w:szCs w:val="15"/>
              </w:rPr>
            </w:pPr>
            <w:r>
              <w:rPr>
                <w:color w:val="auto"/>
                <w:szCs w:val="15"/>
              </w:rPr>
              <w:t>中心线位置</w:t>
            </w:r>
          </w:p>
        </w:tc>
        <w:tc>
          <w:tcPr>
            <w:tcW w:w="1134" w:type="dxa"/>
            <w:vAlign w:val="center"/>
          </w:tcPr>
          <w:p w14:paraId="0AEC5A45">
            <w:pPr>
              <w:pStyle w:val="27"/>
              <w:rPr>
                <w:color w:val="auto"/>
                <w:szCs w:val="15"/>
              </w:rPr>
            </w:pPr>
            <w:r>
              <w:rPr>
                <w:color w:val="auto"/>
              </w:rPr>
              <w:t>20</w:t>
            </w:r>
          </w:p>
        </w:tc>
        <w:tc>
          <w:tcPr>
            <w:tcW w:w="1417" w:type="dxa"/>
            <w:vMerge w:val="continue"/>
            <w:vAlign w:val="center"/>
          </w:tcPr>
          <w:p w14:paraId="355998DA">
            <w:pPr>
              <w:pStyle w:val="27"/>
              <w:rPr>
                <w:color w:val="auto"/>
                <w:szCs w:val="15"/>
              </w:rPr>
            </w:pPr>
          </w:p>
        </w:tc>
      </w:tr>
      <w:tr w14:paraId="0BCD36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06" w:type="dxa"/>
            <w:vMerge w:val="continue"/>
            <w:vAlign w:val="center"/>
          </w:tcPr>
          <w:p w14:paraId="3DAC6574">
            <w:pPr>
              <w:pStyle w:val="27"/>
              <w:rPr>
                <w:color w:val="auto"/>
                <w:szCs w:val="15"/>
              </w:rPr>
            </w:pPr>
          </w:p>
        </w:tc>
        <w:tc>
          <w:tcPr>
            <w:tcW w:w="1888" w:type="dxa"/>
            <w:vMerge w:val="continue"/>
            <w:vAlign w:val="center"/>
          </w:tcPr>
          <w:p w14:paraId="1FD9FF01">
            <w:pPr>
              <w:pStyle w:val="27"/>
              <w:rPr>
                <w:color w:val="auto"/>
                <w:szCs w:val="15"/>
              </w:rPr>
            </w:pPr>
          </w:p>
        </w:tc>
        <w:tc>
          <w:tcPr>
            <w:tcW w:w="1884" w:type="dxa"/>
            <w:vMerge w:val="continue"/>
            <w:vAlign w:val="center"/>
          </w:tcPr>
          <w:p w14:paraId="5D2F5553">
            <w:pPr>
              <w:pStyle w:val="27"/>
              <w:rPr>
                <w:color w:val="auto"/>
                <w:szCs w:val="15"/>
              </w:rPr>
            </w:pPr>
          </w:p>
        </w:tc>
        <w:tc>
          <w:tcPr>
            <w:tcW w:w="1167" w:type="dxa"/>
            <w:vAlign w:val="center"/>
          </w:tcPr>
          <w:p w14:paraId="3FDDDB9B">
            <w:pPr>
              <w:pStyle w:val="27"/>
              <w:rPr>
                <w:color w:val="auto"/>
                <w:szCs w:val="15"/>
              </w:rPr>
            </w:pPr>
            <w:r>
              <w:rPr>
                <w:color w:val="auto"/>
                <w:szCs w:val="15"/>
              </w:rPr>
              <w:t>平面高差</w:t>
            </w:r>
          </w:p>
        </w:tc>
        <w:tc>
          <w:tcPr>
            <w:tcW w:w="1134" w:type="dxa"/>
            <w:vAlign w:val="center"/>
          </w:tcPr>
          <w:p w14:paraId="392CDC22">
            <w:pPr>
              <w:pStyle w:val="27"/>
              <w:rPr>
                <w:color w:val="auto"/>
                <w:szCs w:val="15"/>
              </w:rPr>
            </w:pPr>
            <w:r>
              <w:rPr>
                <w:color w:val="auto"/>
              </w:rPr>
              <w:t>0</w:t>
            </w:r>
            <w:r>
              <w:rPr>
                <w:rFonts w:hint="eastAsia" w:ascii="宋体" w:hAnsi="宋体"/>
                <w:color w:val="auto"/>
              </w:rPr>
              <w:t>，</w:t>
            </w:r>
            <w:r>
              <w:rPr>
                <w:color w:val="auto"/>
              </w:rPr>
              <w:t>-10</w:t>
            </w:r>
          </w:p>
        </w:tc>
        <w:tc>
          <w:tcPr>
            <w:tcW w:w="1417" w:type="dxa"/>
            <w:vMerge w:val="continue"/>
            <w:vAlign w:val="center"/>
          </w:tcPr>
          <w:p w14:paraId="76ACB83E">
            <w:pPr>
              <w:pStyle w:val="27"/>
              <w:rPr>
                <w:color w:val="auto"/>
                <w:szCs w:val="15"/>
              </w:rPr>
            </w:pPr>
          </w:p>
        </w:tc>
      </w:tr>
      <w:tr w14:paraId="71170D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restart"/>
            <w:vAlign w:val="center"/>
          </w:tcPr>
          <w:p w14:paraId="43B73EA8">
            <w:pPr>
              <w:pStyle w:val="27"/>
              <w:rPr>
                <w:color w:val="auto"/>
                <w:szCs w:val="15"/>
              </w:rPr>
            </w:pPr>
            <w:r>
              <w:rPr>
                <w:rFonts w:hint="eastAsia"/>
                <w:color w:val="auto"/>
                <w:szCs w:val="15"/>
              </w:rPr>
              <w:t>6</w:t>
            </w:r>
          </w:p>
        </w:tc>
        <w:tc>
          <w:tcPr>
            <w:tcW w:w="1888" w:type="dxa"/>
            <w:vMerge w:val="restart"/>
            <w:vAlign w:val="center"/>
          </w:tcPr>
          <w:p w14:paraId="314EE8D4">
            <w:pPr>
              <w:pStyle w:val="27"/>
              <w:rPr>
                <w:color w:val="auto"/>
                <w:szCs w:val="15"/>
              </w:rPr>
            </w:pPr>
            <w:r>
              <w:rPr>
                <w:color w:val="auto"/>
                <w:szCs w:val="15"/>
              </w:rPr>
              <w:t>预留插筋</w:t>
            </w:r>
          </w:p>
        </w:tc>
        <w:tc>
          <w:tcPr>
            <w:tcW w:w="3051" w:type="dxa"/>
            <w:gridSpan w:val="2"/>
            <w:vAlign w:val="center"/>
          </w:tcPr>
          <w:p w14:paraId="2E34FA63">
            <w:pPr>
              <w:pStyle w:val="27"/>
              <w:rPr>
                <w:color w:val="auto"/>
                <w:szCs w:val="15"/>
              </w:rPr>
            </w:pPr>
            <w:r>
              <w:rPr>
                <w:color w:val="auto"/>
                <w:szCs w:val="15"/>
              </w:rPr>
              <w:t>中心线位置</w:t>
            </w:r>
          </w:p>
        </w:tc>
        <w:tc>
          <w:tcPr>
            <w:tcW w:w="1134" w:type="dxa"/>
            <w:vAlign w:val="center"/>
          </w:tcPr>
          <w:p w14:paraId="67CCF463">
            <w:pPr>
              <w:pStyle w:val="27"/>
              <w:rPr>
                <w:color w:val="auto"/>
                <w:szCs w:val="15"/>
              </w:rPr>
            </w:pPr>
            <w:r>
              <w:rPr>
                <w:color w:val="auto"/>
              </w:rPr>
              <w:t>3</w:t>
            </w:r>
          </w:p>
        </w:tc>
        <w:tc>
          <w:tcPr>
            <w:tcW w:w="1417" w:type="dxa"/>
            <w:vMerge w:val="restart"/>
            <w:vAlign w:val="center"/>
          </w:tcPr>
          <w:p w14:paraId="1B66520B">
            <w:pPr>
              <w:pStyle w:val="27"/>
              <w:rPr>
                <w:color w:val="auto"/>
                <w:szCs w:val="15"/>
              </w:rPr>
            </w:pPr>
            <w:r>
              <w:rPr>
                <w:rFonts w:hint="eastAsia" w:ascii="宋体" w:hAnsi="宋体"/>
                <w:color w:val="auto"/>
              </w:rPr>
              <w:t>尺量检查</w:t>
            </w:r>
          </w:p>
        </w:tc>
      </w:tr>
      <w:tr w14:paraId="02E5D9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63E5E7A9">
            <w:pPr>
              <w:pStyle w:val="27"/>
              <w:rPr>
                <w:color w:val="auto"/>
                <w:szCs w:val="15"/>
              </w:rPr>
            </w:pPr>
          </w:p>
        </w:tc>
        <w:tc>
          <w:tcPr>
            <w:tcW w:w="1888" w:type="dxa"/>
            <w:vMerge w:val="continue"/>
            <w:vAlign w:val="center"/>
          </w:tcPr>
          <w:p w14:paraId="11C32374">
            <w:pPr>
              <w:pStyle w:val="27"/>
              <w:rPr>
                <w:color w:val="auto"/>
                <w:szCs w:val="15"/>
              </w:rPr>
            </w:pPr>
          </w:p>
        </w:tc>
        <w:tc>
          <w:tcPr>
            <w:tcW w:w="3051" w:type="dxa"/>
            <w:gridSpan w:val="2"/>
            <w:vAlign w:val="center"/>
          </w:tcPr>
          <w:p w14:paraId="6A2D7932">
            <w:pPr>
              <w:pStyle w:val="27"/>
              <w:rPr>
                <w:color w:val="auto"/>
                <w:szCs w:val="15"/>
              </w:rPr>
            </w:pPr>
            <w:r>
              <w:rPr>
                <w:color w:val="auto"/>
                <w:szCs w:val="15"/>
              </w:rPr>
              <w:t>外露长度</w:t>
            </w:r>
          </w:p>
        </w:tc>
        <w:tc>
          <w:tcPr>
            <w:tcW w:w="1134" w:type="dxa"/>
            <w:vAlign w:val="center"/>
          </w:tcPr>
          <w:p w14:paraId="2FF36292">
            <w:pPr>
              <w:pStyle w:val="27"/>
              <w:rPr>
                <w:color w:val="auto"/>
                <w:szCs w:val="15"/>
              </w:rPr>
            </w:pPr>
            <w:r>
              <w:rPr>
                <w:color w:val="auto"/>
              </w:rPr>
              <w:t>±5</w:t>
            </w:r>
          </w:p>
        </w:tc>
        <w:tc>
          <w:tcPr>
            <w:tcW w:w="1417" w:type="dxa"/>
            <w:vMerge w:val="continue"/>
            <w:vAlign w:val="center"/>
          </w:tcPr>
          <w:p w14:paraId="76CDA3DB">
            <w:pPr>
              <w:pStyle w:val="27"/>
              <w:rPr>
                <w:color w:val="auto"/>
                <w:szCs w:val="15"/>
              </w:rPr>
            </w:pPr>
          </w:p>
        </w:tc>
      </w:tr>
      <w:tr w14:paraId="7B842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1177A621">
            <w:pPr>
              <w:pStyle w:val="27"/>
              <w:rPr>
                <w:color w:val="auto"/>
                <w:szCs w:val="15"/>
              </w:rPr>
            </w:pPr>
          </w:p>
        </w:tc>
        <w:tc>
          <w:tcPr>
            <w:tcW w:w="1888" w:type="dxa"/>
            <w:vMerge w:val="continue"/>
            <w:vAlign w:val="center"/>
          </w:tcPr>
          <w:p w14:paraId="39B854F7">
            <w:pPr>
              <w:pStyle w:val="27"/>
              <w:rPr>
                <w:color w:val="auto"/>
                <w:szCs w:val="15"/>
              </w:rPr>
            </w:pPr>
          </w:p>
        </w:tc>
        <w:tc>
          <w:tcPr>
            <w:tcW w:w="3051" w:type="dxa"/>
            <w:gridSpan w:val="2"/>
            <w:shd w:val="clear" w:color="auto" w:fill="auto"/>
            <w:vAlign w:val="center"/>
          </w:tcPr>
          <w:p w14:paraId="2FDC650C">
            <w:pPr>
              <w:pStyle w:val="27"/>
              <w:rPr>
                <w:rFonts w:ascii="宋体" w:hAnsi="宋体"/>
                <w:color w:val="auto"/>
              </w:rPr>
            </w:pPr>
            <w:r>
              <w:rPr>
                <w:rFonts w:hint="eastAsia" w:ascii="宋体" w:hAnsi="宋体"/>
                <w:color w:val="auto"/>
              </w:rPr>
              <w:t>间距</w:t>
            </w:r>
          </w:p>
        </w:tc>
        <w:tc>
          <w:tcPr>
            <w:tcW w:w="1134" w:type="dxa"/>
            <w:shd w:val="clear" w:color="auto" w:fill="auto"/>
            <w:vAlign w:val="center"/>
          </w:tcPr>
          <w:p w14:paraId="6D2A2A4A">
            <w:pPr>
              <w:pStyle w:val="27"/>
              <w:rPr>
                <w:color w:val="auto"/>
              </w:rPr>
            </w:pPr>
            <w:r>
              <w:rPr>
                <w:color w:val="auto"/>
              </w:rPr>
              <w:t>±10</w:t>
            </w:r>
          </w:p>
        </w:tc>
        <w:tc>
          <w:tcPr>
            <w:tcW w:w="1417" w:type="dxa"/>
            <w:vMerge w:val="continue"/>
            <w:vAlign w:val="center"/>
          </w:tcPr>
          <w:p w14:paraId="3044D157">
            <w:pPr>
              <w:pStyle w:val="27"/>
              <w:rPr>
                <w:color w:val="auto"/>
                <w:szCs w:val="15"/>
              </w:rPr>
            </w:pPr>
          </w:p>
        </w:tc>
      </w:tr>
      <w:tr w14:paraId="2EE4E7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622ED497">
            <w:pPr>
              <w:pStyle w:val="27"/>
              <w:rPr>
                <w:color w:val="auto"/>
                <w:szCs w:val="15"/>
              </w:rPr>
            </w:pPr>
          </w:p>
        </w:tc>
        <w:tc>
          <w:tcPr>
            <w:tcW w:w="1888" w:type="dxa"/>
            <w:vMerge w:val="continue"/>
            <w:vAlign w:val="center"/>
          </w:tcPr>
          <w:p w14:paraId="11E7711B">
            <w:pPr>
              <w:pStyle w:val="27"/>
              <w:rPr>
                <w:color w:val="auto"/>
                <w:szCs w:val="15"/>
              </w:rPr>
            </w:pPr>
          </w:p>
        </w:tc>
        <w:tc>
          <w:tcPr>
            <w:tcW w:w="3051" w:type="dxa"/>
            <w:gridSpan w:val="2"/>
            <w:shd w:val="clear" w:color="auto" w:fill="auto"/>
            <w:vAlign w:val="center"/>
          </w:tcPr>
          <w:p w14:paraId="50A978D8">
            <w:pPr>
              <w:pStyle w:val="27"/>
              <w:rPr>
                <w:rFonts w:ascii="宋体" w:hAnsi="宋体"/>
                <w:color w:val="auto"/>
              </w:rPr>
            </w:pPr>
            <w:r>
              <w:rPr>
                <w:rFonts w:hint="eastAsia" w:ascii="宋体" w:hAnsi="宋体"/>
                <w:color w:val="auto"/>
              </w:rPr>
              <w:t>排距</w:t>
            </w:r>
          </w:p>
        </w:tc>
        <w:tc>
          <w:tcPr>
            <w:tcW w:w="1134" w:type="dxa"/>
            <w:shd w:val="clear" w:color="auto" w:fill="auto"/>
            <w:vAlign w:val="center"/>
          </w:tcPr>
          <w:p w14:paraId="721C270E">
            <w:pPr>
              <w:pStyle w:val="27"/>
              <w:rPr>
                <w:color w:val="auto"/>
              </w:rPr>
            </w:pPr>
            <w:r>
              <w:rPr>
                <w:color w:val="auto"/>
              </w:rPr>
              <w:t>±5</w:t>
            </w:r>
          </w:p>
        </w:tc>
        <w:tc>
          <w:tcPr>
            <w:tcW w:w="1417" w:type="dxa"/>
            <w:vMerge w:val="continue"/>
            <w:vAlign w:val="center"/>
          </w:tcPr>
          <w:p w14:paraId="29668253">
            <w:pPr>
              <w:pStyle w:val="27"/>
              <w:rPr>
                <w:color w:val="auto"/>
                <w:szCs w:val="15"/>
              </w:rPr>
            </w:pPr>
          </w:p>
        </w:tc>
      </w:tr>
      <w:tr w14:paraId="66A632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continue"/>
            <w:vAlign w:val="center"/>
          </w:tcPr>
          <w:p w14:paraId="38B4D7B1">
            <w:pPr>
              <w:pStyle w:val="27"/>
              <w:rPr>
                <w:color w:val="auto"/>
                <w:szCs w:val="15"/>
              </w:rPr>
            </w:pPr>
          </w:p>
        </w:tc>
        <w:tc>
          <w:tcPr>
            <w:tcW w:w="1888" w:type="dxa"/>
            <w:vMerge w:val="continue"/>
            <w:vAlign w:val="center"/>
          </w:tcPr>
          <w:p w14:paraId="25CD607D">
            <w:pPr>
              <w:pStyle w:val="27"/>
              <w:rPr>
                <w:color w:val="auto"/>
                <w:szCs w:val="15"/>
              </w:rPr>
            </w:pPr>
          </w:p>
        </w:tc>
        <w:tc>
          <w:tcPr>
            <w:tcW w:w="3051" w:type="dxa"/>
            <w:gridSpan w:val="2"/>
            <w:shd w:val="clear" w:color="auto" w:fill="auto"/>
            <w:vAlign w:val="center"/>
          </w:tcPr>
          <w:p w14:paraId="1FC57593">
            <w:pPr>
              <w:pStyle w:val="27"/>
              <w:rPr>
                <w:rFonts w:ascii="宋体" w:hAnsi="宋体"/>
                <w:color w:val="auto"/>
              </w:rPr>
            </w:pPr>
            <w:r>
              <w:rPr>
                <w:rFonts w:hint="eastAsia" w:ascii="宋体" w:hAnsi="宋体"/>
                <w:color w:val="auto"/>
              </w:rPr>
              <w:t>弯起点位置</w:t>
            </w:r>
          </w:p>
        </w:tc>
        <w:tc>
          <w:tcPr>
            <w:tcW w:w="1134" w:type="dxa"/>
            <w:shd w:val="clear" w:color="auto" w:fill="auto"/>
            <w:vAlign w:val="center"/>
          </w:tcPr>
          <w:p w14:paraId="1EB6D020">
            <w:pPr>
              <w:pStyle w:val="27"/>
              <w:rPr>
                <w:color w:val="auto"/>
              </w:rPr>
            </w:pPr>
            <w:r>
              <w:rPr>
                <w:color w:val="auto"/>
              </w:rPr>
              <w:t>20</w:t>
            </w:r>
          </w:p>
        </w:tc>
        <w:tc>
          <w:tcPr>
            <w:tcW w:w="1417" w:type="dxa"/>
            <w:vMerge w:val="continue"/>
            <w:vAlign w:val="center"/>
          </w:tcPr>
          <w:p w14:paraId="6E13C8EB">
            <w:pPr>
              <w:pStyle w:val="27"/>
              <w:rPr>
                <w:color w:val="auto"/>
                <w:szCs w:val="15"/>
              </w:rPr>
            </w:pPr>
          </w:p>
        </w:tc>
      </w:tr>
      <w:tr w14:paraId="7662C8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06" w:type="dxa"/>
            <w:vMerge w:val="restart"/>
            <w:vAlign w:val="center"/>
          </w:tcPr>
          <w:p w14:paraId="4BAFF2AD">
            <w:pPr>
              <w:pStyle w:val="27"/>
              <w:rPr>
                <w:color w:val="auto"/>
                <w:szCs w:val="15"/>
              </w:rPr>
            </w:pPr>
            <w:r>
              <w:rPr>
                <w:rFonts w:hint="eastAsia"/>
                <w:color w:val="auto"/>
                <w:szCs w:val="15"/>
              </w:rPr>
              <w:t>7</w:t>
            </w:r>
          </w:p>
        </w:tc>
        <w:tc>
          <w:tcPr>
            <w:tcW w:w="1888" w:type="dxa"/>
            <w:vMerge w:val="restart"/>
            <w:vAlign w:val="center"/>
          </w:tcPr>
          <w:p w14:paraId="47333BC7">
            <w:pPr>
              <w:pStyle w:val="27"/>
              <w:rPr>
                <w:color w:val="auto"/>
                <w:szCs w:val="15"/>
              </w:rPr>
            </w:pPr>
            <w:r>
              <w:rPr>
                <w:rFonts w:hint="eastAsia"/>
                <w:color w:val="auto"/>
                <w:szCs w:val="15"/>
              </w:rPr>
              <w:t>灌浆套筒及连接钢筋</w:t>
            </w:r>
          </w:p>
        </w:tc>
        <w:tc>
          <w:tcPr>
            <w:tcW w:w="3051" w:type="dxa"/>
            <w:gridSpan w:val="2"/>
            <w:vAlign w:val="center"/>
          </w:tcPr>
          <w:p w14:paraId="700EF784">
            <w:pPr>
              <w:pStyle w:val="27"/>
              <w:rPr>
                <w:color w:val="auto"/>
                <w:szCs w:val="15"/>
              </w:rPr>
            </w:pPr>
            <w:r>
              <w:rPr>
                <w:rFonts w:hint="eastAsia"/>
                <w:color w:val="auto"/>
                <w:szCs w:val="15"/>
              </w:rPr>
              <w:t>灌浆套筒中心线位置</w:t>
            </w:r>
          </w:p>
        </w:tc>
        <w:tc>
          <w:tcPr>
            <w:tcW w:w="1134" w:type="dxa"/>
            <w:vAlign w:val="center"/>
          </w:tcPr>
          <w:p w14:paraId="5BA47C00">
            <w:pPr>
              <w:pStyle w:val="27"/>
              <w:rPr>
                <w:color w:val="auto"/>
                <w:szCs w:val="15"/>
              </w:rPr>
            </w:pPr>
            <w:r>
              <w:rPr>
                <w:color w:val="auto"/>
                <w:szCs w:val="15"/>
              </w:rPr>
              <w:t>2</w:t>
            </w:r>
          </w:p>
        </w:tc>
        <w:tc>
          <w:tcPr>
            <w:tcW w:w="1417" w:type="dxa"/>
            <w:vMerge w:val="restart"/>
            <w:vAlign w:val="center"/>
          </w:tcPr>
          <w:p w14:paraId="59EF890F">
            <w:pPr>
              <w:pStyle w:val="27"/>
              <w:rPr>
                <w:color w:val="auto"/>
                <w:szCs w:val="15"/>
              </w:rPr>
            </w:pPr>
            <w:r>
              <w:rPr>
                <w:rFonts w:hint="eastAsia" w:ascii="宋体" w:hAnsi="宋体"/>
                <w:color w:val="auto"/>
              </w:rPr>
              <w:t>尺量检查</w:t>
            </w:r>
          </w:p>
        </w:tc>
      </w:tr>
      <w:tr w14:paraId="21EBB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606" w:type="dxa"/>
            <w:vMerge w:val="continue"/>
            <w:vAlign w:val="center"/>
          </w:tcPr>
          <w:p w14:paraId="49BD17C7">
            <w:pPr>
              <w:pStyle w:val="27"/>
              <w:rPr>
                <w:color w:val="auto"/>
                <w:szCs w:val="15"/>
              </w:rPr>
            </w:pPr>
          </w:p>
        </w:tc>
        <w:tc>
          <w:tcPr>
            <w:tcW w:w="1888" w:type="dxa"/>
            <w:vMerge w:val="continue"/>
            <w:vAlign w:val="center"/>
          </w:tcPr>
          <w:p w14:paraId="389A5B71">
            <w:pPr>
              <w:pStyle w:val="27"/>
              <w:rPr>
                <w:color w:val="auto"/>
                <w:szCs w:val="15"/>
              </w:rPr>
            </w:pPr>
          </w:p>
        </w:tc>
        <w:tc>
          <w:tcPr>
            <w:tcW w:w="3051" w:type="dxa"/>
            <w:gridSpan w:val="2"/>
            <w:vAlign w:val="center"/>
          </w:tcPr>
          <w:p w14:paraId="70CC7D73">
            <w:pPr>
              <w:pStyle w:val="27"/>
              <w:rPr>
                <w:color w:val="auto"/>
                <w:szCs w:val="15"/>
              </w:rPr>
            </w:pPr>
            <w:r>
              <w:rPr>
                <w:rFonts w:hint="eastAsia"/>
                <w:color w:val="auto"/>
                <w:szCs w:val="15"/>
              </w:rPr>
              <w:t>连接钢筋中心线位置</w:t>
            </w:r>
          </w:p>
        </w:tc>
        <w:tc>
          <w:tcPr>
            <w:tcW w:w="1134" w:type="dxa"/>
            <w:vAlign w:val="center"/>
          </w:tcPr>
          <w:p w14:paraId="792DD9A3">
            <w:pPr>
              <w:pStyle w:val="27"/>
              <w:rPr>
                <w:color w:val="auto"/>
                <w:szCs w:val="15"/>
              </w:rPr>
            </w:pPr>
            <w:r>
              <w:rPr>
                <w:color w:val="auto"/>
                <w:szCs w:val="15"/>
              </w:rPr>
              <w:t>2</w:t>
            </w:r>
          </w:p>
        </w:tc>
        <w:tc>
          <w:tcPr>
            <w:tcW w:w="1417" w:type="dxa"/>
            <w:vMerge w:val="continue"/>
            <w:vAlign w:val="center"/>
          </w:tcPr>
          <w:p w14:paraId="2C2E7660">
            <w:pPr>
              <w:pStyle w:val="27"/>
              <w:rPr>
                <w:color w:val="auto"/>
                <w:szCs w:val="15"/>
              </w:rPr>
            </w:pPr>
          </w:p>
        </w:tc>
      </w:tr>
      <w:tr w14:paraId="345A79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606" w:type="dxa"/>
            <w:vMerge w:val="continue"/>
            <w:vAlign w:val="center"/>
          </w:tcPr>
          <w:p w14:paraId="16573C8A">
            <w:pPr>
              <w:pStyle w:val="27"/>
              <w:rPr>
                <w:color w:val="auto"/>
                <w:szCs w:val="15"/>
              </w:rPr>
            </w:pPr>
          </w:p>
        </w:tc>
        <w:tc>
          <w:tcPr>
            <w:tcW w:w="1888" w:type="dxa"/>
            <w:vMerge w:val="continue"/>
            <w:vAlign w:val="center"/>
          </w:tcPr>
          <w:p w14:paraId="1BEB8F56">
            <w:pPr>
              <w:pStyle w:val="27"/>
              <w:rPr>
                <w:color w:val="auto"/>
                <w:szCs w:val="15"/>
              </w:rPr>
            </w:pPr>
          </w:p>
        </w:tc>
        <w:tc>
          <w:tcPr>
            <w:tcW w:w="3051" w:type="dxa"/>
            <w:gridSpan w:val="2"/>
            <w:vAlign w:val="center"/>
          </w:tcPr>
          <w:p w14:paraId="24ABCC7D">
            <w:pPr>
              <w:pStyle w:val="27"/>
              <w:rPr>
                <w:color w:val="auto"/>
                <w:szCs w:val="15"/>
              </w:rPr>
            </w:pPr>
            <w:r>
              <w:rPr>
                <w:rFonts w:hint="eastAsia"/>
                <w:color w:val="auto"/>
                <w:szCs w:val="15"/>
              </w:rPr>
              <w:t>连接钢筋外露长度</w:t>
            </w:r>
          </w:p>
        </w:tc>
        <w:tc>
          <w:tcPr>
            <w:tcW w:w="1134" w:type="dxa"/>
            <w:vAlign w:val="center"/>
          </w:tcPr>
          <w:p w14:paraId="2BC858F7">
            <w:pPr>
              <w:pStyle w:val="27"/>
              <w:rPr>
                <w:color w:val="auto"/>
                <w:szCs w:val="15"/>
              </w:rPr>
            </w:pPr>
            <w:r>
              <w:rPr>
                <w:color w:val="auto"/>
                <w:szCs w:val="15"/>
              </w:rPr>
              <w:t>+10</w:t>
            </w:r>
            <w:r>
              <w:rPr>
                <w:rFonts w:hint="eastAsia"/>
                <w:color w:val="auto"/>
                <w:szCs w:val="15"/>
              </w:rPr>
              <w:t>，0</w:t>
            </w:r>
          </w:p>
        </w:tc>
        <w:tc>
          <w:tcPr>
            <w:tcW w:w="1417" w:type="dxa"/>
            <w:vMerge w:val="continue"/>
            <w:vAlign w:val="center"/>
          </w:tcPr>
          <w:p w14:paraId="491989CD">
            <w:pPr>
              <w:pStyle w:val="27"/>
              <w:rPr>
                <w:color w:val="auto"/>
                <w:szCs w:val="15"/>
              </w:rPr>
            </w:pPr>
          </w:p>
        </w:tc>
      </w:tr>
    </w:tbl>
    <w:p w14:paraId="4245B699">
      <w:pPr>
        <w:pStyle w:val="28"/>
        <w:rPr>
          <w:iCs/>
          <w:color w:val="auto"/>
        </w:rPr>
      </w:pPr>
      <w:r>
        <w:rPr>
          <w:rFonts w:hint="eastAsia"/>
          <w:color w:val="auto"/>
        </w:rPr>
        <w:t>注：</w:t>
      </w:r>
      <w:r>
        <w:rPr>
          <w:iCs/>
          <w:color w:val="auto"/>
        </w:rPr>
        <w:t xml:space="preserve">1 </w:t>
      </w:r>
      <w:r>
        <w:rPr>
          <w:rFonts w:hint="eastAsia"/>
          <w:iCs/>
          <w:color w:val="auto"/>
        </w:rPr>
        <w:t xml:space="preserve"> 检查中心线、螺栓和孔道位置偏差时，应沿纵横两个方向量测，并取其中偏差较大值。</w:t>
      </w:r>
    </w:p>
    <w:p w14:paraId="60BF81E4">
      <w:pPr>
        <w:numPr>
          <w:ilvl w:val="0"/>
          <w:numId w:val="32"/>
        </w:numPr>
        <w:spacing w:line="312" w:lineRule="auto"/>
        <w:rPr>
          <w:color w:val="auto"/>
        </w:rPr>
      </w:pPr>
      <w:r>
        <w:rPr>
          <w:rFonts w:hint="eastAsia"/>
          <w:color w:val="auto"/>
        </w:rPr>
        <w:t>模块单元尺寸偏差满足要求后，可进行模块单元装修作业，模块单元装饰构件的尺寸偏差和检验方法应符合现行国家标准《建筑装饰装修工程质量验收标准》GB 50210的规定。</w:t>
      </w:r>
    </w:p>
    <w:p w14:paraId="6F462907">
      <w:pPr>
        <w:numPr>
          <w:ilvl w:val="0"/>
          <w:numId w:val="32"/>
        </w:numPr>
        <w:spacing w:line="312" w:lineRule="auto"/>
        <w:rPr>
          <w:color w:val="auto"/>
        </w:rPr>
      </w:pPr>
      <w:r>
        <w:rPr>
          <w:rFonts w:hint="eastAsia"/>
          <w:color w:val="auto"/>
        </w:rPr>
        <w:t>模块单元的预埋件、插筋、对拉孔、设备孔、预埋桁架筋的规格、数量和间距应满足设计要求。</w:t>
      </w:r>
    </w:p>
    <w:p w14:paraId="76D0C27B">
      <w:pPr>
        <w:spacing w:line="312" w:lineRule="auto"/>
        <w:ind w:firstLine="420" w:firstLineChars="200"/>
        <w:rPr>
          <w:color w:val="auto"/>
        </w:rPr>
      </w:pPr>
      <w:r>
        <w:rPr>
          <w:rFonts w:hint="eastAsia"/>
          <w:color w:val="auto"/>
          <w:szCs w:val="24"/>
        </w:rPr>
        <w:t>检查数量：全数检验。</w:t>
      </w:r>
    </w:p>
    <w:p w14:paraId="302DE2E0">
      <w:pPr>
        <w:spacing w:line="312" w:lineRule="auto"/>
        <w:ind w:firstLine="420" w:firstLineChars="200"/>
        <w:rPr>
          <w:color w:val="auto"/>
        </w:rPr>
      </w:pPr>
      <w:r>
        <w:rPr>
          <w:rFonts w:hint="eastAsia"/>
          <w:color w:val="auto"/>
          <w:szCs w:val="24"/>
        </w:rPr>
        <w:t>检验方法：观察和量测。</w:t>
      </w:r>
    </w:p>
    <w:p w14:paraId="4FFE3CAF">
      <w:pPr>
        <w:numPr>
          <w:ilvl w:val="0"/>
          <w:numId w:val="32"/>
        </w:numPr>
        <w:spacing w:line="312" w:lineRule="auto"/>
        <w:rPr>
          <w:color w:val="auto"/>
        </w:rPr>
      </w:pPr>
      <w:r>
        <w:rPr>
          <w:rFonts w:hint="eastAsia"/>
          <w:color w:val="auto"/>
        </w:rPr>
        <w:t>模块单元的粗糙面或键槽成型质量应满足设计要求。</w:t>
      </w:r>
    </w:p>
    <w:p w14:paraId="36BAC83E">
      <w:pPr>
        <w:spacing w:line="312" w:lineRule="auto"/>
        <w:ind w:firstLine="420" w:firstLineChars="200"/>
        <w:rPr>
          <w:color w:val="auto"/>
        </w:rPr>
      </w:pPr>
      <w:r>
        <w:rPr>
          <w:rFonts w:hint="eastAsia"/>
          <w:color w:val="auto"/>
          <w:szCs w:val="24"/>
        </w:rPr>
        <w:t>检查数量：全数检验。</w:t>
      </w:r>
    </w:p>
    <w:p w14:paraId="16426366">
      <w:pPr>
        <w:spacing w:line="312" w:lineRule="auto"/>
        <w:ind w:firstLine="420" w:firstLineChars="200"/>
        <w:rPr>
          <w:color w:val="auto"/>
        </w:rPr>
      </w:pPr>
      <w:r>
        <w:rPr>
          <w:rFonts w:hint="eastAsia"/>
          <w:color w:val="auto"/>
          <w:szCs w:val="24"/>
        </w:rPr>
        <w:t>检验方法：观察和量测。</w:t>
      </w:r>
    </w:p>
    <w:p w14:paraId="6C853EF7">
      <w:pPr>
        <w:numPr>
          <w:ilvl w:val="0"/>
          <w:numId w:val="32"/>
        </w:numPr>
        <w:spacing w:line="312" w:lineRule="auto"/>
        <w:rPr>
          <w:color w:val="auto"/>
        </w:rPr>
      </w:pPr>
      <w:r>
        <w:rPr>
          <w:rFonts w:hint="eastAsia"/>
          <w:color w:val="auto"/>
        </w:rPr>
        <w:t>模块单元的装修质量检验应包括墙面、地面、天花、机电和门窗等内容，并宜根据附录B.4中样式出示模块单元装修质量检测报告。</w:t>
      </w:r>
    </w:p>
    <w:p w14:paraId="1FC38112">
      <w:pPr>
        <w:spacing w:line="312" w:lineRule="auto"/>
        <w:ind w:firstLine="420" w:firstLineChars="200"/>
        <w:rPr>
          <w:color w:val="auto"/>
        </w:rPr>
      </w:pPr>
      <w:r>
        <w:rPr>
          <w:rFonts w:hint="eastAsia"/>
          <w:color w:val="auto"/>
        </w:rPr>
        <w:t>检查数量：全数检查。</w:t>
      </w:r>
    </w:p>
    <w:p w14:paraId="3E0DAE08">
      <w:pPr>
        <w:spacing w:line="312" w:lineRule="auto"/>
        <w:ind w:firstLine="420" w:firstLineChars="200"/>
        <w:rPr>
          <w:color w:val="auto"/>
        </w:rPr>
      </w:pPr>
      <w:r>
        <w:rPr>
          <w:rFonts w:hint="eastAsia"/>
          <w:color w:val="auto"/>
        </w:rPr>
        <w:t>检验方法：附表B.4中的检验方法。</w:t>
      </w:r>
    </w:p>
    <w:p w14:paraId="2E75BA0F">
      <w:pPr>
        <w:numPr>
          <w:ilvl w:val="0"/>
          <w:numId w:val="32"/>
        </w:numPr>
        <w:spacing w:line="312" w:lineRule="auto"/>
        <w:rPr>
          <w:color w:val="auto"/>
        </w:rPr>
      </w:pPr>
      <w:r>
        <w:rPr>
          <w:rFonts w:hint="eastAsia"/>
          <w:color w:val="auto"/>
        </w:rPr>
        <w:t>内、外面砖或石材饰面与模块单元混凝土的粘结强度应符合现行行业标准《建筑工程饰面砖粘结强度检验标准》JGJ 110和《外墙饰面砖工程施工及验收规程》JGJ 126的规定。</w:t>
      </w:r>
    </w:p>
    <w:p w14:paraId="4E0F1C34">
      <w:pPr>
        <w:spacing w:line="312" w:lineRule="auto"/>
        <w:ind w:firstLine="420" w:firstLineChars="200"/>
        <w:rPr>
          <w:color w:val="auto"/>
          <w:szCs w:val="24"/>
        </w:rPr>
      </w:pPr>
      <w:r>
        <w:rPr>
          <w:rFonts w:hint="eastAsia"/>
          <w:color w:val="auto"/>
          <w:szCs w:val="24"/>
        </w:rPr>
        <w:t>检查数量：按同一工程、同一工艺分批抽样检验。</w:t>
      </w:r>
    </w:p>
    <w:p w14:paraId="74C6C9EF">
      <w:pPr>
        <w:spacing w:line="312" w:lineRule="auto"/>
        <w:ind w:firstLine="420" w:firstLineChars="200"/>
        <w:rPr>
          <w:color w:val="auto"/>
          <w:szCs w:val="24"/>
        </w:rPr>
      </w:pPr>
      <w:r>
        <w:rPr>
          <w:rFonts w:hint="eastAsia"/>
          <w:color w:val="auto"/>
          <w:szCs w:val="24"/>
        </w:rPr>
        <w:t>检验方法：检查试验报告单。</w:t>
      </w:r>
    </w:p>
    <w:p w14:paraId="536CAC5A">
      <w:pPr>
        <w:numPr>
          <w:ilvl w:val="0"/>
          <w:numId w:val="32"/>
        </w:numPr>
        <w:spacing w:line="312" w:lineRule="auto"/>
        <w:rPr>
          <w:color w:val="auto"/>
        </w:rPr>
      </w:pPr>
      <w:r>
        <w:rPr>
          <w:rFonts w:hint="eastAsia"/>
          <w:color w:val="auto"/>
        </w:rPr>
        <w:t>模块单元出厂前应进行吊装测试。</w:t>
      </w:r>
    </w:p>
    <w:p w14:paraId="48E0BAF2">
      <w:pPr>
        <w:spacing w:line="312" w:lineRule="auto"/>
        <w:ind w:firstLine="420" w:firstLineChars="200"/>
        <w:rPr>
          <w:color w:val="auto"/>
        </w:rPr>
      </w:pPr>
      <w:r>
        <w:rPr>
          <w:rFonts w:hint="eastAsia"/>
          <w:color w:val="auto"/>
        </w:rPr>
        <w:t>检查数量：同种类型的模块单元至少检测1个。</w:t>
      </w:r>
    </w:p>
    <w:p w14:paraId="1DD65BD7">
      <w:pPr>
        <w:spacing w:line="312" w:lineRule="auto"/>
        <w:ind w:firstLine="420" w:firstLineChars="200"/>
        <w:rPr>
          <w:color w:val="auto"/>
        </w:rPr>
      </w:pPr>
      <w:r>
        <w:rPr>
          <w:rFonts w:hint="eastAsia"/>
          <w:color w:val="auto"/>
        </w:rPr>
        <w:t>检验方法：吊装测试方法应符合本标准附录C的规定。</w:t>
      </w:r>
    </w:p>
    <w:p w14:paraId="62B438E2">
      <w:pPr>
        <w:pStyle w:val="33"/>
        <w:rPr>
          <w:color w:val="auto"/>
        </w:rPr>
      </w:pPr>
      <w:r>
        <w:rPr>
          <w:rFonts w:hint="eastAsia" w:ascii="楷体" w:hAnsi="楷体" w:cs="楷体"/>
          <w:color w:val="auto"/>
          <w:szCs w:val="21"/>
        </w:rPr>
        <w:t>【条文说明】</w:t>
      </w:r>
      <w:r>
        <w:rPr>
          <w:rFonts w:hint="eastAsia"/>
          <w:color w:val="auto"/>
        </w:rPr>
        <w:t>模块单元在出厂前应对吊装性能进行测试，吊具的选用与设计需符合本标准的有关规定，吊装设备的选用需满足设计要求。在吊装测试中，吊环、吊架等吊具及模块单元均不应出现明显变形，混凝土不应出现明显裂缝，保证模块单元具有足够的刚度和强度满足现场施工作业的要求。</w:t>
      </w:r>
    </w:p>
    <w:p w14:paraId="5CE2A20F">
      <w:pPr>
        <w:numPr>
          <w:ilvl w:val="0"/>
          <w:numId w:val="32"/>
        </w:numPr>
        <w:spacing w:line="312" w:lineRule="auto"/>
        <w:rPr>
          <w:color w:val="auto"/>
        </w:rPr>
      </w:pPr>
      <w:r>
        <w:rPr>
          <w:rFonts w:hint="eastAsia"/>
          <w:color w:val="auto"/>
        </w:rPr>
        <w:t>卫浴及厨房模块单元应进行蓄水试验，其排水坡度、通风装置、安装及检修用管道空间、地面防水层均应符合设计要求和本标准的规定。</w:t>
      </w:r>
    </w:p>
    <w:p w14:paraId="2ECD26BB">
      <w:pPr>
        <w:spacing w:line="312" w:lineRule="auto"/>
        <w:ind w:firstLine="420" w:firstLineChars="200"/>
        <w:rPr>
          <w:color w:val="auto"/>
        </w:rPr>
      </w:pPr>
      <w:r>
        <w:rPr>
          <w:rFonts w:hint="eastAsia"/>
          <w:color w:val="auto"/>
        </w:rPr>
        <w:t>检查数量：同种类型的模块单元每次抽检数量不应少于该品种数量的</w:t>
      </w:r>
      <w:r>
        <w:rPr>
          <w:color w:val="auto"/>
        </w:rPr>
        <w:t>10</w:t>
      </w:r>
      <w:r>
        <w:rPr>
          <w:rFonts w:hint="eastAsia"/>
          <w:color w:val="auto"/>
        </w:rPr>
        <w:t>％且不少于</w:t>
      </w:r>
      <w:r>
        <w:rPr>
          <w:color w:val="auto"/>
        </w:rPr>
        <w:t>5</w:t>
      </w:r>
      <w:r>
        <w:rPr>
          <w:rFonts w:hint="eastAsia"/>
          <w:color w:val="auto"/>
        </w:rPr>
        <w:t>件。</w:t>
      </w:r>
    </w:p>
    <w:p w14:paraId="7304C760">
      <w:pPr>
        <w:spacing w:line="312" w:lineRule="auto"/>
        <w:ind w:firstLine="420" w:firstLineChars="200"/>
        <w:rPr>
          <w:color w:val="auto"/>
        </w:rPr>
      </w:pPr>
      <w:r>
        <w:rPr>
          <w:rFonts w:hint="eastAsia"/>
          <w:color w:val="auto"/>
        </w:rPr>
        <w:t>检验方法：蓄水试验前，应封堵试验区域内的排水口，蓄水时间不应小于2</w:t>
      </w:r>
      <w:r>
        <w:rPr>
          <w:color w:val="auto"/>
        </w:rPr>
        <w:t>4</w:t>
      </w:r>
      <w:r>
        <w:rPr>
          <w:rFonts w:hint="eastAsia"/>
          <w:color w:val="auto"/>
        </w:rPr>
        <w:t>h，蓄水深度最浅处不应小于</w:t>
      </w:r>
      <w:r>
        <w:rPr>
          <w:color w:val="auto"/>
        </w:rPr>
        <w:t>25</w:t>
      </w:r>
      <w:r>
        <w:rPr>
          <w:rFonts w:hint="eastAsia"/>
          <w:color w:val="auto"/>
        </w:rPr>
        <w:t>mm。</w:t>
      </w:r>
    </w:p>
    <w:p w14:paraId="6DD01828">
      <w:pPr>
        <w:pStyle w:val="33"/>
        <w:rPr>
          <w:color w:val="auto"/>
        </w:rPr>
      </w:pPr>
      <w:r>
        <w:rPr>
          <w:rFonts w:hint="eastAsia" w:ascii="楷体" w:hAnsi="楷体" w:cs="楷体"/>
          <w:color w:val="auto"/>
          <w:szCs w:val="21"/>
        </w:rPr>
        <w:t>【条文说明】</w:t>
      </w:r>
      <w:r>
        <w:rPr>
          <w:rFonts w:hint="eastAsia"/>
          <w:color w:val="auto"/>
        </w:rPr>
        <w:t>模块化建筑具有高度集成的特点，卫生间及厨房等房间的防水层及饰面层均在工厂完成施工。根据相关规范对室内厕浴间楼地面防水层和饰面层完成后的蓄水试验要求，其防水层的蓄水试验在工厂进行，其饰面层的蓄水试验在模块单元安装后进行。</w:t>
      </w:r>
    </w:p>
    <w:p w14:paraId="77BB211D">
      <w:pPr>
        <w:numPr>
          <w:ilvl w:val="0"/>
          <w:numId w:val="32"/>
        </w:numPr>
        <w:spacing w:line="312" w:lineRule="auto"/>
        <w:rPr>
          <w:color w:val="auto"/>
        </w:rPr>
      </w:pPr>
      <w:r>
        <w:rPr>
          <w:rFonts w:hint="eastAsia"/>
          <w:color w:val="auto"/>
        </w:rPr>
        <w:t>模块单元出厂前应对有防水要求的外墙、外窗、门进行淋水试验。</w:t>
      </w:r>
    </w:p>
    <w:p w14:paraId="4321374C">
      <w:pPr>
        <w:spacing w:line="312" w:lineRule="auto"/>
        <w:ind w:firstLine="420" w:firstLineChars="200"/>
        <w:rPr>
          <w:color w:val="auto"/>
        </w:rPr>
      </w:pPr>
      <w:r>
        <w:rPr>
          <w:rFonts w:hint="eastAsia"/>
          <w:color w:val="auto"/>
        </w:rPr>
        <w:t>检查数量：全数检查</w:t>
      </w:r>
    </w:p>
    <w:p w14:paraId="622E5D70">
      <w:pPr>
        <w:spacing w:line="312" w:lineRule="auto"/>
        <w:ind w:firstLine="420" w:firstLineChars="200"/>
        <w:rPr>
          <w:color w:val="auto"/>
        </w:rPr>
      </w:pPr>
      <w:r>
        <w:rPr>
          <w:rFonts w:hint="eastAsia"/>
          <w:color w:val="auto"/>
        </w:rPr>
        <w:t>检验方法：试验前应关闭窗户，封闭各种预留洞口，采用淋水管线对模块单元自上而下淋水，淋水水压不应低于</w:t>
      </w:r>
      <w:r>
        <w:rPr>
          <w:color w:val="auto"/>
        </w:rPr>
        <w:t>0.3MPa</w:t>
      </w:r>
      <w:r>
        <w:rPr>
          <w:rFonts w:hint="eastAsia"/>
          <w:color w:val="auto"/>
        </w:rPr>
        <w:t>，淋水试验时间不应少于30min，并应能在待测区域表面形成均匀水幕，检查背水面渗漏情况。</w:t>
      </w:r>
    </w:p>
    <w:p w14:paraId="5E706DA7">
      <w:pPr>
        <w:pStyle w:val="33"/>
        <w:rPr>
          <w:color w:val="auto"/>
        </w:rPr>
      </w:pPr>
      <w:r>
        <w:rPr>
          <w:rFonts w:hint="eastAsia" w:ascii="楷体" w:hAnsi="楷体" w:cs="楷体"/>
          <w:color w:val="auto"/>
          <w:szCs w:val="21"/>
        </w:rPr>
        <w:t>【条文说明】淋水试验的主要目的是为检测模块单元的防水性，确保无渗漏。</w:t>
      </w:r>
      <w:r>
        <w:rPr>
          <w:rFonts w:hint="eastAsia"/>
          <w:color w:val="auto"/>
        </w:rPr>
        <w:t>模块单元的淋水试验宜在模块单元装修前完成，确保模块单元具有一定的防水能力，在工厂装修过程或现场施工过程中遇雨水天气不对模块单元内部装修造成损害。</w:t>
      </w:r>
    </w:p>
    <w:p w14:paraId="42EABBEE">
      <w:pPr>
        <w:numPr>
          <w:ilvl w:val="0"/>
          <w:numId w:val="32"/>
        </w:numPr>
        <w:spacing w:line="312" w:lineRule="auto"/>
        <w:rPr>
          <w:color w:val="auto"/>
        </w:rPr>
      </w:pPr>
      <w:r>
        <w:rPr>
          <w:rFonts w:hint="eastAsia"/>
          <w:color w:val="auto"/>
        </w:rPr>
        <w:t>模块单元的使用功能检验应包括模块单元的通水、通电测试。</w:t>
      </w:r>
    </w:p>
    <w:p w14:paraId="61DC5053">
      <w:pPr>
        <w:spacing w:line="312" w:lineRule="auto"/>
        <w:ind w:firstLine="420" w:firstLineChars="200"/>
        <w:rPr>
          <w:color w:val="auto"/>
        </w:rPr>
      </w:pPr>
      <w:r>
        <w:rPr>
          <w:rFonts w:hint="eastAsia"/>
          <w:color w:val="auto"/>
        </w:rPr>
        <w:t>检查数量：全数检查</w:t>
      </w:r>
    </w:p>
    <w:p w14:paraId="1B8577BD">
      <w:pPr>
        <w:spacing w:line="312" w:lineRule="auto"/>
        <w:ind w:firstLine="420" w:firstLineChars="200"/>
        <w:rPr>
          <w:color w:val="auto"/>
        </w:rPr>
      </w:pPr>
      <w:r>
        <w:rPr>
          <w:rFonts w:hint="eastAsia"/>
          <w:color w:val="auto"/>
        </w:rPr>
        <w:t>检验方法：各种承压管道系统和设备应做水压试验，非承压管道系统和设备应做灌水试验，照明系统和其他电气设备应做通电试运行。</w:t>
      </w:r>
    </w:p>
    <w:p w14:paraId="3CE08EB6">
      <w:pPr>
        <w:numPr>
          <w:ilvl w:val="0"/>
          <w:numId w:val="32"/>
        </w:numPr>
        <w:spacing w:line="312" w:lineRule="auto"/>
        <w:rPr>
          <w:color w:val="auto"/>
        </w:rPr>
      </w:pPr>
      <w:r>
        <w:rPr>
          <w:rFonts w:hint="eastAsia"/>
          <w:color w:val="auto"/>
        </w:rPr>
        <w:t>模块单元的资料应与产品生产同步形成、收集和整理，生产单位归档资料宜包括下列内容：</w:t>
      </w:r>
    </w:p>
    <w:p w14:paraId="6D6D0622">
      <w:pPr>
        <w:spacing w:line="312" w:lineRule="auto"/>
        <w:ind w:firstLine="422" w:firstLineChars="200"/>
        <w:rPr>
          <w:color w:val="auto"/>
        </w:rPr>
      </w:pPr>
      <w:r>
        <w:rPr>
          <w:b/>
          <w:color w:val="auto"/>
        </w:rPr>
        <w:t xml:space="preserve">1  </w:t>
      </w:r>
      <w:r>
        <w:rPr>
          <w:rFonts w:hint="eastAsia"/>
          <w:color w:val="auto"/>
        </w:rPr>
        <w:t>模块单元加工合同；</w:t>
      </w:r>
    </w:p>
    <w:p w14:paraId="55F10757">
      <w:pPr>
        <w:spacing w:line="312" w:lineRule="auto"/>
        <w:ind w:firstLine="422" w:firstLineChars="200"/>
        <w:rPr>
          <w:color w:val="auto"/>
        </w:rPr>
      </w:pPr>
      <w:r>
        <w:rPr>
          <w:b/>
          <w:color w:val="auto"/>
        </w:rPr>
        <w:t xml:space="preserve">2  </w:t>
      </w:r>
      <w:r>
        <w:rPr>
          <w:rFonts w:hint="eastAsia"/>
          <w:color w:val="auto"/>
        </w:rPr>
        <w:t>模块单元加工图纸及其他设计文件；</w:t>
      </w:r>
    </w:p>
    <w:p w14:paraId="5A1439D8">
      <w:pPr>
        <w:spacing w:line="312" w:lineRule="auto"/>
        <w:ind w:firstLine="422" w:firstLineChars="200"/>
        <w:rPr>
          <w:color w:val="auto"/>
        </w:rPr>
      </w:pPr>
      <w:r>
        <w:rPr>
          <w:b/>
          <w:color w:val="auto"/>
        </w:rPr>
        <w:t xml:space="preserve">3  </w:t>
      </w:r>
      <w:r>
        <w:rPr>
          <w:rFonts w:hint="eastAsia"/>
          <w:color w:val="auto"/>
        </w:rPr>
        <w:t>生产方案和质量计划等文件；</w:t>
      </w:r>
    </w:p>
    <w:p w14:paraId="774B55A7">
      <w:pPr>
        <w:spacing w:line="312" w:lineRule="auto"/>
        <w:ind w:firstLine="422" w:firstLineChars="200"/>
        <w:rPr>
          <w:color w:val="auto"/>
        </w:rPr>
      </w:pPr>
      <w:r>
        <w:rPr>
          <w:b/>
          <w:color w:val="auto"/>
        </w:rPr>
        <w:t xml:space="preserve">4  </w:t>
      </w:r>
      <w:r>
        <w:rPr>
          <w:rFonts w:hint="eastAsia"/>
          <w:color w:val="auto"/>
        </w:rPr>
        <w:t>原材料质量证明文件、复试试验记录和试验报告；</w:t>
      </w:r>
    </w:p>
    <w:p w14:paraId="19CE26D7">
      <w:pPr>
        <w:spacing w:line="312" w:lineRule="auto"/>
        <w:ind w:firstLine="422" w:firstLineChars="200"/>
        <w:rPr>
          <w:color w:val="auto"/>
        </w:rPr>
      </w:pPr>
      <w:r>
        <w:rPr>
          <w:b/>
          <w:color w:val="auto"/>
        </w:rPr>
        <w:t xml:space="preserve">5  </w:t>
      </w:r>
      <w:r>
        <w:rPr>
          <w:rFonts w:hint="eastAsia"/>
          <w:color w:val="auto"/>
        </w:rPr>
        <w:t>混凝土试配及配合比资料；</w:t>
      </w:r>
    </w:p>
    <w:p w14:paraId="65004EBB">
      <w:pPr>
        <w:spacing w:line="312" w:lineRule="auto"/>
        <w:ind w:firstLine="422" w:firstLineChars="200"/>
        <w:rPr>
          <w:color w:val="auto"/>
        </w:rPr>
      </w:pPr>
      <w:r>
        <w:rPr>
          <w:b/>
          <w:color w:val="auto"/>
        </w:rPr>
        <w:t xml:space="preserve">6  </w:t>
      </w:r>
      <w:r>
        <w:rPr>
          <w:rFonts w:hint="eastAsia"/>
          <w:color w:val="auto"/>
        </w:rPr>
        <w:t>混凝土送货单；</w:t>
      </w:r>
    </w:p>
    <w:p w14:paraId="6891C46D">
      <w:pPr>
        <w:spacing w:line="312" w:lineRule="auto"/>
        <w:ind w:firstLine="422" w:firstLineChars="200"/>
        <w:rPr>
          <w:color w:val="auto"/>
        </w:rPr>
      </w:pPr>
      <w:r>
        <w:rPr>
          <w:b/>
          <w:color w:val="auto"/>
        </w:rPr>
        <w:t xml:space="preserve">7  </w:t>
      </w:r>
      <w:r>
        <w:rPr>
          <w:rFonts w:hint="eastAsia"/>
          <w:color w:val="auto"/>
        </w:rPr>
        <w:t>混凝土强度报告；</w:t>
      </w:r>
    </w:p>
    <w:p w14:paraId="52A959AB">
      <w:pPr>
        <w:spacing w:line="312" w:lineRule="auto"/>
        <w:ind w:firstLine="422" w:firstLineChars="200"/>
        <w:rPr>
          <w:color w:val="auto"/>
        </w:rPr>
      </w:pPr>
      <w:r>
        <w:rPr>
          <w:b/>
          <w:color w:val="auto"/>
        </w:rPr>
        <w:t xml:space="preserve">8  </w:t>
      </w:r>
      <w:r>
        <w:rPr>
          <w:rFonts w:hint="eastAsia"/>
          <w:color w:val="auto"/>
        </w:rPr>
        <w:t>钢筋检验资料、钢筋接头的试验报告；</w:t>
      </w:r>
    </w:p>
    <w:p w14:paraId="5BBB1B14">
      <w:pPr>
        <w:spacing w:line="312" w:lineRule="auto"/>
        <w:ind w:firstLine="422" w:firstLineChars="200"/>
        <w:rPr>
          <w:color w:val="auto"/>
        </w:rPr>
      </w:pPr>
      <w:r>
        <w:rPr>
          <w:rFonts w:hint="eastAsia"/>
          <w:b/>
          <w:color w:val="auto"/>
        </w:rPr>
        <w:t>9</w:t>
      </w:r>
      <w:r>
        <w:rPr>
          <w:b/>
          <w:color w:val="auto"/>
        </w:rPr>
        <w:t xml:space="preserve">  </w:t>
      </w:r>
      <w:r>
        <w:rPr>
          <w:rFonts w:hint="eastAsia"/>
          <w:color w:val="auto"/>
        </w:rPr>
        <w:t>模具检验资料；</w:t>
      </w:r>
    </w:p>
    <w:p w14:paraId="182265C5">
      <w:pPr>
        <w:spacing w:line="312" w:lineRule="auto"/>
        <w:ind w:firstLine="422" w:firstLineChars="200"/>
        <w:rPr>
          <w:color w:val="auto"/>
        </w:rPr>
      </w:pPr>
      <w:r>
        <w:rPr>
          <w:b/>
          <w:color w:val="auto"/>
        </w:rPr>
        <w:t xml:space="preserve">10  </w:t>
      </w:r>
      <w:r>
        <w:rPr>
          <w:rFonts w:hint="eastAsia"/>
          <w:color w:val="auto"/>
        </w:rPr>
        <w:t>混凝土浇筑记录；</w:t>
      </w:r>
    </w:p>
    <w:p w14:paraId="7DE71BCA">
      <w:pPr>
        <w:spacing w:line="312" w:lineRule="auto"/>
        <w:ind w:firstLine="422" w:firstLineChars="200"/>
        <w:rPr>
          <w:color w:val="auto"/>
        </w:rPr>
      </w:pPr>
      <w:r>
        <w:rPr>
          <w:b/>
          <w:color w:val="auto"/>
        </w:rPr>
        <w:t xml:space="preserve">11  </w:t>
      </w:r>
      <w:r>
        <w:rPr>
          <w:rFonts w:hint="eastAsia"/>
          <w:color w:val="auto"/>
        </w:rPr>
        <w:t>混凝土养护记录；</w:t>
      </w:r>
    </w:p>
    <w:p w14:paraId="361CF2FA">
      <w:pPr>
        <w:spacing w:line="312" w:lineRule="auto"/>
        <w:ind w:firstLine="422" w:firstLineChars="200"/>
        <w:rPr>
          <w:color w:val="auto"/>
        </w:rPr>
      </w:pPr>
      <w:r>
        <w:rPr>
          <w:b/>
          <w:color w:val="auto"/>
        </w:rPr>
        <w:t xml:space="preserve">12  </w:t>
      </w:r>
      <w:r>
        <w:rPr>
          <w:rFonts w:hint="eastAsia"/>
          <w:color w:val="auto"/>
        </w:rPr>
        <w:t>模块单元尺寸偏差及外观质量检验记录；</w:t>
      </w:r>
    </w:p>
    <w:p w14:paraId="1331E51B">
      <w:pPr>
        <w:spacing w:line="312" w:lineRule="auto"/>
        <w:ind w:firstLine="422" w:firstLineChars="200"/>
        <w:rPr>
          <w:color w:val="auto"/>
        </w:rPr>
      </w:pPr>
      <w:r>
        <w:rPr>
          <w:b/>
          <w:color w:val="auto"/>
        </w:rPr>
        <w:t>13</w:t>
      </w:r>
      <w:r>
        <w:rPr>
          <w:color w:val="auto"/>
        </w:rPr>
        <w:t xml:space="preserve">  </w:t>
      </w:r>
      <w:r>
        <w:rPr>
          <w:rFonts w:hint="eastAsia"/>
          <w:color w:val="auto"/>
        </w:rPr>
        <w:t>模块单元吊装测试报告；</w:t>
      </w:r>
    </w:p>
    <w:p w14:paraId="7D6C612A">
      <w:pPr>
        <w:spacing w:line="312" w:lineRule="auto"/>
        <w:ind w:firstLine="422" w:firstLineChars="200"/>
        <w:rPr>
          <w:color w:val="auto"/>
        </w:rPr>
      </w:pPr>
      <w:r>
        <w:rPr>
          <w:b/>
          <w:color w:val="auto"/>
        </w:rPr>
        <w:t xml:space="preserve">14  </w:t>
      </w:r>
      <w:r>
        <w:rPr>
          <w:rFonts w:hint="eastAsia"/>
          <w:color w:val="auto"/>
        </w:rPr>
        <w:t>模块单元蓄水试验报告；</w:t>
      </w:r>
    </w:p>
    <w:p w14:paraId="7AC196F3">
      <w:pPr>
        <w:spacing w:line="312" w:lineRule="auto"/>
        <w:ind w:firstLine="422" w:firstLineChars="200"/>
        <w:rPr>
          <w:color w:val="auto"/>
        </w:rPr>
      </w:pPr>
      <w:r>
        <w:rPr>
          <w:b/>
          <w:color w:val="auto"/>
        </w:rPr>
        <w:t xml:space="preserve">15  </w:t>
      </w:r>
      <w:r>
        <w:rPr>
          <w:rFonts w:hint="eastAsia"/>
          <w:color w:val="auto"/>
        </w:rPr>
        <w:t>模块单元淋水试验报告；</w:t>
      </w:r>
    </w:p>
    <w:p w14:paraId="4A4D5EFA">
      <w:pPr>
        <w:spacing w:line="312" w:lineRule="auto"/>
        <w:ind w:firstLine="422" w:firstLineChars="200"/>
        <w:rPr>
          <w:b/>
          <w:color w:val="auto"/>
        </w:rPr>
      </w:pPr>
      <w:r>
        <w:rPr>
          <w:b/>
          <w:color w:val="auto"/>
        </w:rPr>
        <w:t>16</w:t>
      </w:r>
      <w:r>
        <w:rPr>
          <w:color w:val="auto"/>
        </w:rPr>
        <w:t xml:space="preserve">  </w:t>
      </w:r>
      <w:r>
        <w:rPr>
          <w:rFonts w:hint="eastAsia"/>
          <w:color w:val="auto"/>
        </w:rPr>
        <w:t>模块单元使用功能检验记录；</w:t>
      </w:r>
    </w:p>
    <w:p w14:paraId="6C7226B0">
      <w:pPr>
        <w:spacing w:line="312" w:lineRule="auto"/>
        <w:ind w:firstLine="422" w:firstLineChars="200"/>
        <w:rPr>
          <w:color w:val="auto"/>
        </w:rPr>
      </w:pPr>
      <w:r>
        <w:rPr>
          <w:b/>
          <w:color w:val="auto"/>
        </w:rPr>
        <w:t xml:space="preserve">17  </w:t>
      </w:r>
      <w:r>
        <w:rPr>
          <w:rFonts w:hint="eastAsia"/>
          <w:color w:val="auto"/>
        </w:rPr>
        <w:t>模块单元出厂合格证；</w:t>
      </w:r>
    </w:p>
    <w:p w14:paraId="3D7B25BC">
      <w:pPr>
        <w:spacing w:line="312" w:lineRule="auto"/>
        <w:ind w:firstLine="422" w:firstLineChars="200"/>
        <w:rPr>
          <w:color w:val="auto"/>
        </w:rPr>
      </w:pPr>
      <w:r>
        <w:rPr>
          <w:rFonts w:hint="eastAsia"/>
          <w:b/>
          <w:color w:val="auto"/>
        </w:rPr>
        <w:t>1</w:t>
      </w:r>
      <w:r>
        <w:rPr>
          <w:b/>
          <w:color w:val="auto"/>
        </w:rPr>
        <w:t xml:space="preserve">8  </w:t>
      </w:r>
      <w:r>
        <w:rPr>
          <w:rFonts w:hint="eastAsia"/>
          <w:color w:val="auto"/>
        </w:rPr>
        <w:t>质量缺陷分析和处理资料；</w:t>
      </w:r>
    </w:p>
    <w:p w14:paraId="72B93FCC">
      <w:pPr>
        <w:spacing w:line="312" w:lineRule="auto"/>
        <w:ind w:firstLine="422" w:firstLineChars="200"/>
        <w:rPr>
          <w:color w:val="auto"/>
        </w:rPr>
      </w:pPr>
      <w:r>
        <w:rPr>
          <w:rFonts w:hint="eastAsia"/>
          <w:b/>
          <w:color w:val="auto"/>
        </w:rPr>
        <w:t xml:space="preserve">19  </w:t>
      </w:r>
      <w:r>
        <w:rPr>
          <w:rFonts w:hint="eastAsia"/>
          <w:color w:val="auto"/>
        </w:rPr>
        <w:t>钢筋连接接头型式检验报告等质量证明文件；</w:t>
      </w:r>
    </w:p>
    <w:p w14:paraId="5680BA87">
      <w:pPr>
        <w:spacing w:line="312" w:lineRule="auto"/>
        <w:ind w:firstLine="422" w:firstLineChars="200"/>
        <w:rPr>
          <w:color w:val="auto"/>
        </w:rPr>
      </w:pPr>
      <w:r>
        <w:rPr>
          <w:rFonts w:hint="eastAsia"/>
          <w:b/>
          <w:color w:val="auto"/>
        </w:rPr>
        <w:t>20</w:t>
      </w:r>
      <w:r>
        <w:rPr>
          <w:b/>
          <w:color w:val="auto"/>
        </w:rPr>
        <w:t xml:space="preserve">  </w:t>
      </w:r>
      <w:r>
        <w:rPr>
          <w:rFonts w:hint="eastAsia"/>
          <w:color w:val="auto"/>
        </w:rPr>
        <w:t>其他与模块单元生产和质量有关的重要文件资料。</w:t>
      </w:r>
    </w:p>
    <w:p w14:paraId="316D8266">
      <w:pPr>
        <w:numPr>
          <w:ilvl w:val="0"/>
          <w:numId w:val="32"/>
        </w:numPr>
        <w:spacing w:line="312" w:lineRule="auto"/>
        <w:rPr>
          <w:color w:val="auto"/>
        </w:rPr>
      </w:pPr>
      <w:r>
        <w:rPr>
          <w:rFonts w:hint="eastAsia"/>
          <w:color w:val="auto"/>
        </w:rPr>
        <w:t>模块单元交付的文件资料应包括下列内容：</w:t>
      </w:r>
    </w:p>
    <w:p w14:paraId="14F1F7B8">
      <w:pPr>
        <w:spacing w:line="312" w:lineRule="auto"/>
        <w:ind w:firstLine="422" w:firstLineChars="200"/>
        <w:rPr>
          <w:color w:val="auto"/>
        </w:rPr>
      </w:pPr>
      <w:r>
        <w:rPr>
          <w:b/>
          <w:color w:val="auto"/>
        </w:rPr>
        <w:t xml:space="preserve">1  </w:t>
      </w:r>
      <w:r>
        <w:rPr>
          <w:rFonts w:hint="eastAsia"/>
          <w:color w:val="auto"/>
        </w:rPr>
        <w:t>出厂合格证（附录A）；</w:t>
      </w:r>
    </w:p>
    <w:p w14:paraId="5F8459DA">
      <w:pPr>
        <w:spacing w:line="312" w:lineRule="auto"/>
        <w:ind w:firstLine="422" w:firstLineChars="200"/>
        <w:rPr>
          <w:color w:val="auto"/>
        </w:rPr>
      </w:pPr>
      <w:r>
        <w:rPr>
          <w:b/>
          <w:color w:val="auto"/>
        </w:rPr>
        <w:t>2</w:t>
      </w:r>
      <w:r>
        <w:rPr>
          <w:color w:val="auto"/>
        </w:rPr>
        <w:t xml:space="preserve">  </w:t>
      </w:r>
      <w:r>
        <w:rPr>
          <w:rFonts w:hint="eastAsia"/>
          <w:color w:val="auto"/>
        </w:rPr>
        <w:t>产品质量证明文件，包含原材料质量证明文件、钢筋检验报告及连接类型的工艺检验报告、混凝土强度报告、模块单元质量验收记录（附录B）等设计、生产相关过程资料等；</w:t>
      </w:r>
    </w:p>
    <w:p w14:paraId="23419BB4">
      <w:pPr>
        <w:spacing w:line="312" w:lineRule="auto"/>
        <w:ind w:firstLine="422" w:firstLineChars="200"/>
        <w:rPr>
          <w:color w:val="auto"/>
        </w:rPr>
      </w:pPr>
      <w:r>
        <w:rPr>
          <w:b/>
          <w:color w:val="auto"/>
        </w:rPr>
        <w:t>3</w:t>
      </w:r>
      <w:r>
        <w:rPr>
          <w:color w:val="auto"/>
        </w:rPr>
        <w:t xml:space="preserve">  </w:t>
      </w:r>
      <w:r>
        <w:rPr>
          <w:rFonts w:hint="eastAsia"/>
          <w:color w:val="auto"/>
        </w:rPr>
        <w:t>使用说明书。</w:t>
      </w:r>
    </w:p>
    <w:p w14:paraId="0E442621">
      <w:pPr>
        <w:pStyle w:val="33"/>
        <w:rPr>
          <w:color w:val="auto"/>
        </w:rPr>
      </w:pPr>
      <w:r>
        <w:rPr>
          <w:rFonts w:hint="eastAsia" w:ascii="楷体" w:hAnsi="楷体" w:cs="楷体"/>
          <w:color w:val="auto"/>
          <w:szCs w:val="21"/>
        </w:rPr>
        <w:t>【条文说明】</w:t>
      </w:r>
      <w:r>
        <w:rPr>
          <w:rFonts w:hint="eastAsia"/>
          <w:color w:val="auto"/>
        </w:rPr>
        <w:t>模块单元质量验收记录包括模块单元模具质量验收记录、模块单元钢筋预埋件质量验收记录、模块单元混凝土质量验收记录、模块单元装饰与装修质量验收记录、模块单元机电质量验收记录、模块单元吊装及预拼装质量验收记录等资料。</w:t>
      </w:r>
    </w:p>
    <w:p w14:paraId="4A2F5B32">
      <w:pPr>
        <w:pStyle w:val="33"/>
        <w:rPr>
          <w:color w:val="auto"/>
        </w:rPr>
      </w:pPr>
      <w:r>
        <w:rPr>
          <w:rFonts w:hint="eastAsia"/>
          <w:color w:val="auto"/>
        </w:rPr>
        <w:t>模块单元产品使用说明书应包含：模块单元加工图纸，以及产品保修期、产品装修内容、装修材料品牌及规格、设备品牌、型号及功能、产品后装修位置及后装修建议做法等内容。</w:t>
      </w:r>
    </w:p>
    <w:p w14:paraId="622A5BC5">
      <w:pPr>
        <w:pStyle w:val="3"/>
        <w:rPr>
          <w:color w:val="auto"/>
        </w:rPr>
      </w:pPr>
      <w:bookmarkStart w:id="373" w:name="_Toc13155"/>
      <w:bookmarkStart w:id="374" w:name="_Toc24700"/>
      <w:bookmarkStart w:id="375" w:name="_Toc22702"/>
      <w:bookmarkStart w:id="376" w:name="_Toc18371"/>
      <w:bookmarkStart w:id="377" w:name="_Toc29009"/>
      <w:bookmarkStart w:id="378" w:name="_Toc19430"/>
      <w:bookmarkStart w:id="379" w:name="_Toc28075"/>
      <w:bookmarkStart w:id="380" w:name="_Toc24635"/>
      <w:bookmarkStart w:id="381" w:name="_Toc23774"/>
      <w:r>
        <w:rPr>
          <w:b/>
          <w:bCs w:val="0"/>
          <w:color w:val="auto"/>
        </w:rPr>
        <w:t>9</w:t>
      </w:r>
      <w:r>
        <w:rPr>
          <w:rFonts w:hint="eastAsia"/>
          <w:b/>
          <w:bCs w:val="0"/>
          <w:color w:val="auto"/>
        </w:rPr>
        <w:t>.8</w:t>
      </w:r>
      <w:r>
        <w:rPr>
          <w:rFonts w:hint="eastAsia"/>
          <w:color w:val="auto"/>
        </w:rPr>
        <w:t xml:space="preserve">  吊装、运输、存放及防护</w:t>
      </w:r>
      <w:bookmarkEnd w:id="373"/>
      <w:bookmarkEnd w:id="374"/>
      <w:bookmarkEnd w:id="375"/>
      <w:bookmarkEnd w:id="376"/>
      <w:bookmarkEnd w:id="377"/>
      <w:bookmarkEnd w:id="378"/>
      <w:bookmarkEnd w:id="379"/>
      <w:bookmarkEnd w:id="380"/>
      <w:bookmarkEnd w:id="381"/>
    </w:p>
    <w:p w14:paraId="4EBE551B">
      <w:pPr>
        <w:numPr>
          <w:ilvl w:val="0"/>
          <w:numId w:val="33"/>
        </w:numPr>
        <w:spacing w:line="312" w:lineRule="auto"/>
        <w:rPr>
          <w:color w:val="auto"/>
        </w:rPr>
      </w:pPr>
      <w:r>
        <w:rPr>
          <w:rFonts w:hint="eastAsia"/>
          <w:color w:val="auto"/>
        </w:rPr>
        <w:t>模块单元出厂前，外围护系统、内装饰系统、家具、部品、水电管线和接口器件等应有相应保护措施。</w:t>
      </w:r>
    </w:p>
    <w:p w14:paraId="0F303055">
      <w:pPr>
        <w:pStyle w:val="33"/>
        <w:rPr>
          <w:rFonts w:ascii="楷体" w:hAnsi="楷体" w:cs="楷体"/>
          <w:color w:val="auto"/>
          <w:szCs w:val="21"/>
        </w:rPr>
      </w:pPr>
      <w:r>
        <w:rPr>
          <w:rFonts w:hint="eastAsia" w:ascii="楷体" w:hAnsi="楷体" w:cs="楷体"/>
          <w:color w:val="auto"/>
          <w:szCs w:val="21"/>
        </w:rPr>
        <w:t>【条文说明】模块单元在运输前应采取防水防潮防污的措施，应对预留管线的孔洞进行临时封堵；应及时完成接缝等位置的防水处理；模块单元顶部、门窗、洞口处宜设置防雨布。</w:t>
      </w:r>
    </w:p>
    <w:p w14:paraId="552105AF">
      <w:pPr>
        <w:numPr>
          <w:ilvl w:val="0"/>
          <w:numId w:val="33"/>
        </w:numPr>
        <w:spacing w:line="312" w:lineRule="auto"/>
        <w:rPr>
          <w:color w:val="auto"/>
        </w:rPr>
      </w:pPr>
      <w:r>
        <w:rPr>
          <w:rFonts w:hint="eastAsia"/>
          <w:color w:val="auto"/>
        </w:rPr>
        <w:t>模块单元吊运应符合下列规定：</w:t>
      </w:r>
    </w:p>
    <w:p w14:paraId="488292BA">
      <w:pPr>
        <w:spacing w:line="312" w:lineRule="auto"/>
        <w:ind w:firstLine="422" w:firstLineChars="200"/>
        <w:rPr>
          <w:color w:val="auto"/>
        </w:rPr>
      </w:pPr>
      <w:r>
        <w:rPr>
          <w:b/>
          <w:color w:val="auto"/>
        </w:rPr>
        <w:t xml:space="preserve">1  </w:t>
      </w:r>
      <w:r>
        <w:rPr>
          <w:rFonts w:hint="eastAsia"/>
          <w:color w:val="auto"/>
        </w:rPr>
        <w:t>吊具和起重设备应根据模块单元的形状、尺寸、重量和作业半径等要求确定，并应符合国家现行标准及产品应用技术手册的规定；</w:t>
      </w:r>
    </w:p>
    <w:p w14:paraId="6B04EF90">
      <w:pPr>
        <w:spacing w:line="312" w:lineRule="auto"/>
        <w:ind w:firstLine="422" w:firstLineChars="200"/>
        <w:rPr>
          <w:color w:val="auto"/>
        </w:rPr>
      </w:pPr>
      <w:r>
        <w:rPr>
          <w:b/>
          <w:color w:val="auto"/>
        </w:rPr>
        <w:t xml:space="preserve">2  </w:t>
      </w:r>
      <w:r>
        <w:rPr>
          <w:rFonts w:hint="eastAsia" w:ascii="宋体" w:hAnsi="宋体"/>
          <w:color w:val="auto"/>
        </w:rPr>
        <w:t>应采用符合承载力的平衡吊架。吊架与模块单元之间的水平可用手拉葫芦或长短吊链等方式控制；</w:t>
      </w:r>
    </w:p>
    <w:p w14:paraId="5A0B965D">
      <w:pPr>
        <w:spacing w:line="312" w:lineRule="auto"/>
        <w:ind w:firstLine="422" w:firstLineChars="200"/>
        <w:rPr>
          <w:color w:val="auto"/>
        </w:rPr>
      </w:pPr>
      <w:r>
        <w:rPr>
          <w:b/>
          <w:color w:val="auto"/>
        </w:rPr>
        <w:t xml:space="preserve">3  </w:t>
      </w:r>
      <w:r>
        <w:rPr>
          <w:rFonts w:hint="eastAsia"/>
          <w:color w:val="auto"/>
        </w:rPr>
        <w:t>吊点数量、位置应经计算确定，应保证吊具连接可靠，应保证起重设备的主钩位置、吊具及构件重心在竖直方向上重合；</w:t>
      </w:r>
    </w:p>
    <w:p w14:paraId="3CAD71A2">
      <w:pPr>
        <w:spacing w:line="312" w:lineRule="auto"/>
        <w:ind w:firstLine="422" w:firstLineChars="200"/>
        <w:rPr>
          <w:color w:val="auto"/>
        </w:rPr>
      </w:pPr>
      <w:r>
        <w:rPr>
          <w:b/>
          <w:color w:val="auto"/>
        </w:rPr>
        <w:t xml:space="preserve">4  </w:t>
      </w:r>
      <w:r>
        <w:rPr>
          <w:rFonts w:hint="eastAsia"/>
          <w:color w:val="auto"/>
        </w:rPr>
        <w:t>吊索水平夹角不宜小于</w:t>
      </w:r>
      <w:r>
        <w:rPr>
          <w:color w:val="auto"/>
        </w:rPr>
        <w:t>60°</w:t>
      </w:r>
      <w:r>
        <w:rPr>
          <w:rFonts w:hint="eastAsia"/>
          <w:color w:val="auto"/>
        </w:rPr>
        <w:t>，不应小于</w:t>
      </w:r>
      <w:r>
        <w:rPr>
          <w:color w:val="auto"/>
        </w:rPr>
        <w:t>45°</w:t>
      </w:r>
      <w:r>
        <w:rPr>
          <w:rFonts w:hint="eastAsia"/>
          <w:color w:val="auto"/>
        </w:rPr>
        <w:t>；</w:t>
      </w:r>
    </w:p>
    <w:p w14:paraId="72CBEF7A">
      <w:pPr>
        <w:spacing w:line="312" w:lineRule="auto"/>
        <w:ind w:firstLine="422" w:firstLineChars="200"/>
        <w:rPr>
          <w:color w:val="auto"/>
        </w:rPr>
      </w:pPr>
      <w:r>
        <w:rPr>
          <w:b/>
          <w:color w:val="auto"/>
        </w:rPr>
        <w:t xml:space="preserve">5  </w:t>
      </w:r>
      <w:r>
        <w:rPr>
          <w:rFonts w:hint="eastAsia"/>
          <w:color w:val="auto"/>
        </w:rPr>
        <w:t>应采用慢起、稳升、缓放的操作方式，吊运过程，应保持稳定，不得偏斜、摇摆和扭转，严禁吊装构件长时间悬停在空中；</w:t>
      </w:r>
    </w:p>
    <w:p w14:paraId="25AA9EBA">
      <w:pPr>
        <w:spacing w:line="312" w:lineRule="auto"/>
        <w:ind w:firstLine="422" w:firstLineChars="200"/>
        <w:rPr>
          <w:color w:val="auto"/>
        </w:rPr>
      </w:pPr>
      <w:r>
        <w:rPr>
          <w:b/>
          <w:color w:val="auto"/>
        </w:rPr>
        <w:t xml:space="preserve">6  </w:t>
      </w:r>
      <w:r>
        <w:rPr>
          <w:rFonts w:hint="eastAsia"/>
          <w:color w:val="auto"/>
        </w:rPr>
        <w:t>应采取避免混凝土模块单元变形和损伤的临时加固措施。</w:t>
      </w:r>
    </w:p>
    <w:p w14:paraId="03CE59E2">
      <w:pPr>
        <w:numPr>
          <w:ilvl w:val="0"/>
          <w:numId w:val="33"/>
        </w:numPr>
        <w:spacing w:line="312" w:lineRule="auto"/>
        <w:rPr>
          <w:color w:val="auto"/>
        </w:rPr>
      </w:pPr>
      <w:r>
        <w:rPr>
          <w:rFonts w:hint="eastAsia"/>
          <w:color w:val="auto"/>
        </w:rPr>
        <w:t>模块单元在运输时应符合下列规定：</w:t>
      </w:r>
    </w:p>
    <w:p w14:paraId="4148B5C4">
      <w:pPr>
        <w:spacing w:line="312" w:lineRule="auto"/>
        <w:ind w:firstLine="422" w:firstLineChars="200"/>
        <w:rPr>
          <w:color w:val="auto"/>
        </w:rPr>
      </w:pPr>
      <w:r>
        <w:rPr>
          <w:b/>
          <w:color w:val="auto"/>
        </w:rPr>
        <w:t xml:space="preserve">1  </w:t>
      </w:r>
      <w:r>
        <w:rPr>
          <w:rFonts w:hint="eastAsia"/>
          <w:color w:val="auto"/>
        </w:rPr>
        <w:t>应满足道路运输的相关要求；</w:t>
      </w:r>
    </w:p>
    <w:p w14:paraId="640A5022">
      <w:pPr>
        <w:spacing w:line="312" w:lineRule="auto"/>
        <w:ind w:firstLine="422" w:firstLineChars="200"/>
        <w:rPr>
          <w:color w:val="auto"/>
        </w:rPr>
      </w:pPr>
      <w:r>
        <w:rPr>
          <w:b/>
          <w:color w:val="auto"/>
        </w:rPr>
        <w:t xml:space="preserve">2  </w:t>
      </w:r>
      <w:r>
        <w:rPr>
          <w:rFonts w:hint="eastAsia"/>
          <w:color w:val="auto"/>
        </w:rPr>
        <w:t>应采取相应加固措施，防止模块单元移动、倾倒或变形；</w:t>
      </w:r>
    </w:p>
    <w:p w14:paraId="52A3098E">
      <w:pPr>
        <w:spacing w:line="312" w:lineRule="auto"/>
        <w:ind w:firstLine="422" w:firstLineChars="200"/>
        <w:rPr>
          <w:color w:val="auto"/>
        </w:rPr>
      </w:pPr>
      <w:r>
        <w:rPr>
          <w:b/>
          <w:color w:val="auto"/>
        </w:rPr>
        <w:t xml:space="preserve">3  </w:t>
      </w:r>
      <w:r>
        <w:rPr>
          <w:rFonts w:hint="eastAsia"/>
          <w:color w:val="auto"/>
        </w:rPr>
        <w:t>模块单元的底板底部应设置垫板或者横撑，减小底板内力；模块单元</w:t>
      </w:r>
      <w:r>
        <w:rPr>
          <w:rFonts w:hint="eastAsia" w:ascii="宋体" w:hAnsi="宋体"/>
          <w:color w:val="auto"/>
        </w:rPr>
        <w:t>顶板可参照脱模状况下的内力验算承载力，不满足时应设置同等加固措施；</w:t>
      </w:r>
    </w:p>
    <w:p w14:paraId="55BC5C10">
      <w:pPr>
        <w:spacing w:line="312" w:lineRule="auto"/>
        <w:ind w:firstLine="422" w:firstLineChars="200"/>
        <w:rPr>
          <w:color w:val="auto"/>
        </w:rPr>
      </w:pPr>
      <w:r>
        <w:rPr>
          <w:b/>
          <w:color w:val="auto"/>
        </w:rPr>
        <w:t xml:space="preserve">4  </w:t>
      </w:r>
      <w:r>
        <w:rPr>
          <w:rFonts w:hint="eastAsia"/>
          <w:color w:val="auto"/>
        </w:rPr>
        <w:t>门窗洞口处宜进行支撑加固，模块单元边角部宜设置保护衬垫；</w:t>
      </w:r>
    </w:p>
    <w:p w14:paraId="46B826BA">
      <w:pPr>
        <w:spacing w:line="312" w:lineRule="auto"/>
        <w:ind w:firstLine="422" w:firstLineChars="200"/>
        <w:rPr>
          <w:color w:val="auto"/>
        </w:rPr>
      </w:pPr>
      <w:r>
        <w:rPr>
          <w:b/>
          <w:color w:val="auto"/>
        </w:rPr>
        <w:t xml:space="preserve">5  </w:t>
      </w:r>
      <w:r>
        <w:rPr>
          <w:rFonts w:hint="eastAsia"/>
          <w:color w:val="auto"/>
        </w:rPr>
        <w:t>模块单元开口位置应设置封盖物，防止雨水进入模块单元内部；</w:t>
      </w:r>
    </w:p>
    <w:p w14:paraId="19BE4CB5">
      <w:pPr>
        <w:spacing w:line="312" w:lineRule="auto"/>
        <w:ind w:firstLine="422" w:firstLineChars="200"/>
        <w:rPr>
          <w:color w:val="auto"/>
        </w:rPr>
      </w:pPr>
      <w:r>
        <w:rPr>
          <w:b/>
          <w:color w:val="auto"/>
        </w:rPr>
        <w:t xml:space="preserve">6  </w:t>
      </w:r>
      <w:r>
        <w:rPr>
          <w:rFonts w:hint="eastAsia"/>
          <w:color w:val="auto"/>
        </w:rPr>
        <w:t>对于有降板的模块单元或其他不能平稳放置的模块单元，应设计专门的运输架，并进行强度、稳定性和刚度验算；</w:t>
      </w:r>
    </w:p>
    <w:p w14:paraId="5DA4642B">
      <w:pPr>
        <w:spacing w:line="312" w:lineRule="auto"/>
        <w:ind w:firstLine="422" w:firstLineChars="200"/>
        <w:rPr>
          <w:color w:val="auto"/>
        </w:rPr>
      </w:pPr>
      <w:r>
        <w:rPr>
          <w:rFonts w:hint="eastAsia"/>
          <w:b/>
          <w:bCs/>
          <w:color w:val="auto"/>
        </w:rPr>
        <w:t>7</w:t>
      </w:r>
      <w:r>
        <w:rPr>
          <w:rFonts w:hint="eastAsia"/>
          <w:color w:val="auto"/>
        </w:rPr>
        <w:t xml:space="preserve">  不同模块单元的运输先后顺序应以满足现场施工安装的方便组织进场。</w:t>
      </w:r>
    </w:p>
    <w:p w14:paraId="15AC4DAD">
      <w:pPr>
        <w:pStyle w:val="33"/>
        <w:rPr>
          <w:color w:val="auto"/>
        </w:rPr>
      </w:pPr>
      <w:r>
        <w:rPr>
          <w:rFonts w:hint="eastAsia" w:ascii="楷体" w:hAnsi="楷体" w:cs="楷体"/>
          <w:color w:val="auto"/>
          <w:szCs w:val="21"/>
        </w:rPr>
        <w:t>【条文说明】</w:t>
      </w:r>
      <w:r>
        <w:rPr>
          <w:rFonts w:hint="eastAsia"/>
          <w:color w:val="auto"/>
        </w:rPr>
        <w:t>模块单元在运输时应采取防止移动和倾倒的措施，常用的措施有模块单元底部设置防止模块单元移动的支挡结构，模块单元的顶部设置绑带等措施。</w:t>
      </w:r>
    </w:p>
    <w:p w14:paraId="2435807F">
      <w:pPr>
        <w:numPr>
          <w:ilvl w:val="0"/>
          <w:numId w:val="33"/>
        </w:numPr>
        <w:spacing w:line="312" w:lineRule="auto"/>
        <w:rPr>
          <w:color w:val="auto"/>
        </w:rPr>
      </w:pPr>
      <w:r>
        <w:rPr>
          <w:rFonts w:hint="eastAsia"/>
          <w:color w:val="auto"/>
        </w:rPr>
        <w:t>模块单元存放时应符合下列规定：</w:t>
      </w:r>
    </w:p>
    <w:p w14:paraId="2A6C1256">
      <w:pPr>
        <w:spacing w:line="312" w:lineRule="auto"/>
        <w:ind w:firstLine="422" w:firstLineChars="200"/>
        <w:rPr>
          <w:color w:val="auto"/>
        </w:rPr>
      </w:pPr>
      <w:r>
        <w:rPr>
          <w:b/>
          <w:color w:val="auto"/>
        </w:rPr>
        <w:t xml:space="preserve">1  </w:t>
      </w:r>
      <w:r>
        <w:rPr>
          <w:rFonts w:hint="eastAsia"/>
          <w:color w:val="auto"/>
        </w:rPr>
        <w:t>存放场地应平整、坚实，并应有排水措施；</w:t>
      </w:r>
    </w:p>
    <w:p w14:paraId="0798AB7E">
      <w:pPr>
        <w:spacing w:line="312" w:lineRule="auto"/>
        <w:ind w:firstLine="422" w:firstLineChars="200"/>
        <w:rPr>
          <w:color w:val="auto"/>
        </w:rPr>
      </w:pPr>
      <w:r>
        <w:rPr>
          <w:rFonts w:hint="eastAsia"/>
          <w:b/>
          <w:color w:val="auto"/>
        </w:rPr>
        <w:t>2</w:t>
      </w:r>
      <w:r>
        <w:rPr>
          <w:b/>
          <w:color w:val="auto"/>
        </w:rPr>
        <w:t xml:space="preserve">  </w:t>
      </w:r>
      <w:r>
        <w:rPr>
          <w:rFonts w:hint="eastAsia"/>
          <w:color w:val="auto"/>
        </w:rPr>
        <w:t>模块单元应按照一定产品品种、规格型号、检验状态分类存放，产品标识应准确、清晰、明显；</w:t>
      </w:r>
    </w:p>
    <w:p w14:paraId="7263B7E6">
      <w:pPr>
        <w:numPr>
          <w:ilvl w:val="0"/>
          <w:numId w:val="33"/>
        </w:numPr>
        <w:spacing w:line="312" w:lineRule="auto"/>
        <w:rPr>
          <w:color w:val="auto"/>
        </w:rPr>
      </w:pPr>
      <w:r>
        <w:rPr>
          <w:rFonts w:hint="eastAsia"/>
          <w:color w:val="auto"/>
        </w:rPr>
        <w:t>模块单元成品保护应符合下列规定：</w:t>
      </w:r>
    </w:p>
    <w:p w14:paraId="515A05CD">
      <w:pPr>
        <w:spacing w:line="312" w:lineRule="auto"/>
        <w:ind w:firstLine="422" w:firstLineChars="200"/>
        <w:rPr>
          <w:color w:val="auto"/>
        </w:rPr>
      </w:pPr>
      <w:r>
        <w:rPr>
          <w:b/>
          <w:color w:val="auto"/>
        </w:rPr>
        <w:t xml:space="preserve">1  </w:t>
      </w:r>
      <w:r>
        <w:rPr>
          <w:rFonts w:hint="eastAsia"/>
          <w:color w:val="auto"/>
        </w:rPr>
        <w:t>模块单元成品外露保温板应采取防止开裂措施，外露钢筋应采取防弯折、防碰伤措施，外露预埋件和连结件等外露金属件应按不同环境类别进行防护或防腐、防锈；</w:t>
      </w:r>
    </w:p>
    <w:p w14:paraId="5C3A0B2F">
      <w:pPr>
        <w:spacing w:line="312" w:lineRule="auto"/>
        <w:ind w:firstLine="422" w:firstLineChars="200"/>
        <w:rPr>
          <w:color w:val="auto"/>
        </w:rPr>
      </w:pPr>
      <w:r>
        <w:rPr>
          <w:b/>
          <w:color w:val="auto"/>
        </w:rPr>
        <w:t xml:space="preserve">2  </w:t>
      </w:r>
      <w:r>
        <w:rPr>
          <w:rFonts w:hint="eastAsia"/>
          <w:color w:val="auto"/>
        </w:rPr>
        <w:t>吊装前预埋螺栓孔宜保持清洁；</w:t>
      </w:r>
    </w:p>
    <w:p w14:paraId="007DBDE9">
      <w:pPr>
        <w:spacing w:line="312" w:lineRule="auto"/>
        <w:ind w:firstLine="422" w:firstLineChars="200"/>
        <w:rPr>
          <w:color w:val="auto"/>
        </w:rPr>
      </w:pPr>
      <w:r>
        <w:rPr>
          <w:b/>
          <w:color w:val="auto"/>
        </w:rPr>
        <w:t xml:space="preserve">3  </w:t>
      </w:r>
      <w:r>
        <w:rPr>
          <w:rFonts w:hint="eastAsia"/>
          <w:color w:val="auto"/>
        </w:rPr>
        <w:t>预埋孔洞应临时封堵，防止堵塞；</w:t>
      </w:r>
    </w:p>
    <w:p w14:paraId="0214676F">
      <w:pPr>
        <w:spacing w:line="312" w:lineRule="auto"/>
        <w:ind w:firstLine="422" w:firstLineChars="200"/>
        <w:rPr>
          <w:color w:val="auto"/>
        </w:rPr>
      </w:pPr>
      <w:r>
        <w:rPr>
          <w:b/>
          <w:color w:val="auto"/>
        </w:rPr>
        <w:t xml:space="preserve">4  </w:t>
      </w:r>
      <w:r>
        <w:rPr>
          <w:rFonts w:hint="eastAsia"/>
          <w:color w:val="auto"/>
        </w:rPr>
        <w:t>模块单元应在外侧设置防水罩等防水措施，防水罩宜设有可开启入口，防水措施应满足绿色可回收、不影响装修和吊运、包装便于装卸等要求；</w:t>
      </w:r>
    </w:p>
    <w:p w14:paraId="3570FBF8">
      <w:pPr>
        <w:spacing w:line="312" w:lineRule="auto"/>
        <w:ind w:firstLine="422" w:firstLineChars="200"/>
        <w:rPr>
          <w:color w:val="auto"/>
        </w:rPr>
      </w:pPr>
      <w:r>
        <w:rPr>
          <w:b/>
          <w:color w:val="auto"/>
        </w:rPr>
        <w:t xml:space="preserve">5  </w:t>
      </w:r>
      <w:r>
        <w:rPr>
          <w:rFonts w:hint="eastAsia"/>
          <w:color w:val="auto"/>
        </w:rPr>
        <w:t>玻璃、瓷砖、木柜等装修宜用胶纸、泡沫等措施进行保护。</w:t>
      </w:r>
    </w:p>
    <w:p w14:paraId="100BCE52">
      <w:pPr>
        <w:rPr>
          <w:color w:val="auto"/>
        </w:rPr>
      </w:pPr>
    </w:p>
    <w:p w14:paraId="1FC5C583">
      <w:pPr>
        <w:rPr>
          <w:color w:val="auto"/>
        </w:rPr>
        <w:sectPr>
          <w:footerReference r:id="rId5" w:type="default"/>
          <w:pgSz w:w="11906" w:h="16838"/>
          <w:pgMar w:top="1440" w:right="1800" w:bottom="1440" w:left="1800" w:header="851" w:footer="992" w:gutter="0"/>
          <w:cols w:space="425" w:num="1"/>
          <w:docGrid w:type="lines" w:linePitch="312" w:charSpace="0"/>
        </w:sectPr>
      </w:pPr>
    </w:p>
    <w:p w14:paraId="2467A701">
      <w:pPr>
        <w:pStyle w:val="2"/>
        <w:rPr>
          <w:bCs/>
          <w:color w:val="auto"/>
        </w:rPr>
      </w:pPr>
      <w:bookmarkStart w:id="382" w:name="_Toc31513"/>
      <w:bookmarkStart w:id="383" w:name="_Toc5808"/>
      <w:bookmarkStart w:id="384" w:name="_Toc9239"/>
      <w:bookmarkStart w:id="385" w:name="_Toc8382"/>
      <w:bookmarkStart w:id="386" w:name="_Toc6260"/>
      <w:bookmarkStart w:id="387" w:name="_Toc19385"/>
      <w:bookmarkStart w:id="388" w:name="_Toc22306"/>
      <w:bookmarkStart w:id="389" w:name="_Toc16593"/>
      <w:bookmarkStart w:id="390" w:name="_Toc27352"/>
      <w:r>
        <w:rPr>
          <w:b/>
          <w:bCs/>
          <w:color w:val="auto"/>
        </w:rPr>
        <w:t>10</w:t>
      </w:r>
      <w:r>
        <w:rPr>
          <w:color w:val="auto"/>
        </w:rPr>
        <w:t xml:space="preserve"> </w:t>
      </w:r>
      <w:r>
        <w:rPr>
          <w:rFonts w:hint="eastAsia"/>
          <w:color w:val="auto"/>
        </w:rPr>
        <w:t xml:space="preserve"> </w:t>
      </w:r>
      <w:r>
        <w:rPr>
          <w:rFonts w:hint="eastAsia"/>
          <w:bCs/>
          <w:color w:val="auto"/>
        </w:rPr>
        <w:t>施工安装</w:t>
      </w:r>
      <w:bookmarkEnd w:id="382"/>
      <w:bookmarkEnd w:id="383"/>
      <w:bookmarkEnd w:id="384"/>
      <w:bookmarkEnd w:id="385"/>
      <w:bookmarkEnd w:id="386"/>
      <w:bookmarkEnd w:id="387"/>
      <w:bookmarkEnd w:id="388"/>
      <w:bookmarkEnd w:id="389"/>
      <w:bookmarkEnd w:id="390"/>
    </w:p>
    <w:p w14:paraId="4CE13C4A">
      <w:pPr>
        <w:pStyle w:val="3"/>
        <w:rPr>
          <w:color w:val="auto"/>
        </w:rPr>
      </w:pPr>
      <w:bookmarkStart w:id="391" w:name="_Toc24241"/>
      <w:bookmarkStart w:id="392" w:name="_Toc29731"/>
      <w:bookmarkStart w:id="393" w:name="_Toc20946"/>
      <w:bookmarkStart w:id="394" w:name="_Toc11471"/>
      <w:bookmarkStart w:id="395" w:name="_Toc11733"/>
      <w:bookmarkStart w:id="396" w:name="_Toc21177"/>
      <w:bookmarkStart w:id="397" w:name="_Toc14547"/>
      <w:bookmarkStart w:id="398" w:name="_Toc9859"/>
      <w:bookmarkStart w:id="399" w:name="_Toc3391"/>
      <w:r>
        <w:rPr>
          <w:b/>
          <w:bCs w:val="0"/>
          <w:color w:val="auto"/>
        </w:rPr>
        <w:t>10</w:t>
      </w:r>
      <w:r>
        <w:rPr>
          <w:rFonts w:hint="eastAsia"/>
          <w:b/>
          <w:bCs w:val="0"/>
          <w:color w:val="auto"/>
        </w:rPr>
        <w:t>.</w:t>
      </w:r>
      <w:r>
        <w:rPr>
          <w:b/>
          <w:bCs w:val="0"/>
          <w:color w:val="auto"/>
        </w:rPr>
        <w:t>1</w:t>
      </w:r>
      <w:r>
        <w:rPr>
          <w:rFonts w:hint="eastAsia"/>
          <w:color w:val="auto"/>
        </w:rPr>
        <w:t xml:space="preserve">  一般规定</w:t>
      </w:r>
      <w:bookmarkEnd w:id="391"/>
      <w:bookmarkEnd w:id="392"/>
      <w:bookmarkEnd w:id="393"/>
      <w:bookmarkEnd w:id="394"/>
      <w:bookmarkEnd w:id="395"/>
      <w:bookmarkEnd w:id="396"/>
      <w:bookmarkEnd w:id="397"/>
      <w:bookmarkEnd w:id="398"/>
      <w:bookmarkEnd w:id="399"/>
    </w:p>
    <w:p w14:paraId="63EEBAA8">
      <w:pPr>
        <w:numPr>
          <w:ilvl w:val="0"/>
          <w:numId w:val="34"/>
        </w:numPr>
        <w:spacing w:line="312" w:lineRule="auto"/>
        <w:rPr>
          <w:color w:val="auto"/>
        </w:rPr>
      </w:pPr>
      <w:r>
        <w:rPr>
          <w:rFonts w:hint="eastAsia"/>
          <w:color w:val="auto"/>
        </w:rPr>
        <w:t>模块化建筑应结合设计、生产、装配一体化的原则整体策划，协同建筑、结构、机电、装饰装修等专业要求，制定施工组织设计，并针对施工要点和难点制定专项施工方案。</w:t>
      </w:r>
    </w:p>
    <w:p w14:paraId="3AC55EE0">
      <w:pPr>
        <w:pStyle w:val="33"/>
        <w:rPr>
          <w:color w:val="auto"/>
          <w:szCs w:val="21"/>
        </w:rPr>
      </w:pPr>
      <w:r>
        <w:rPr>
          <w:color w:val="auto"/>
          <w:szCs w:val="21"/>
        </w:rPr>
        <w:t>【条文说明】模块化建筑的安装施工所涉及的工序复杂、工艺工法新颖，一般按施工准备→模块单元安装→模块单元连接，包括现场现浇部分钢筋安装及模板安装、模块单元连接钢筋安装、拼缝封堵、节点灌浆、混凝土浇筑等→内装机电系统安装、外围护系统安装；为确保安装施工安全有序地开展，应结合模块化结构施工的特点和工艺流程的特殊要求，制定施工组织设计和专项施工方案，并组织论证。专项施工方案包括模块单元的运输、存放、吊装、安装、临时支撑与连接等内容。模块单元的临时支撑应根据模块单元的深化设计、荷载、实际工况进行验算后确定。荷载验算时应充分考虑风荷载、施工荷载、混凝土荷载等。</w:t>
      </w:r>
    </w:p>
    <w:p w14:paraId="1FD42AE8">
      <w:pPr>
        <w:numPr>
          <w:ilvl w:val="0"/>
          <w:numId w:val="34"/>
        </w:numPr>
        <w:spacing w:line="312" w:lineRule="auto"/>
        <w:rPr>
          <w:color w:val="auto"/>
        </w:rPr>
      </w:pPr>
      <w:r>
        <w:rPr>
          <w:rFonts w:hint="eastAsia"/>
          <w:color w:val="auto"/>
        </w:rPr>
        <w:t>模块单元施工安装前，宜选择有代表性的模块单元进行样板试安装。</w:t>
      </w:r>
    </w:p>
    <w:p w14:paraId="27D78514">
      <w:pPr>
        <w:pStyle w:val="33"/>
        <w:rPr>
          <w:color w:val="auto"/>
        </w:rPr>
      </w:pPr>
      <w:r>
        <w:rPr>
          <w:rFonts w:hint="eastAsia" w:ascii="楷体" w:hAnsi="楷体" w:cs="楷体"/>
          <w:color w:val="auto"/>
          <w:szCs w:val="21"/>
        </w:rPr>
        <w:t>【条文说明】</w:t>
      </w:r>
      <w:r>
        <w:rPr>
          <w:rFonts w:hint="eastAsia"/>
          <w:color w:val="auto"/>
        </w:rPr>
        <w:t>为避免由于设计或施工经验缺乏影响模块单元安装效率和质量，特别提出应通过试安装进行验证性试验。特别是对于没有经验的施工单位或尚无现实案例的新型装配式结构体系，试安装不仅对于验证和调整施工方案具有指导意义，还具有培训专业人员、检验设备性能、规避安全风险等作用。根据试安装结果，应及时调整完善施工方案和施工工艺，经检验符合设计和本标准相关要求后，方可进行正式施工安装工作，进行样板试安装的模块单元后续宜作为实体模块单元使用。</w:t>
      </w:r>
    </w:p>
    <w:p w14:paraId="5C5E5DD4">
      <w:pPr>
        <w:numPr>
          <w:ilvl w:val="0"/>
          <w:numId w:val="34"/>
        </w:numPr>
        <w:spacing w:line="312" w:lineRule="auto"/>
        <w:rPr>
          <w:color w:val="auto"/>
        </w:rPr>
      </w:pPr>
      <w:r>
        <w:rPr>
          <w:rFonts w:hint="eastAsia"/>
          <w:color w:val="auto"/>
        </w:rPr>
        <w:t>施工安装作业人员应具备岗位需要的基础知识和技能，施工单位应对管理人员、施工作业人员进行质量安全技术交底。</w:t>
      </w:r>
    </w:p>
    <w:p w14:paraId="706BA988">
      <w:pPr>
        <w:numPr>
          <w:ilvl w:val="0"/>
          <w:numId w:val="34"/>
        </w:numPr>
        <w:spacing w:line="312" w:lineRule="auto"/>
        <w:rPr>
          <w:color w:val="auto"/>
        </w:rPr>
      </w:pPr>
      <w:r>
        <w:rPr>
          <w:rFonts w:hint="eastAsia"/>
          <w:color w:val="auto"/>
        </w:rPr>
        <w:t>施工安装过程中采取的安全措施应符合现行行业标准《建筑机械使用安全技术规程》JGJ 33、《施工现场临时用电安全技术规范》JGJ 46、《建筑施工高处作业安全技术规范》JGJ 80和《建筑施工起重吊装工程安全技术规范》JGJ 276等的规定。</w:t>
      </w:r>
    </w:p>
    <w:p w14:paraId="0F1CCCBB">
      <w:pPr>
        <w:pStyle w:val="33"/>
        <w:rPr>
          <w:color w:val="auto"/>
        </w:rPr>
      </w:pPr>
      <w:r>
        <w:rPr>
          <w:rFonts w:hint="eastAsia" w:ascii="楷体" w:hAnsi="楷体" w:cs="楷体"/>
          <w:color w:val="auto"/>
          <w:szCs w:val="21"/>
        </w:rPr>
        <w:t>【条文说明】</w:t>
      </w:r>
      <w:r>
        <w:rPr>
          <w:rFonts w:hint="eastAsia"/>
          <w:color w:val="auto"/>
        </w:rPr>
        <w:t>为防止在模块单元吊装过程中发生模块单元损伤、破坏、坠落、吊车倾覆等危险性事件，应重视安装施工的安全要求，严格遵守施工安全的有关规定。</w:t>
      </w:r>
    </w:p>
    <w:p w14:paraId="6F73BEBF">
      <w:pPr>
        <w:numPr>
          <w:ilvl w:val="0"/>
          <w:numId w:val="34"/>
        </w:numPr>
        <w:spacing w:line="312" w:lineRule="auto"/>
        <w:rPr>
          <w:color w:val="auto"/>
        </w:rPr>
      </w:pPr>
      <w:r>
        <w:rPr>
          <w:rFonts w:hint="eastAsia"/>
          <w:color w:val="auto"/>
        </w:rPr>
        <w:t>模块化建筑中非模块单元部分的施工应按现行国家、行业和我省相关标准的规定执行。</w:t>
      </w:r>
    </w:p>
    <w:p w14:paraId="4E3BEBF7">
      <w:pPr>
        <w:pStyle w:val="33"/>
        <w:ind w:firstLineChars="0"/>
        <w:rPr>
          <w:rFonts w:ascii="楷体" w:hAnsi="楷体" w:cs="楷体"/>
          <w:color w:val="auto"/>
          <w:szCs w:val="21"/>
        </w:rPr>
      </w:pPr>
      <w:r>
        <w:rPr>
          <w:rFonts w:ascii="楷体" w:hAnsi="楷体" w:cs="楷体"/>
          <w:color w:val="auto"/>
          <w:szCs w:val="21"/>
        </w:rPr>
        <w:t>【条文说明】</w:t>
      </w:r>
      <w:r>
        <w:rPr>
          <w:rFonts w:hint="eastAsia" w:ascii="楷体" w:hAnsi="楷体" w:cs="楷体"/>
          <w:color w:val="auto"/>
          <w:szCs w:val="21"/>
        </w:rPr>
        <w:t>模块化建筑中非模块单元部分，例如走廊、楼梯等一般采用装配式</w:t>
      </w:r>
      <w:r>
        <w:rPr>
          <w:rFonts w:hint="eastAsia"/>
          <w:color w:val="auto"/>
          <w:szCs w:val="21"/>
        </w:rPr>
        <w:t>预制构件或现浇等形式，其施工要求应符合</w:t>
      </w:r>
      <w:r>
        <w:rPr>
          <w:rFonts w:hint="eastAsia"/>
          <w:color w:val="auto"/>
        </w:rPr>
        <w:t>现行国家、行业和我省相关标准的规定。</w:t>
      </w:r>
    </w:p>
    <w:p w14:paraId="42649794">
      <w:pPr>
        <w:pStyle w:val="3"/>
        <w:rPr>
          <w:color w:val="auto"/>
        </w:rPr>
      </w:pPr>
      <w:bookmarkStart w:id="400" w:name="_Toc15926"/>
      <w:bookmarkStart w:id="401" w:name="_Toc26988"/>
      <w:bookmarkStart w:id="402" w:name="_Toc11111"/>
      <w:bookmarkStart w:id="403" w:name="_Toc29656"/>
      <w:bookmarkStart w:id="404" w:name="_Toc13822"/>
      <w:bookmarkStart w:id="405" w:name="_Toc20560"/>
      <w:bookmarkStart w:id="406" w:name="_Toc3944"/>
      <w:bookmarkStart w:id="407" w:name="_Toc19697"/>
      <w:bookmarkStart w:id="408" w:name="_Toc5686"/>
      <w:r>
        <w:rPr>
          <w:b/>
          <w:bCs w:val="0"/>
          <w:color w:val="auto"/>
        </w:rPr>
        <w:t>10</w:t>
      </w:r>
      <w:r>
        <w:rPr>
          <w:rFonts w:hint="eastAsia"/>
          <w:b/>
          <w:bCs w:val="0"/>
          <w:color w:val="auto"/>
        </w:rPr>
        <w:t>.</w:t>
      </w:r>
      <w:r>
        <w:rPr>
          <w:b/>
          <w:bCs w:val="0"/>
          <w:color w:val="auto"/>
        </w:rPr>
        <w:t>2</w:t>
      </w:r>
      <w:r>
        <w:rPr>
          <w:rFonts w:hint="eastAsia"/>
          <w:color w:val="auto"/>
        </w:rPr>
        <w:t xml:space="preserve">  施工准备</w:t>
      </w:r>
      <w:bookmarkEnd w:id="400"/>
      <w:bookmarkEnd w:id="401"/>
      <w:bookmarkEnd w:id="402"/>
      <w:bookmarkEnd w:id="403"/>
      <w:bookmarkEnd w:id="404"/>
      <w:bookmarkEnd w:id="405"/>
      <w:bookmarkEnd w:id="406"/>
      <w:bookmarkEnd w:id="407"/>
      <w:bookmarkEnd w:id="408"/>
    </w:p>
    <w:p w14:paraId="78EFBADC">
      <w:pPr>
        <w:numPr>
          <w:ilvl w:val="0"/>
          <w:numId w:val="35"/>
        </w:numPr>
        <w:spacing w:line="312" w:lineRule="auto"/>
        <w:rPr>
          <w:rFonts w:eastAsia="PMingLiU"/>
          <w:color w:val="auto"/>
        </w:rPr>
      </w:pPr>
      <w:r>
        <w:rPr>
          <w:rFonts w:hint="eastAsia"/>
          <w:color w:val="auto"/>
        </w:rPr>
        <w:t>施工现场应满足模块单元运输、吊装和存放的条件，并应符合下列规定：</w:t>
      </w:r>
    </w:p>
    <w:p w14:paraId="2357BC83">
      <w:pPr>
        <w:spacing w:line="312" w:lineRule="auto"/>
        <w:ind w:firstLine="422" w:firstLineChars="200"/>
        <w:rPr>
          <w:b/>
          <w:bCs/>
          <w:color w:val="auto"/>
        </w:rPr>
      </w:pPr>
      <w:r>
        <w:rPr>
          <w:b/>
          <w:bCs/>
          <w:color w:val="auto"/>
        </w:rPr>
        <w:t xml:space="preserve">1  </w:t>
      </w:r>
      <w:r>
        <w:rPr>
          <w:rFonts w:hint="eastAsia"/>
          <w:color w:val="auto"/>
        </w:rPr>
        <w:t>施工现场内部道路应按照模块单元运输车辆的要求合理设置转弯半径及道路坡度；</w:t>
      </w:r>
    </w:p>
    <w:p w14:paraId="0A5F8F4C">
      <w:pPr>
        <w:spacing w:line="312" w:lineRule="auto"/>
        <w:ind w:firstLine="420" w:firstLineChars="200"/>
        <w:rPr>
          <w:rFonts w:eastAsia="PMingLiU"/>
          <w:bCs/>
          <w:color w:val="auto"/>
        </w:rPr>
      </w:pPr>
      <w:r>
        <w:rPr>
          <w:rFonts w:eastAsia="PMingLiU"/>
          <w:b/>
          <w:bCs/>
          <w:color w:val="auto"/>
        </w:rPr>
        <w:t xml:space="preserve">2  </w:t>
      </w:r>
      <w:r>
        <w:rPr>
          <w:rFonts w:hint="eastAsia"/>
          <w:bCs/>
          <w:color w:val="auto"/>
        </w:rPr>
        <w:t>模块单元吊装工作范围内不应有障碍物；</w:t>
      </w:r>
    </w:p>
    <w:p w14:paraId="57E80471">
      <w:pPr>
        <w:spacing w:line="312" w:lineRule="auto"/>
        <w:ind w:firstLine="420" w:firstLineChars="200"/>
        <w:rPr>
          <w:color w:val="auto"/>
        </w:rPr>
      </w:pPr>
      <w:r>
        <w:rPr>
          <w:rFonts w:eastAsia="PMingLiU"/>
          <w:b/>
          <w:bCs/>
          <w:color w:val="auto"/>
        </w:rPr>
        <w:t xml:space="preserve">3  </w:t>
      </w:r>
      <w:r>
        <w:rPr>
          <w:rFonts w:hint="eastAsia"/>
          <w:color w:val="auto"/>
        </w:rPr>
        <w:t>现场存放场地应坚实平整，并应</w:t>
      </w:r>
      <w:r>
        <w:rPr>
          <w:rFonts w:hint="eastAsia"/>
          <w:bCs/>
          <w:color w:val="auto"/>
        </w:rPr>
        <w:t>采取存放保护措施和</w:t>
      </w:r>
      <w:r>
        <w:rPr>
          <w:rFonts w:hint="eastAsia"/>
          <w:color w:val="auto"/>
        </w:rPr>
        <w:t>排水措施；</w:t>
      </w:r>
    </w:p>
    <w:p w14:paraId="6E5270A5">
      <w:pPr>
        <w:spacing w:line="312" w:lineRule="auto"/>
        <w:ind w:firstLine="422" w:firstLineChars="200"/>
        <w:rPr>
          <w:color w:val="auto"/>
        </w:rPr>
      </w:pPr>
      <w:r>
        <w:rPr>
          <w:rFonts w:hint="eastAsia"/>
          <w:b/>
          <w:bCs/>
          <w:color w:val="auto"/>
        </w:rPr>
        <w:t>4</w:t>
      </w:r>
      <w:r>
        <w:rPr>
          <w:rFonts w:hint="eastAsia"/>
          <w:color w:val="auto"/>
        </w:rPr>
        <w:t xml:space="preserve">  模块单元运输及存放对结构、基坑有影响时，应计算复核，必要时采取相应措施。</w:t>
      </w:r>
    </w:p>
    <w:p w14:paraId="7C089B91">
      <w:pPr>
        <w:numPr>
          <w:ilvl w:val="0"/>
          <w:numId w:val="35"/>
        </w:numPr>
        <w:spacing w:line="312" w:lineRule="auto"/>
        <w:rPr>
          <w:color w:val="auto"/>
        </w:rPr>
      </w:pPr>
      <w:r>
        <w:rPr>
          <w:rFonts w:hint="eastAsia"/>
          <w:color w:val="auto"/>
        </w:rPr>
        <w:t>模块单元的吊装机械和吊具应符合下列规定：</w:t>
      </w:r>
    </w:p>
    <w:p w14:paraId="06B17F21">
      <w:pPr>
        <w:numPr>
          <w:ilvl w:val="255"/>
          <w:numId w:val="0"/>
        </w:numPr>
        <w:tabs>
          <w:tab w:val="left" w:pos="0"/>
        </w:tabs>
        <w:spacing w:line="312" w:lineRule="auto"/>
        <w:ind w:firstLine="422" w:firstLineChars="200"/>
        <w:rPr>
          <w:color w:val="auto"/>
        </w:rPr>
      </w:pPr>
      <w:r>
        <w:rPr>
          <w:rFonts w:hint="eastAsia"/>
          <w:b/>
          <w:bCs/>
          <w:color w:val="auto"/>
        </w:rPr>
        <w:t xml:space="preserve">1  </w:t>
      </w:r>
      <w:r>
        <w:rPr>
          <w:rFonts w:hint="eastAsia"/>
          <w:color w:val="auto"/>
        </w:rPr>
        <w:t>吊装机械的选用和操作应符合现行行业标准《建筑机械使用安全技术规程》JGJ 33的规定；</w:t>
      </w:r>
    </w:p>
    <w:p w14:paraId="2AAD2E8C">
      <w:pPr>
        <w:numPr>
          <w:ilvl w:val="255"/>
          <w:numId w:val="0"/>
        </w:numPr>
        <w:spacing w:line="312" w:lineRule="auto"/>
        <w:ind w:firstLine="422" w:firstLineChars="200"/>
        <w:rPr>
          <w:b/>
          <w:bCs/>
          <w:color w:val="auto"/>
        </w:rPr>
      </w:pPr>
      <w:r>
        <w:rPr>
          <w:b/>
          <w:bCs/>
          <w:color w:val="auto"/>
        </w:rPr>
        <w:t xml:space="preserve">2  </w:t>
      </w:r>
      <w:r>
        <w:rPr>
          <w:rFonts w:hint="eastAsia"/>
          <w:color w:val="auto"/>
        </w:rPr>
        <w:t>吊装机械</w:t>
      </w:r>
      <w:r>
        <w:rPr>
          <w:color w:val="auto"/>
        </w:rPr>
        <w:t>的</w:t>
      </w:r>
      <w:r>
        <w:rPr>
          <w:rFonts w:hint="eastAsia"/>
          <w:color w:val="auto"/>
        </w:rPr>
        <w:t>选择</w:t>
      </w:r>
      <w:r>
        <w:rPr>
          <w:color w:val="auto"/>
        </w:rPr>
        <w:t>应根据</w:t>
      </w:r>
      <w:r>
        <w:rPr>
          <w:rFonts w:hint="eastAsia"/>
          <w:color w:val="auto"/>
        </w:rPr>
        <w:t>场地条件和</w:t>
      </w:r>
      <w:r>
        <w:rPr>
          <w:color w:val="auto"/>
        </w:rPr>
        <w:t>模块</w:t>
      </w:r>
      <w:r>
        <w:rPr>
          <w:rFonts w:hint="eastAsia"/>
          <w:color w:val="auto"/>
        </w:rPr>
        <w:t>单元</w:t>
      </w:r>
      <w:r>
        <w:rPr>
          <w:color w:val="auto"/>
        </w:rPr>
        <w:t>重量</w:t>
      </w:r>
      <w:r>
        <w:rPr>
          <w:rFonts w:hint="eastAsia"/>
          <w:color w:val="auto"/>
        </w:rPr>
        <w:t>、尺寸等综合确定；</w:t>
      </w:r>
    </w:p>
    <w:p w14:paraId="79AECEB5">
      <w:pPr>
        <w:numPr>
          <w:ilvl w:val="255"/>
          <w:numId w:val="0"/>
        </w:numPr>
        <w:spacing w:line="312" w:lineRule="auto"/>
        <w:ind w:firstLine="422" w:firstLineChars="200"/>
        <w:rPr>
          <w:color w:val="auto"/>
        </w:rPr>
      </w:pPr>
      <w:r>
        <w:rPr>
          <w:b/>
          <w:bCs/>
          <w:color w:val="auto"/>
        </w:rPr>
        <w:t xml:space="preserve">3  </w:t>
      </w:r>
      <w:r>
        <w:rPr>
          <w:rFonts w:hint="eastAsia"/>
          <w:color w:val="auto"/>
        </w:rPr>
        <w:t>应根据</w:t>
      </w:r>
      <w:r>
        <w:rPr>
          <w:color w:val="auto"/>
        </w:rPr>
        <w:t>模块</w:t>
      </w:r>
      <w:r>
        <w:rPr>
          <w:rFonts w:hint="eastAsia"/>
          <w:color w:val="auto"/>
        </w:rPr>
        <w:t>单元</w:t>
      </w:r>
      <w:r>
        <w:rPr>
          <w:color w:val="auto"/>
        </w:rPr>
        <w:t>重量</w:t>
      </w:r>
      <w:r>
        <w:rPr>
          <w:rFonts w:hint="eastAsia"/>
          <w:color w:val="auto"/>
        </w:rPr>
        <w:t>、尺寸</w:t>
      </w:r>
      <w:r>
        <w:rPr>
          <w:color w:val="auto"/>
        </w:rPr>
        <w:t>和吊点分布</w:t>
      </w:r>
      <w:r>
        <w:rPr>
          <w:rFonts w:hint="eastAsia"/>
          <w:color w:val="auto"/>
        </w:rPr>
        <w:t>等选用</w:t>
      </w:r>
      <w:r>
        <w:rPr>
          <w:color w:val="auto"/>
        </w:rPr>
        <w:t>专用吊架，</w:t>
      </w:r>
      <w:r>
        <w:rPr>
          <w:rFonts w:hint="eastAsia"/>
          <w:color w:val="auto"/>
        </w:rPr>
        <w:t>保证</w:t>
      </w:r>
      <w:r>
        <w:rPr>
          <w:color w:val="auto"/>
        </w:rPr>
        <w:t>模块</w:t>
      </w:r>
      <w:r>
        <w:rPr>
          <w:rFonts w:hint="eastAsia"/>
          <w:color w:val="auto"/>
        </w:rPr>
        <w:t>单元</w:t>
      </w:r>
      <w:r>
        <w:rPr>
          <w:color w:val="auto"/>
        </w:rPr>
        <w:t>吊装过程平稳</w:t>
      </w:r>
      <w:r>
        <w:rPr>
          <w:rFonts w:hint="eastAsia"/>
          <w:color w:val="auto"/>
        </w:rPr>
        <w:t>；</w:t>
      </w:r>
    </w:p>
    <w:p w14:paraId="43E0D482">
      <w:pPr>
        <w:numPr>
          <w:ilvl w:val="255"/>
          <w:numId w:val="0"/>
        </w:numPr>
        <w:spacing w:line="312" w:lineRule="auto"/>
        <w:ind w:firstLine="422" w:firstLineChars="200"/>
        <w:rPr>
          <w:color w:val="auto"/>
        </w:rPr>
      </w:pPr>
      <w:r>
        <w:rPr>
          <w:rFonts w:hint="eastAsia"/>
          <w:b/>
          <w:bCs/>
          <w:color w:val="auto"/>
        </w:rPr>
        <w:t>4</w:t>
      </w:r>
      <w:r>
        <w:rPr>
          <w:rFonts w:hint="eastAsia"/>
          <w:color w:val="auto"/>
        </w:rPr>
        <w:t xml:space="preserve">  专用吊架应进行专业设计，满足承载力、稳定性及变形要求，且具备调平功能。</w:t>
      </w:r>
    </w:p>
    <w:p w14:paraId="15723F65">
      <w:pPr>
        <w:pStyle w:val="33"/>
        <w:rPr>
          <w:color w:val="auto"/>
        </w:rPr>
      </w:pPr>
      <w:r>
        <w:rPr>
          <w:rFonts w:hint="eastAsia" w:ascii="楷体" w:hAnsi="楷体" w:cs="楷体"/>
          <w:color w:val="auto"/>
          <w:szCs w:val="21"/>
        </w:rPr>
        <w:t>【条文说明】</w:t>
      </w:r>
      <w:r>
        <w:rPr>
          <w:rFonts w:hint="eastAsia"/>
          <w:color w:val="auto"/>
        </w:rPr>
        <w:t>模块单元吊装过程中，吊钩与吊架之间的主吊链需控制水平角度，吊链水平夹角不宜小于60°，不应小于45°。吊架与模块单元之间的吊链应保持垂直，避免吊链产生的水平拉力对模块单元造成不利影响，见图28。</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098CA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vAlign w:val="center"/>
          </w:tcPr>
          <w:p w14:paraId="732CDE2A">
            <w:pPr>
              <w:pStyle w:val="33"/>
              <w:adjustRightInd w:val="0"/>
              <w:snapToGrid w:val="0"/>
              <w:spacing w:line="240" w:lineRule="auto"/>
              <w:ind w:firstLine="0" w:firstLineChars="0"/>
              <w:jc w:val="center"/>
              <w:rPr>
                <w:color w:val="auto"/>
              </w:rPr>
            </w:pPr>
            <w:r>
              <w:rPr>
                <w:color w:val="auto"/>
              </w:rPr>
              <w:drawing>
                <wp:inline distT="0" distB="0" distL="114300" distR="114300">
                  <wp:extent cx="2510155" cy="1800225"/>
                  <wp:effectExtent l="0" t="0" r="4445" b="13335"/>
                  <wp:docPr id="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pic:cNvPicPr>
                            <a:picLocks noChangeAspect="1"/>
                          </pic:cNvPicPr>
                        </pic:nvPicPr>
                        <pic:blipFill>
                          <a:blip r:embed="rId77"/>
                          <a:stretch>
                            <a:fillRect/>
                          </a:stretch>
                        </pic:blipFill>
                        <pic:spPr>
                          <a:xfrm>
                            <a:off x="0" y="0"/>
                            <a:ext cx="2510155" cy="1800225"/>
                          </a:xfrm>
                          <a:prstGeom prst="rect">
                            <a:avLst/>
                          </a:prstGeom>
                          <a:noFill/>
                          <a:ln>
                            <a:noFill/>
                          </a:ln>
                        </pic:spPr>
                      </pic:pic>
                    </a:graphicData>
                  </a:graphic>
                </wp:inline>
              </w:drawing>
            </w:r>
          </w:p>
        </w:tc>
      </w:tr>
    </w:tbl>
    <w:p w14:paraId="54162762">
      <w:pPr>
        <w:pStyle w:val="33"/>
        <w:ind w:firstLine="0" w:firstLineChars="0"/>
        <w:jc w:val="center"/>
        <w:rPr>
          <w:color w:val="auto"/>
        </w:rPr>
      </w:pPr>
      <w:r>
        <w:rPr>
          <w:rFonts w:hint="eastAsia"/>
          <w:color w:val="auto"/>
        </w:rPr>
        <w:t>图28  模块单元吊装系统示意</w:t>
      </w:r>
    </w:p>
    <w:p w14:paraId="7806AA88">
      <w:pPr>
        <w:numPr>
          <w:ilvl w:val="0"/>
          <w:numId w:val="35"/>
        </w:numPr>
        <w:spacing w:line="312" w:lineRule="auto"/>
        <w:rPr>
          <w:color w:val="auto"/>
        </w:rPr>
      </w:pPr>
      <w:r>
        <w:rPr>
          <w:rFonts w:hint="eastAsia"/>
          <w:color w:val="auto"/>
        </w:rPr>
        <w:t>模块单元吊装前应做好复核准备工作，且符合下列规定：</w:t>
      </w:r>
    </w:p>
    <w:p w14:paraId="580A1021">
      <w:pPr>
        <w:spacing w:line="312" w:lineRule="auto"/>
        <w:ind w:firstLine="422" w:firstLineChars="200"/>
        <w:rPr>
          <w:b/>
          <w:bCs/>
          <w:color w:val="auto"/>
        </w:rPr>
      </w:pPr>
      <w:r>
        <w:rPr>
          <w:b/>
          <w:bCs/>
          <w:color w:val="auto"/>
        </w:rPr>
        <w:t xml:space="preserve">1  </w:t>
      </w:r>
      <w:r>
        <w:rPr>
          <w:rFonts w:hint="eastAsia"/>
          <w:bCs/>
          <w:color w:val="auto"/>
        </w:rPr>
        <w:t>现场环境、天气、道路、场地状况等满足吊装施工要求，通行道路应平整，承载力应满足设备通行要求；</w:t>
      </w:r>
    </w:p>
    <w:p w14:paraId="2B00220F">
      <w:pPr>
        <w:spacing w:line="312" w:lineRule="auto"/>
        <w:ind w:firstLine="420" w:firstLineChars="200"/>
        <w:rPr>
          <w:bCs/>
          <w:color w:val="auto"/>
        </w:rPr>
      </w:pPr>
      <w:r>
        <w:rPr>
          <w:rFonts w:eastAsia="PMingLiU"/>
          <w:b/>
          <w:bCs/>
          <w:color w:val="auto"/>
        </w:rPr>
        <w:t xml:space="preserve">2  </w:t>
      </w:r>
      <w:r>
        <w:rPr>
          <w:rFonts w:hint="eastAsia"/>
          <w:bCs/>
          <w:color w:val="auto"/>
        </w:rPr>
        <w:t>吊装机械和吊具处于安全操作状态，并对主要吊装设备进行必要的检查、维修、试吊等，所使用的机械、滑轮、吊具和地锚等应符合安全要求；</w:t>
      </w:r>
    </w:p>
    <w:p w14:paraId="3AA498E0">
      <w:pPr>
        <w:spacing w:line="312" w:lineRule="auto"/>
        <w:ind w:firstLine="422" w:firstLineChars="200"/>
        <w:rPr>
          <w:b/>
          <w:color w:val="auto"/>
        </w:rPr>
      </w:pPr>
      <w:r>
        <w:rPr>
          <w:rFonts w:hint="eastAsia"/>
          <w:b/>
          <w:color w:val="auto"/>
        </w:rPr>
        <w:t>3</w:t>
      </w:r>
      <w:r>
        <w:rPr>
          <w:rFonts w:hint="eastAsia"/>
          <w:bCs/>
          <w:color w:val="auto"/>
        </w:rPr>
        <w:t xml:space="preserve">  </w:t>
      </w:r>
      <w:r>
        <w:rPr>
          <w:rFonts w:hint="eastAsia"/>
          <w:color w:val="auto"/>
        </w:rPr>
        <w:t>根据建筑物的平面形状、结构形式、安装机械的规格、数量、现场施工条件等因素，划分吊装流水段，确定模块单元吊装顺序；</w:t>
      </w:r>
    </w:p>
    <w:p w14:paraId="62FC9ED8">
      <w:pPr>
        <w:spacing w:line="312" w:lineRule="auto"/>
        <w:ind w:firstLine="422" w:firstLineChars="200"/>
        <w:rPr>
          <w:color w:val="auto"/>
        </w:rPr>
      </w:pPr>
      <w:r>
        <w:rPr>
          <w:rFonts w:hint="eastAsia"/>
          <w:b/>
          <w:color w:val="auto"/>
        </w:rPr>
        <w:t>4</w:t>
      </w:r>
      <w:r>
        <w:rPr>
          <w:rFonts w:hint="eastAsia"/>
          <w:bCs/>
          <w:color w:val="auto"/>
        </w:rPr>
        <w:t xml:space="preserve">  </w:t>
      </w:r>
      <w:r>
        <w:rPr>
          <w:rFonts w:hint="eastAsia"/>
          <w:color w:val="auto"/>
        </w:rPr>
        <w:t>模块单元应按顺序吊装，且吊点、尺寸、</w:t>
      </w:r>
      <w:r>
        <w:rPr>
          <w:rFonts w:hint="eastAsia"/>
          <w:bCs/>
          <w:color w:val="auto"/>
        </w:rPr>
        <w:t>临时加固措施</w:t>
      </w:r>
      <w:r>
        <w:rPr>
          <w:rFonts w:hint="eastAsia"/>
          <w:color w:val="auto"/>
        </w:rPr>
        <w:t>等满足设计和安装要求；</w:t>
      </w:r>
    </w:p>
    <w:p w14:paraId="6EE26D0A">
      <w:pPr>
        <w:spacing w:line="312" w:lineRule="auto"/>
        <w:ind w:firstLine="422" w:firstLineChars="200"/>
        <w:rPr>
          <w:color w:val="auto"/>
        </w:rPr>
      </w:pPr>
      <w:r>
        <w:rPr>
          <w:rFonts w:hint="eastAsia"/>
          <w:b/>
          <w:bCs/>
          <w:color w:val="auto"/>
        </w:rPr>
        <w:t>5</w:t>
      </w:r>
      <w:r>
        <w:rPr>
          <w:rFonts w:eastAsia="PMingLiU"/>
          <w:b/>
          <w:bCs/>
          <w:color w:val="auto"/>
        </w:rPr>
        <w:t xml:space="preserve">  </w:t>
      </w:r>
      <w:r>
        <w:rPr>
          <w:rFonts w:hint="eastAsia"/>
          <w:color w:val="auto"/>
        </w:rPr>
        <w:t>模块单元安装前，应复核水平、垂直控制线和安装轴线，并绘制安装定位标记；</w:t>
      </w:r>
    </w:p>
    <w:p w14:paraId="0D126914">
      <w:pPr>
        <w:spacing w:line="312" w:lineRule="auto"/>
        <w:ind w:firstLine="422" w:firstLineChars="200"/>
        <w:rPr>
          <w:rFonts w:eastAsia="PMingLiU"/>
          <w:bCs/>
          <w:color w:val="auto"/>
        </w:rPr>
      </w:pPr>
      <w:r>
        <w:rPr>
          <w:rFonts w:hint="eastAsia"/>
          <w:b/>
          <w:bCs/>
          <w:color w:val="auto"/>
        </w:rPr>
        <w:t>6</w:t>
      </w:r>
      <w:r>
        <w:rPr>
          <w:rFonts w:eastAsia="PMingLiU"/>
          <w:b/>
          <w:bCs/>
          <w:color w:val="auto"/>
        </w:rPr>
        <w:t xml:space="preserve">  </w:t>
      </w:r>
      <w:r>
        <w:rPr>
          <w:rFonts w:hint="eastAsia"/>
          <w:color w:val="auto"/>
        </w:rPr>
        <w:t>已完成基础、结构的外观质量、尺寸偏差、预留孔洞和预埋件等应符合设计要求；</w:t>
      </w:r>
    </w:p>
    <w:p w14:paraId="140CBE7A">
      <w:pPr>
        <w:spacing w:line="312" w:lineRule="auto"/>
        <w:ind w:firstLine="422" w:firstLineChars="200"/>
        <w:rPr>
          <w:color w:val="auto"/>
        </w:rPr>
      </w:pPr>
      <w:r>
        <w:rPr>
          <w:rFonts w:hint="eastAsia"/>
          <w:b/>
          <w:bCs/>
          <w:color w:val="auto"/>
        </w:rPr>
        <w:t>7</w:t>
      </w:r>
      <w:r>
        <w:rPr>
          <w:rFonts w:eastAsia="PMingLiU"/>
          <w:b/>
          <w:bCs/>
          <w:color w:val="auto"/>
        </w:rPr>
        <w:t xml:space="preserve">  </w:t>
      </w:r>
      <w:r>
        <w:rPr>
          <w:rFonts w:hint="eastAsia"/>
          <w:bCs/>
          <w:color w:val="auto"/>
        </w:rPr>
        <w:t>应对安装工作面进行测量放线、设置模块单元安装定位标识</w:t>
      </w:r>
      <w:r>
        <w:rPr>
          <w:rFonts w:hint="eastAsia"/>
          <w:color w:val="auto"/>
        </w:rPr>
        <w:t>；</w:t>
      </w:r>
    </w:p>
    <w:p w14:paraId="60FBA5B7">
      <w:pPr>
        <w:spacing w:line="312" w:lineRule="auto"/>
        <w:ind w:firstLine="422" w:firstLineChars="200"/>
        <w:rPr>
          <w:color w:val="auto"/>
        </w:rPr>
      </w:pPr>
      <w:r>
        <w:rPr>
          <w:rFonts w:hint="eastAsia"/>
          <w:b/>
          <w:bCs/>
          <w:color w:val="auto"/>
        </w:rPr>
        <w:t>8</w:t>
      </w:r>
      <w:r>
        <w:rPr>
          <w:rFonts w:hint="eastAsia"/>
          <w:color w:val="auto"/>
        </w:rPr>
        <w:t xml:space="preserve">  吊装前应对模块单元进行检查，吊架、吊链等是否牢固、可靠；</w:t>
      </w:r>
    </w:p>
    <w:p w14:paraId="4C9744DB">
      <w:pPr>
        <w:spacing w:line="312" w:lineRule="auto"/>
        <w:ind w:firstLine="422" w:firstLineChars="200"/>
        <w:rPr>
          <w:color w:val="auto"/>
        </w:rPr>
      </w:pPr>
      <w:r>
        <w:rPr>
          <w:rFonts w:hint="eastAsia"/>
          <w:b/>
          <w:bCs/>
          <w:color w:val="auto"/>
        </w:rPr>
        <w:t>9</w:t>
      </w:r>
      <w:r>
        <w:rPr>
          <w:rFonts w:hint="eastAsia"/>
          <w:color w:val="auto"/>
        </w:rPr>
        <w:t xml:space="preserve">  吊装机械的地基基础承载力应满足安全使用要求。</w:t>
      </w:r>
    </w:p>
    <w:p w14:paraId="68AA7D8D">
      <w:pPr>
        <w:spacing w:line="312" w:lineRule="auto"/>
        <w:ind w:firstLine="420" w:firstLineChars="200"/>
        <w:rPr>
          <w:rFonts w:ascii="楷体" w:hAnsi="楷体" w:eastAsia="楷体" w:cs="楷体"/>
          <w:color w:val="auto"/>
          <w:szCs w:val="21"/>
        </w:rPr>
      </w:pPr>
      <w:r>
        <w:rPr>
          <w:rFonts w:hint="eastAsia" w:ascii="楷体" w:hAnsi="楷体" w:eastAsia="楷体" w:cs="楷体"/>
          <w:color w:val="auto"/>
          <w:szCs w:val="21"/>
        </w:rPr>
        <w:t>【条文说明】吊装机械工作时停放位置应按施工方案与沟渠、基坑保持安全距离，且作业时不得停放在斜坡上。作业前应将支腿全部伸出，并应支垫牢固。</w:t>
      </w:r>
    </w:p>
    <w:p w14:paraId="5180799D">
      <w:pPr>
        <w:spacing w:line="312" w:lineRule="auto"/>
        <w:ind w:firstLine="420" w:firstLineChars="200"/>
        <w:rPr>
          <w:color w:val="auto"/>
        </w:rPr>
      </w:pPr>
      <w:r>
        <w:rPr>
          <w:rFonts w:eastAsia="楷体"/>
          <w:color w:val="auto"/>
          <w:szCs w:val="21"/>
        </w:rPr>
        <w:t>塔式起重机的使用应符合国家现行标准《塔式起重机安全规程》GB</w:t>
      </w:r>
      <w:r>
        <w:rPr>
          <w:rFonts w:hint="eastAsia" w:eastAsia="楷体"/>
          <w:color w:val="auto"/>
          <w:szCs w:val="21"/>
        </w:rPr>
        <w:t xml:space="preserve"> </w:t>
      </w:r>
      <w:r>
        <w:rPr>
          <w:rFonts w:eastAsia="楷体"/>
          <w:color w:val="auto"/>
          <w:szCs w:val="21"/>
        </w:rPr>
        <w:t>5144、《建筑施工塔式起重机安装、使用、拆卸安全技术规程》JGJ</w:t>
      </w:r>
      <w:r>
        <w:rPr>
          <w:rFonts w:hint="eastAsia" w:eastAsia="楷体"/>
          <w:color w:val="auto"/>
          <w:szCs w:val="21"/>
        </w:rPr>
        <w:t xml:space="preserve"> </w:t>
      </w:r>
      <w:r>
        <w:rPr>
          <w:rFonts w:eastAsia="楷体"/>
          <w:color w:val="auto"/>
          <w:szCs w:val="21"/>
        </w:rPr>
        <w:t>196及《建筑机械使用安全技术规程》JGJ</w:t>
      </w:r>
      <w:r>
        <w:rPr>
          <w:rFonts w:hint="eastAsia" w:eastAsia="楷体"/>
          <w:color w:val="auto"/>
          <w:szCs w:val="21"/>
        </w:rPr>
        <w:t xml:space="preserve"> </w:t>
      </w:r>
      <w:r>
        <w:rPr>
          <w:rFonts w:eastAsia="楷体"/>
          <w:color w:val="auto"/>
          <w:szCs w:val="21"/>
        </w:rPr>
        <w:t>33中的相关规定。</w:t>
      </w:r>
    </w:p>
    <w:p w14:paraId="1DD522CE">
      <w:pPr>
        <w:pStyle w:val="3"/>
        <w:rPr>
          <w:color w:val="auto"/>
        </w:rPr>
      </w:pPr>
      <w:bookmarkStart w:id="409" w:name="_Toc23490"/>
      <w:bookmarkStart w:id="410" w:name="_Toc12518"/>
      <w:bookmarkStart w:id="411" w:name="_Toc15022"/>
      <w:bookmarkStart w:id="412" w:name="_Toc8634"/>
      <w:bookmarkStart w:id="413" w:name="_Toc10777"/>
      <w:bookmarkStart w:id="414" w:name="_Toc26172"/>
      <w:bookmarkStart w:id="415" w:name="_Toc4866"/>
      <w:bookmarkStart w:id="416" w:name="_Toc17048"/>
      <w:bookmarkStart w:id="417" w:name="_Toc13098"/>
      <w:r>
        <w:rPr>
          <w:b/>
          <w:bCs w:val="0"/>
          <w:color w:val="auto"/>
        </w:rPr>
        <w:t>10</w:t>
      </w:r>
      <w:r>
        <w:rPr>
          <w:rFonts w:hint="eastAsia"/>
          <w:b/>
          <w:bCs w:val="0"/>
          <w:color w:val="auto"/>
        </w:rPr>
        <w:t>.</w:t>
      </w:r>
      <w:r>
        <w:rPr>
          <w:b/>
          <w:bCs w:val="0"/>
          <w:color w:val="auto"/>
        </w:rPr>
        <w:t>3</w:t>
      </w:r>
      <w:r>
        <w:rPr>
          <w:rFonts w:hint="eastAsia"/>
          <w:color w:val="auto"/>
        </w:rPr>
        <w:t xml:space="preserve">  模块单元安装</w:t>
      </w:r>
      <w:bookmarkEnd w:id="409"/>
      <w:bookmarkEnd w:id="410"/>
      <w:bookmarkEnd w:id="411"/>
      <w:bookmarkEnd w:id="412"/>
      <w:bookmarkEnd w:id="413"/>
      <w:bookmarkEnd w:id="414"/>
      <w:bookmarkEnd w:id="415"/>
      <w:bookmarkEnd w:id="416"/>
      <w:bookmarkEnd w:id="417"/>
    </w:p>
    <w:p w14:paraId="3F4E365F">
      <w:pPr>
        <w:numPr>
          <w:ilvl w:val="0"/>
          <w:numId w:val="36"/>
        </w:numPr>
        <w:spacing w:line="312" w:lineRule="auto"/>
        <w:rPr>
          <w:color w:val="auto"/>
        </w:rPr>
      </w:pPr>
      <w:r>
        <w:rPr>
          <w:rFonts w:hint="eastAsia"/>
          <w:color w:val="auto"/>
        </w:rPr>
        <w:t>模块单元的安装应逐层进行，上层模块单元安装应在下层模块单元安装连接完成且检验合格后方可进行。模块单元的安装宜按以下流程进行施工：</w:t>
      </w:r>
    </w:p>
    <w:p w14:paraId="0EC273F3">
      <w:pPr>
        <w:numPr>
          <w:ilvl w:val="255"/>
          <w:numId w:val="0"/>
        </w:numPr>
        <w:spacing w:line="312" w:lineRule="auto"/>
        <w:ind w:firstLine="422" w:firstLineChars="200"/>
        <w:rPr>
          <w:b/>
          <w:bCs/>
          <w:color w:val="auto"/>
        </w:rPr>
      </w:pPr>
      <w:r>
        <w:rPr>
          <w:rFonts w:hint="eastAsia"/>
          <w:b/>
          <w:bCs/>
          <w:color w:val="auto"/>
        </w:rPr>
        <w:t xml:space="preserve">1  </w:t>
      </w:r>
      <w:r>
        <w:rPr>
          <w:rFonts w:hint="eastAsia"/>
          <w:color w:val="auto"/>
        </w:rPr>
        <w:t>找平；</w:t>
      </w:r>
    </w:p>
    <w:p w14:paraId="6A7D0DBD">
      <w:pPr>
        <w:numPr>
          <w:ilvl w:val="255"/>
          <w:numId w:val="0"/>
        </w:numPr>
        <w:spacing w:line="312" w:lineRule="auto"/>
        <w:ind w:firstLine="422" w:firstLineChars="200"/>
        <w:rPr>
          <w:color w:val="auto"/>
        </w:rPr>
      </w:pPr>
      <w:r>
        <w:rPr>
          <w:rFonts w:hint="eastAsia"/>
          <w:b/>
          <w:bCs/>
          <w:color w:val="auto"/>
        </w:rPr>
        <w:t xml:space="preserve">2  </w:t>
      </w:r>
      <w:r>
        <w:rPr>
          <w:rFonts w:hint="eastAsia"/>
          <w:color w:val="auto"/>
        </w:rPr>
        <w:t>划线定位；</w:t>
      </w:r>
    </w:p>
    <w:p w14:paraId="2D455BEB">
      <w:pPr>
        <w:numPr>
          <w:ilvl w:val="255"/>
          <w:numId w:val="0"/>
        </w:numPr>
        <w:spacing w:line="312" w:lineRule="auto"/>
        <w:ind w:firstLine="422" w:firstLineChars="200"/>
        <w:rPr>
          <w:color w:val="auto"/>
        </w:rPr>
      </w:pPr>
      <w:r>
        <w:rPr>
          <w:rFonts w:hint="eastAsia"/>
          <w:b/>
          <w:bCs/>
          <w:color w:val="auto"/>
        </w:rPr>
        <w:t xml:space="preserve">3  </w:t>
      </w:r>
      <w:r>
        <w:rPr>
          <w:rFonts w:hint="eastAsia"/>
          <w:color w:val="auto"/>
        </w:rPr>
        <w:t>模块单元吊装、安装；</w:t>
      </w:r>
    </w:p>
    <w:p w14:paraId="098B1E25">
      <w:pPr>
        <w:numPr>
          <w:ilvl w:val="255"/>
          <w:numId w:val="0"/>
        </w:numPr>
        <w:spacing w:line="312" w:lineRule="auto"/>
        <w:ind w:firstLine="422" w:firstLineChars="200"/>
        <w:rPr>
          <w:color w:val="auto"/>
        </w:rPr>
      </w:pPr>
      <w:r>
        <w:rPr>
          <w:rFonts w:hint="eastAsia"/>
          <w:b/>
          <w:bCs/>
          <w:color w:val="auto"/>
        </w:rPr>
        <w:t xml:space="preserve">4  </w:t>
      </w:r>
      <w:r>
        <w:rPr>
          <w:rFonts w:hint="eastAsia"/>
          <w:color w:val="auto"/>
        </w:rPr>
        <w:t>模块单元连接。</w:t>
      </w:r>
    </w:p>
    <w:p w14:paraId="2BC9CDBB">
      <w:pPr>
        <w:pStyle w:val="33"/>
        <w:ind w:firstLineChars="0"/>
        <w:rPr>
          <w:color w:val="auto"/>
          <w:szCs w:val="21"/>
        </w:rPr>
      </w:pPr>
      <w:r>
        <w:rPr>
          <w:color w:val="auto"/>
          <w:szCs w:val="21"/>
        </w:rPr>
        <w:t>【条文说明】</w:t>
      </w:r>
      <w:r>
        <w:rPr>
          <w:rFonts w:hint="eastAsia"/>
          <w:color w:val="auto"/>
          <w:szCs w:val="21"/>
        </w:rPr>
        <w:t>模块单元安装的主要工序有安装位置的找平、放线定位、吊装和就位后的调整与相互之间的连接。模块单元之间的连接涉及结构连接、机电连接等内容，考虑连接的需要和施工的安全、不均匀沉降等因素，模块单元应逐层安装。上层模块单元安装前应对下层安装的模块单元、模块单元之间的连接，以及后浇之后的质量进行检验，满足条件后方可进行上层模块的安装；有构造底板的模块单元安装时四周和底板底部宜座浆施工，座浆料宜设置成条状，底板底部座浆带间距不宜超过1.5m，座浆带应均匀铺设；无构造底板的模块单元可按照连接方式的不同，采取座浆、套筒灌浆等措施。</w:t>
      </w:r>
    </w:p>
    <w:p w14:paraId="29476510">
      <w:pPr>
        <w:numPr>
          <w:ilvl w:val="0"/>
          <w:numId w:val="36"/>
        </w:numPr>
        <w:spacing w:line="312" w:lineRule="auto"/>
        <w:rPr>
          <w:color w:val="auto"/>
        </w:rPr>
      </w:pPr>
      <w:r>
        <w:rPr>
          <w:rFonts w:hint="eastAsia"/>
          <w:color w:val="auto"/>
        </w:rPr>
        <w:t>模块单元安装时，底部与混凝土楼板间应采取措施校平；当采用垫片进行校平时，校平垫片应符合下列规定：</w:t>
      </w:r>
    </w:p>
    <w:p w14:paraId="268BCE23">
      <w:pPr>
        <w:numPr>
          <w:ilvl w:val="255"/>
          <w:numId w:val="0"/>
        </w:numPr>
        <w:tabs>
          <w:tab w:val="left" w:pos="0"/>
        </w:tabs>
        <w:spacing w:line="312" w:lineRule="auto"/>
        <w:ind w:firstLine="422" w:firstLineChars="200"/>
        <w:rPr>
          <w:color w:val="auto"/>
        </w:rPr>
      </w:pPr>
      <w:r>
        <w:rPr>
          <w:rFonts w:hint="eastAsia"/>
          <w:b/>
          <w:bCs/>
          <w:color w:val="auto"/>
        </w:rPr>
        <w:t>1</w:t>
      </w:r>
      <w:r>
        <w:rPr>
          <w:rFonts w:hint="eastAsia"/>
          <w:color w:val="auto"/>
        </w:rPr>
        <w:t xml:space="preserve">  校平垫片应采用耐用材料，并具备足够强度，满足承重要求；</w:t>
      </w:r>
    </w:p>
    <w:p w14:paraId="5907972D">
      <w:pPr>
        <w:numPr>
          <w:ilvl w:val="255"/>
          <w:numId w:val="0"/>
        </w:numPr>
        <w:tabs>
          <w:tab w:val="left" w:pos="0"/>
        </w:tabs>
        <w:spacing w:line="312" w:lineRule="auto"/>
        <w:ind w:firstLine="422" w:firstLineChars="200"/>
        <w:rPr>
          <w:color w:val="auto"/>
        </w:rPr>
      </w:pPr>
      <w:r>
        <w:rPr>
          <w:rFonts w:hint="eastAsia"/>
          <w:b/>
          <w:bCs/>
          <w:color w:val="auto"/>
        </w:rPr>
        <w:t>2</w:t>
      </w:r>
      <w:r>
        <w:rPr>
          <w:rFonts w:hint="eastAsia"/>
          <w:color w:val="auto"/>
        </w:rPr>
        <w:t xml:space="preserve">  校平垫片宜放置在模块刚度较大部位；</w:t>
      </w:r>
    </w:p>
    <w:p w14:paraId="58434851">
      <w:pPr>
        <w:numPr>
          <w:ilvl w:val="255"/>
          <w:numId w:val="0"/>
        </w:numPr>
        <w:tabs>
          <w:tab w:val="left" w:pos="0"/>
        </w:tabs>
        <w:spacing w:line="312" w:lineRule="auto"/>
        <w:ind w:firstLine="422" w:firstLineChars="200"/>
        <w:rPr>
          <w:color w:val="auto"/>
        </w:rPr>
      </w:pPr>
      <w:r>
        <w:rPr>
          <w:rFonts w:hint="eastAsia"/>
          <w:b/>
          <w:bCs/>
          <w:color w:val="auto"/>
        </w:rPr>
        <w:t>3</w:t>
      </w:r>
      <w:r>
        <w:rPr>
          <w:rFonts w:hint="eastAsia"/>
          <w:color w:val="auto"/>
        </w:rPr>
        <w:t xml:space="preserve">  校平垫片应固定在楼面上。</w:t>
      </w:r>
    </w:p>
    <w:p w14:paraId="6BF794A6">
      <w:pPr>
        <w:numPr>
          <w:ilvl w:val="0"/>
          <w:numId w:val="36"/>
        </w:numPr>
        <w:spacing w:line="312" w:lineRule="auto"/>
        <w:rPr>
          <w:color w:val="auto"/>
        </w:rPr>
      </w:pPr>
      <w:r>
        <w:rPr>
          <w:rFonts w:hint="eastAsia"/>
          <w:color w:val="auto"/>
        </w:rPr>
        <w:t>模块单元底部四周宜采取封堵措施；当采取座浆施工时，座浆位置及高度应符合设计要求。</w:t>
      </w:r>
    </w:p>
    <w:p w14:paraId="253AAE9F">
      <w:pPr>
        <w:numPr>
          <w:ilvl w:val="0"/>
          <w:numId w:val="36"/>
        </w:numPr>
        <w:spacing w:line="312" w:lineRule="auto"/>
        <w:rPr>
          <w:color w:val="auto"/>
        </w:rPr>
      </w:pPr>
      <w:r>
        <w:rPr>
          <w:rFonts w:hint="eastAsia"/>
          <w:color w:val="auto"/>
        </w:rPr>
        <w:t>模块单元的安装应符合下列规定：</w:t>
      </w:r>
    </w:p>
    <w:p w14:paraId="66C6B9EE">
      <w:pPr>
        <w:spacing w:line="312" w:lineRule="auto"/>
        <w:ind w:firstLine="422" w:firstLineChars="200"/>
        <w:rPr>
          <w:rFonts w:eastAsia="PMingLiU"/>
          <w:b/>
          <w:bCs/>
          <w:color w:val="auto"/>
        </w:rPr>
      </w:pPr>
      <w:r>
        <w:rPr>
          <w:rFonts w:hint="eastAsia"/>
          <w:b/>
          <w:bCs/>
          <w:color w:val="auto"/>
        </w:rPr>
        <w:t>1</w:t>
      </w:r>
      <w:r>
        <w:rPr>
          <w:rFonts w:eastAsia="PMingLiU"/>
          <w:b/>
          <w:bCs/>
          <w:color w:val="auto"/>
        </w:rPr>
        <w:t xml:space="preserve">  </w:t>
      </w:r>
      <w:r>
        <w:rPr>
          <w:rFonts w:hint="eastAsia" w:ascii="宋体" w:hAnsi="宋体" w:cs="宋体"/>
          <w:color w:val="auto"/>
        </w:rPr>
        <w:t>模块单元安装过程中，应设置牵引绳控制模块单元转动；</w:t>
      </w:r>
    </w:p>
    <w:p w14:paraId="47B4D925">
      <w:pPr>
        <w:spacing w:line="312" w:lineRule="auto"/>
        <w:ind w:firstLine="422" w:firstLineChars="200"/>
        <w:rPr>
          <w:rFonts w:eastAsia="PMingLiU"/>
          <w:color w:val="auto"/>
        </w:rPr>
      </w:pPr>
      <w:r>
        <w:rPr>
          <w:rFonts w:hint="eastAsia"/>
          <w:b/>
          <w:bCs/>
          <w:color w:val="auto"/>
        </w:rPr>
        <w:t>2</w:t>
      </w:r>
      <w:r>
        <w:rPr>
          <w:rFonts w:eastAsia="PMingLiU"/>
          <w:b/>
          <w:bCs/>
          <w:color w:val="auto"/>
        </w:rPr>
        <w:t xml:space="preserve">  </w:t>
      </w:r>
      <w:r>
        <w:rPr>
          <w:rFonts w:hint="eastAsia"/>
          <w:color w:val="auto"/>
        </w:rPr>
        <w:t>模块单元安装时，应先调整标高，再调整中心水平位移，最后调整垂直偏差；</w:t>
      </w:r>
    </w:p>
    <w:p w14:paraId="6F66734F">
      <w:pPr>
        <w:spacing w:line="312" w:lineRule="auto"/>
        <w:ind w:firstLine="422" w:firstLineChars="200"/>
        <w:rPr>
          <w:rFonts w:eastAsia="PMingLiU"/>
          <w:color w:val="auto"/>
        </w:rPr>
      </w:pPr>
      <w:r>
        <w:rPr>
          <w:rFonts w:hint="eastAsia"/>
          <w:b/>
          <w:bCs/>
          <w:color w:val="auto"/>
        </w:rPr>
        <w:t>3</w:t>
      </w:r>
      <w:r>
        <w:rPr>
          <w:b/>
          <w:color w:val="auto"/>
        </w:rPr>
        <w:t xml:space="preserve">  </w:t>
      </w:r>
      <w:r>
        <w:rPr>
          <w:rFonts w:hint="eastAsia"/>
          <w:color w:val="auto"/>
        </w:rPr>
        <w:t>模块单元安装时应设置定位引导装置及箱体调节装置；</w:t>
      </w:r>
    </w:p>
    <w:p w14:paraId="67B3B1A7">
      <w:pPr>
        <w:numPr>
          <w:ilvl w:val="255"/>
          <w:numId w:val="0"/>
        </w:numPr>
        <w:spacing w:line="312" w:lineRule="auto"/>
        <w:ind w:firstLine="422" w:firstLineChars="200"/>
        <w:rPr>
          <w:color w:val="auto"/>
        </w:rPr>
      </w:pPr>
      <w:r>
        <w:rPr>
          <w:rFonts w:hint="eastAsia"/>
          <w:b/>
          <w:bCs/>
          <w:color w:val="auto"/>
        </w:rPr>
        <w:t>4</w:t>
      </w:r>
      <w:r>
        <w:rPr>
          <w:rFonts w:eastAsia="PMingLiU"/>
          <w:b/>
          <w:bCs/>
          <w:color w:val="auto"/>
        </w:rPr>
        <w:t xml:space="preserve">  </w:t>
      </w:r>
      <w:r>
        <w:rPr>
          <w:rFonts w:hint="eastAsia"/>
          <w:color w:val="auto"/>
        </w:rPr>
        <w:t>模块单元安装过程中损坏的部分，应按国家现行标准的规定进行修补。</w:t>
      </w:r>
    </w:p>
    <w:p w14:paraId="07461D19">
      <w:pPr>
        <w:numPr>
          <w:ilvl w:val="255"/>
          <w:numId w:val="0"/>
        </w:numPr>
        <w:spacing w:line="312" w:lineRule="auto"/>
        <w:ind w:firstLine="420" w:firstLineChars="200"/>
        <w:rPr>
          <w:rFonts w:ascii="楷体" w:hAnsi="楷体" w:eastAsia="楷体" w:cs="楷体"/>
          <w:color w:val="auto"/>
        </w:rPr>
      </w:pPr>
      <w:r>
        <w:rPr>
          <w:rFonts w:hint="eastAsia" w:ascii="楷体" w:hAnsi="楷体" w:eastAsia="楷体" w:cs="楷体"/>
          <w:color w:val="auto"/>
          <w:szCs w:val="21"/>
        </w:rPr>
        <w:t>【条文说明】</w:t>
      </w:r>
      <w:r>
        <w:rPr>
          <w:rFonts w:hint="eastAsia" w:ascii="楷体" w:hAnsi="楷体" w:eastAsia="楷体" w:cs="楷体"/>
          <w:color w:val="auto"/>
        </w:rPr>
        <w:t>模块单元的安装顺序、校准定位是模块化结构施工的关键，应该在施工方案中明确规定并付诸实施。</w:t>
      </w:r>
    </w:p>
    <w:p w14:paraId="73EC5074">
      <w:pPr>
        <w:numPr>
          <w:ilvl w:val="0"/>
          <w:numId w:val="36"/>
        </w:numPr>
        <w:spacing w:line="312" w:lineRule="auto"/>
        <w:rPr>
          <w:color w:val="auto"/>
        </w:rPr>
      </w:pPr>
      <w:r>
        <w:rPr>
          <w:rFonts w:hint="eastAsia"/>
          <w:color w:val="auto"/>
        </w:rPr>
        <w:t>模块单元安装偏差的检验应在结构形成空间刚度单元并连接固定后进行，尺寸偏差及检验方法应符合表10.3.5的规定。</w:t>
      </w:r>
    </w:p>
    <w:p w14:paraId="79888356">
      <w:pPr>
        <w:autoSpaceDE w:val="0"/>
        <w:autoSpaceDN w:val="0"/>
        <w:adjustRightInd w:val="0"/>
        <w:jc w:val="center"/>
        <w:rPr>
          <w:rFonts w:eastAsia="黑体"/>
          <w:color w:val="auto"/>
          <w:kern w:val="0"/>
          <w:sz w:val="18"/>
          <w:szCs w:val="21"/>
        </w:rPr>
      </w:pPr>
      <w:r>
        <w:rPr>
          <w:rFonts w:hint="eastAsia" w:eastAsia="黑体"/>
          <w:color w:val="auto"/>
          <w:kern w:val="0"/>
          <w:sz w:val="18"/>
          <w:szCs w:val="21"/>
        </w:rPr>
        <w:t>表</w:t>
      </w:r>
      <w:r>
        <w:rPr>
          <w:rFonts w:eastAsia="黑体"/>
          <w:b/>
          <w:bCs/>
          <w:color w:val="auto"/>
          <w:kern w:val="0"/>
          <w:sz w:val="18"/>
          <w:szCs w:val="21"/>
          <w:lang w:bidi="en-US"/>
        </w:rPr>
        <w:t>10</w:t>
      </w:r>
      <w:r>
        <w:rPr>
          <w:rFonts w:ascii="宋体" w:hAnsi="宋体" w:eastAsia="黑体"/>
          <w:b/>
          <w:bCs/>
          <w:color w:val="auto"/>
          <w:kern w:val="0"/>
          <w:sz w:val="18"/>
          <w:szCs w:val="21"/>
          <w:lang w:bidi="en-US"/>
        </w:rPr>
        <w:t>.</w:t>
      </w:r>
      <w:r>
        <w:rPr>
          <w:rFonts w:eastAsia="黑体"/>
          <w:b/>
          <w:bCs/>
          <w:color w:val="auto"/>
          <w:kern w:val="0"/>
          <w:sz w:val="18"/>
          <w:szCs w:val="21"/>
          <w:lang w:bidi="en-US"/>
        </w:rPr>
        <w:t>3</w:t>
      </w:r>
      <w:r>
        <w:rPr>
          <w:rFonts w:ascii="宋体" w:hAnsi="宋体" w:eastAsia="黑体"/>
          <w:b/>
          <w:bCs/>
          <w:color w:val="auto"/>
          <w:kern w:val="0"/>
          <w:sz w:val="18"/>
          <w:szCs w:val="21"/>
          <w:lang w:bidi="en-US"/>
        </w:rPr>
        <w:t>.</w:t>
      </w:r>
      <w:r>
        <w:rPr>
          <w:rFonts w:hint="eastAsia" w:eastAsia="黑体"/>
          <w:b/>
          <w:bCs/>
          <w:color w:val="auto"/>
          <w:kern w:val="0"/>
          <w:sz w:val="18"/>
          <w:szCs w:val="21"/>
          <w:lang w:bidi="en-US"/>
        </w:rPr>
        <w:t>5</w:t>
      </w:r>
      <w:r>
        <w:rPr>
          <w:rFonts w:eastAsia="PMingLiU"/>
          <w:color w:val="auto"/>
          <w:kern w:val="0"/>
          <w:sz w:val="18"/>
          <w:szCs w:val="21"/>
        </w:rPr>
        <w:t xml:space="preserve">  </w:t>
      </w:r>
      <w:r>
        <w:rPr>
          <w:rFonts w:hint="eastAsia" w:eastAsia="黑体"/>
          <w:color w:val="auto"/>
          <w:kern w:val="0"/>
          <w:sz w:val="18"/>
          <w:szCs w:val="21"/>
        </w:rPr>
        <w:t>模块单元安装尺寸的允许偏差及检验方法</w:t>
      </w:r>
    </w:p>
    <w:tbl>
      <w:tblPr>
        <w:tblStyle w:val="17"/>
        <w:tblW w:w="5447" w:type="pct"/>
        <w:jc w:val="center"/>
        <w:tblLayout w:type="autofit"/>
        <w:tblCellMar>
          <w:top w:w="0" w:type="dxa"/>
          <w:left w:w="10" w:type="dxa"/>
          <w:bottom w:w="0" w:type="dxa"/>
          <w:right w:w="10" w:type="dxa"/>
        </w:tblCellMar>
      </w:tblPr>
      <w:tblGrid>
        <w:gridCol w:w="1724"/>
        <w:gridCol w:w="2956"/>
        <w:gridCol w:w="1224"/>
        <w:gridCol w:w="3177"/>
      </w:tblGrid>
      <w:tr w14:paraId="657ED17F">
        <w:tblPrEx>
          <w:tblCellMar>
            <w:top w:w="0" w:type="dxa"/>
            <w:left w:w="10" w:type="dxa"/>
            <w:bottom w:w="0" w:type="dxa"/>
            <w:right w:w="10" w:type="dxa"/>
          </w:tblCellMar>
        </w:tblPrEx>
        <w:trPr>
          <w:trHeight w:val="593" w:hRule="exact"/>
          <w:jc w:val="center"/>
        </w:trPr>
        <w:tc>
          <w:tcPr>
            <w:tcW w:w="2576" w:type="pct"/>
            <w:gridSpan w:val="2"/>
            <w:tcBorders>
              <w:top w:val="single" w:color="auto" w:sz="12" w:space="0"/>
              <w:left w:val="single" w:color="auto" w:sz="12" w:space="0"/>
            </w:tcBorders>
            <w:shd w:val="clear" w:color="auto" w:fill="FFFFFF"/>
            <w:vAlign w:val="center"/>
          </w:tcPr>
          <w:p w14:paraId="627F6D6E">
            <w:pPr>
              <w:autoSpaceDE w:val="0"/>
              <w:autoSpaceDN w:val="0"/>
              <w:adjustRightInd w:val="0"/>
              <w:jc w:val="center"/>
              <w:rPr>
                <w:color w:val="auto"/>
                <w:kern w:val="0"/>
                <w:sz w:val="15"/>
                <w:szCs w:val="21"/>
              </w:rPr>
            </w:pPr>
            <w:r>
              <w:rPr>
                <w:rFonts w:hint="eastAsia"/>
                <w:color w:val="auto"/>
                <w:kern w:val="0"/>
                <w:sz w:val="15"/>
                <w:szCs w:val="21"/>
              </w:rPr>
              <w:t>项目</w:t>
            </w:r>
          </w:p>
        </w:tc>
        <w:tc>
          <w:tcPr>
            <w:tcW w:w="674" w:type="pct"/>
            <w:tcBorders>
              <w:top w:val="single" w:color="auto" w:sz="12" w:space="0"/>
              <w:left w:val="single" w:color="auto" w:sz="4" w:space="0"/>
            </w:tcBorders>
            <w:shd w:val="clear" w:color="auto" w:fill="FFFFFF"/>
            <w:vAlign w:val="center"/>
          </w:tcPr>
          <w:p w14:paraId="6DAA9492">
            <w:pPr>
              <w:autoSpaceDE w:val="0"/>
              <w:autoSpaceDN w:val="0"/>
              <w:adjustRightInd w:val="0"/>
              <w:spacing w:line="240" w:lineRule="exact"/>
              <w:jc w:val="center"/>
              <w:rPr>
                <w:color w:val="auto"/>
                <w:kern w:val="0"/>
                <w:sz w:val="15"/>
                <w:szCs w:val="21"/>
              </w:rPr>
            </w:pPr>
            <w:r>
              <w:rPr>
                <w:rFonts w:hint="eastAsia"/>
                <w:color w:val="auto"/>
                <w:kern w:val="0"/>
                <w:sz w:val="15"/>
                <w:szCs w:val="21"/>
              </w:rPr>
              <w:t>允许偏差</w:t>
            </w:r>
            <w:r>
              <w:rPr>
                <w:rFonts w:hint="eastAsia"/>
                <w:color w:val="auto"/>
                <w:kern w:val="0"/>
                <w:sz w:val="15"/>
                <w:szCs w:val="21"/>
                <w:lang w:eastAsia="en-US" w:bidi="en-US"/>
              </w:rPr>
              <w:t>（</w:t>
            </w:r>
            <w:r>
              <w:rPr>
                <w:rFonts w:eastAsia="Times New Roman"/>
                <w:color w:val="auto"/>
                <w:kern w:val="0"/>
                <w:sz w:val="15"/>
                <w:szCs w:val="21"/>
                <w:lang w:eastAsia="en-US" w:bidi="en-US"/>
              </w:rPr>
              <w:t>mm</w:t>
            </w:r>
            <w:r>
              <w:rPr>
                <w:rFonts w:hint="eastAsia"/>
                <w:color w:val="auto"/>
                <w:kern w:val="0"/>
                <w:sz w:val="15"/>
                <w:szCs w:val="21"/>
                <w:lang w:eastAsia="en-US" w:bidi="en-US"/>
              </w:rPr>
              <w:t>）</w:t>
            </w:r>
          </w:p>
        </w:tc>
        <w:tc>
          <w:tcPr>
            <w:tcW w:w="1749" w:type="pct"/>
            <w:tcBorders>
              <w:top w:val="single" w:color="auto" w:sz="12" w:space="0"/>
              <w:left w:val="single" w:color="auto" w:sz="4" w:space="0"/>
              <w:right w:val="single" w:color="auto" w:sz="12" w:space="0"/>
            </w:tcBorders>
            <w:shd w:val="clear" w:color="auto" w:fill="FFFFFF"/>
            <w:vAlign w:val="center"/>
          </w:tcPr>
          <w:p w14:paraId="57F8B9A4">
            <w:pPr>
              <w:autoSpaceDE w:val="0"/>
              <w:autoSpaceDN w:val="0"/>
              <w:adjustRightInd w:val="0"/>
              <w:jc w:val="center"/>
              <w:rPr>
                <w:color w:val="auto"/>
                <w:kern w:val="0"/>
                <w:sz w:val="15"/>
                <w:szCs w:val="21"/>
              </w:rPr>
            </w:pPr>
            <w:r>
              <w:rPr>
                <w:rFonts w:hint="eastAsia"/>
                <w:color w:val="auto"/>
                <w:kern w:val="0"/>
                <w:sz w:val="15"/>
                <w:szCs w:val="21"/>
              </w:rPr>
              <w:t>检验方法</w:t>
            </w:r>
          </w:p>
        </w:tc>
      </w:tr>
      <w:tr w14:paraId="1A458B7D">
        <w:tblPrEx>
          <w:tblCellMar>
            <w:top w:w="0" w:type="dxa"/>
            <w:left w:w="10" w:type="dxa"/>
            <w:bottom w:w="0" w:type="dxa"/>
            <w:right w:w="10" w:type="dxa"/>
          </w:tblCellMar>
        </w:tblPrEx>
        <w:trPr>
          <w:trHeight w:val="340" w:hRule="exact"/>
          <w:jc w:val="center"/>
        </w:trPr>
        <w:tc>
          <w:tcPr>
            <w:tcW w:w="949" w:type="pct"/>
            <w:vMerge w:val="restart"/>
            <w:tcBorders>
              <w:top w:val="single" w:color="auto" w:sz="4" w:space="0"/>
              <w:left w:val="single" w:color="auto" w:sz="12" w:space="0"/>
            </w:tcBorders>
            <w:shd w:val="clear" w:color="auto" w:fill="FFFFFF"/>
            <w:vAlign w:val="center"/>
          </w:tcPr>
          <w:p w14:paraId="773C7BAE">
            <w:pPr>
              <w:autoSpaceDE w:val="0"/>
              <w:autoSpaceDN w:val="0"/>
              <w:adjustRightInd w:val="0"/>
              <w:jc w:val="center"/>
              <w:rPr>
                <w:color w:val="auto"/>
                <w:kern w:val="0"/>
                <w:sz w:val="15"/>
                <w:szCs w:val="21"/>
              </w:rPr>
            </w:pPr>
            <w:r>
              <w:rPr>
                <w:rFonts w:hint="eastAsia"/>
                <w:color w:val="auto"/>
                <w:kern w:val="0"/>
                <w:sz w:val="15"/>
                <w:szCs w:val="21"/>
              </w:rPr>
              <w:t>模块单元轮廓线偏移</w:t>
            </w:r>
          </w:p>
        </w:tc>
        <w:tc>
          <w:tcPr>
            <w:tcW w:w="1626" w:type="pct"/>
            <w:tcBorders>
              <w:top w:val="single" w:color="auto" w:sz="4" w:space="0"/>
              <w:left w:val="single" w:color="auto" w:sz="4" w:space="0"/>
            </w:tcBorders>
            <w:shd w:val="clear" w:color="auto" w:fill="FFFFFF"/>
            <w:vAlign w:val="center"/>
          </w:tcPr>
          <w:p w14:paraId="5281844F">
            <w:pPr>
              <w:autoSpaceDE w:val="0"/>
              <w:autoSpaceDN w:val="0"/>
              <w:adjustRightInd w:val="0"/>
              <w:jc w:val="center"/>
              <w:rPr>
                <w:color w:val="auto"/>
                <w:kern w:val="0"/>
                <w:sz w:val="15"/>
                <w:szCs w:val="21"/>
              </w:rPr>
            </w:pPr>
            <w:r>
              <w:rPr>
                <w:rFonts w:hint="eastAsia"/>
                <w:color w:val="auto"/>
                <w:kern w:val="0"/>
                <w:sz w:val="15"/>
                <w:szCs w:val="21"/>
              </w:rPr>
              <w:t>横向</w:t>
            </w:r>
          </w:p>
        </w:tc>
        <w:tc>
          <w:tcPr>
            <w:tcW w:w="674" w:type="pct"/>
            <w:tcBorders>
              <w:top w:val="single" w:color="auto" w:sz="4" w:space="0"/>
              <w:left w:val="single" w:color="auto" w:sz="4" w:space="0"/>
            </w:tcBorders>
            <w:shd w:val="clear" w:color="auto" w:fill="auto"/>
            <w:vAlign w:val="center"/>
          </w:tcPr>
          <w:p w14:paraId="26C127D9">
            <w:pPr>
              <w:autoSpaceDE w:val="0"/>
              <w:autoSpaceDN w:val="0"/>
              <w:adjustRightInd w:val="0"/>
              <w:jc w:val="center"/>
              <w:rPr>
                <w:color w:val="auto"/>
                <w:kern w:val="0"/>
                <w:sz w:val="15"/>
                <w:szCs w:val="21"/>
              </w:rPr>
            </w:pPr>
            <w:r>
              <w:rPr>
                <w:rFonts w:hint="eastAsia"/>
                <w:color w:val="auto"/>
                <w:kern w:val="0"/>
                <w:sz w:val="15"/>
                <w:szCs w:val="21"/>
              </w:rPr>
              <w:t>-10，+5</w:t>
            </w:r>
          </w:p>
        </w:tc>
        <w:tc>
          <w:tcPr>
            <w:tcW w:w="1749" w:type="pct"/>
            <w:vMerge w:val="restart"/>
            <w:tcBorders>
              <w:top w:val="single" w:color="auto" w:sz="4" w:space="0"/>
              <w:left w:val="single" w:color="auto" w:sz="4" w:space="0"/>
              <w:right w:val="single" w:color="auto" w:sz="12" w:space="0"/>
            </w:tcBorders>
            <w:shd w:val="clear" w:color="auto" w:fill="FFFFFF"/>
            <w:vAlign w:val="center"/>
          </w:tcPr>
          <w:p w14:paraId="0337FE75">
            <w:pPr>
              <w:autoSpaceDE w:val="0"/>
              <w:autoSpaceDN w:val="0"/>
              <w:adjustRightInd w:val="0"/>
              <w:jc w:val="center"/>
              <w:rPr>
                <w:color w:val="auto"/>
                <w:kern w:val="0"/>
                <w:sz w:val="15"/>
                <w:szCs w:val="21"/>
              </w:rPr>
            </w:pPr>
            <w:r>
              <w:rPr>
                <w:rFonts w:hint="eastAsia"/>
                <w:color w:val="auto"/>
                <w:kern w:val="0"/>
                <w:sz w:val="15"/>
                <w:szCs w:val="21"/>
              </w:rPr>
              <w:t>尺量（轮廓线以内为负值）</w:t>
            </w:r>
          </w:p>
        </w:tc>
      </w:tr>
      <w:tr w14:paraId="299EF636">
        <w:tblPrEx>
          <w:tblCellMar>
            <w:top w:w="0" w:type="dxa"/>
            <w:left w:w="10" w:type="dxa"/>
            <w:bottom w:w="0" w:type="dxa"/>
            <w:right w:w="10" w:type="dxa"/>
          </w:tblCellMar>
        </w:tblPrEx>
        <w:trPr>
          <w:trHeight w:val="340" w:hRule="exact"/>
          <w:jc w:val="center"/>
        </w:trPr>
        <w:tc>
          <w:tcPr>
            <w:tcW w:w="949" w:type="pct"/>
            <w:vMerge w:val="continue"/>
            <w:tcBorders>
              <w:left w:val="single" w:color="auto" w:sz="12" w:space="0"/>
            </w:tcBorders>
            <w:shd w:val="clear" w:color="auto" w:fill="FFFFFF"/>
            <w:vAlign w:val="center"/>
          </w:tcPr>
          <w:p w14:paraId="0DF2774A">
            <w:pPr>
              <w:autoSpaceDE w:val="0"/>
              <w:autoSpaceDN w:val="0"/>
              <w:adjustRightInd w:val="0"/>
              <w:jc w:val="center"/>
              <w:rPr>
                <w:color w:val="auto"/>
                <w:kern w:val="0"/>
                <w:sz w:val="15"/>
                <w:szCs w:val="21"/>
              </w:rPr>
            </w:pPr>
          </w:p>
        </w:tc>
        <w:tc>
          <w:tcPr>
            <w:tcW w:w="1626" w:type="pct"/>
            <w:tcBorders>
              <w:top w:val="single" w:color="auto" w:sz="4" w:space="0"/>
              <w:left w:val="single" w:color="auto" w:sz="4" w:space="0"/>
            </w:tcBorders>
            <w:shd w:val="clear" w:color="auto" w:fill="FFFFFF"/>
            <w:vAlign w:val="center"/>
          </w:tcPr>
          <w:p w14:paraId="61CBB72B">
            <w:pPr>
              <w:autoSpaceDE w:val="0"/>
              <w:autoSpaceDN w:val="0"/>
              <w:adjustRightInd w:val="0"/>
              <w:jc w:val="center"/>
              <w:rPr>
                <w:color w:val="auto"/>
                <w:kern w:val="0"/>
                <w:sz w:val="15"/>
                <w:szCs w:val="21"/>
              </w:rPr>
            </w:pPr>
            <w:r>
              <w:rPr>
                <w:rFonts w:hint="eastAsia"/>
                <w:color w:val="auto"/>
                <w:kern w:val="0"/>
                <w:sz w:val="15"/>
                <w:szCs w:val="21"/>
              </w:rPr>
              <w:t>纵向</w:t>
            </w:r>
          </w:p>
        </w:tc>
        <w:tc>
          <w:tcPr>
            <w:tcW w:w="674" w:type="pct"/>
            <w:tcBorders>
              <w:top w:val="single" w:color="auto" w:sz="4" w:space="0"/>
              <w:left w:val="single" w:color="auto" w:sz="4" w:space="0"/>
            </w:tcBorders>
            <w:shd w:val="clear" w:color="auto" w:fill="auto"/>
            <w:vAlign w:val="center"/>
          </w:tcPr>
          <w:p w14:paraId="1E797285">
            <w:pPr>
              <w:autoSpaceDE w:val="0"/>
              <w:autoSpaceDN w:val="0"/>
              <w:adjustRightInd w:val="0"/>
              <w:jc w:val="center"/>
              <w:rPr>
                <w:color w:val="auto"/>
                <w:kern w:val="0"/>
                <w:sz w:val="15"/>
                <w:szCs w:val="21"/>
              </w:rPr>
            </w:pPr>
            <w:r>
              <w:rPr>
                <w:rFonts w:hint="eastAsia"/>
                <w:color w:val="auto"/>
                <w:kern w:val="0"/>
                <w:sz w:val="15"/>
                <w:szCs w:val="21"/>
              </w:rPr>
              <w:t>-10，+5</w:t>
            </w:r>
          </w:p>
        </w:tc>
        <w:tc>
          <w:tcPr>
            <w:tcW w:w="1749" w:type="pct"/>
            <w:vMerge w:val="continue"/>
            <w:tcBorders>
              <w:left w:val="single" w:color="auto" w:sz="4" w:space="0"/>
              <w:right w:val="single" w:color="auto" w:sz="12" w:space="0"/>
            </w:tcBorders>
            <w:shd w:val="clear" w:color="auto" w:fill="FFFFFF"/>
            <w:vAlign w:val="center"/>
          </w:tcPr>
          <w:p w14:paraId="21FAB24C">
            <w:pPr>
              <w:autoSpaceDE w:val="0"/>
              <w:autoSpaceDN w:val="0"/>
              <w:adjustRightInd w:val="0"/>
              <w:jc w:val="center"/>
              <w:rPr>
                <w:color w:val="auto"/>
                <w:kern w:val="0"/>
                <w:sz w:val="15"/>
                <w:szCs w:val="21"/>
              </w:rPr>
            </w:pPr>
          </w:p>
        </w:tc>
      </w:tr>
      <w:tr w14:paraId="165E26B1">
        <w:tblPrEx>
          <w:tblCellMar>
            <w:top w:w="0" w:type="dxa"/>
            <w:left w:w="10" w:type="dxa"/>
            <w:bottom w:w="0" w:type="dxa"/>
            <w:right w:w="10" w:type="dxa"/>
          </w:tblCellMar>
        </w:tblPrEx>
        <w:trPr>
          <w:trHeight w:val="340" w:hRule="exact"/>
          <w:jc w:val="center"/>
        </w:trPr>
        <w:tc>
          <w:tcPr>
            <w:tcW w:w="949" w:type="pct"/>
            <w:tcBorders>
              <w:top w:val="single" w:color="auto" w:sz="4" w:space="0"/>
              <w:left w:val="single" w:color="auto" w:sz="12" w:space="0"/>
            </w:tcBorders>
            <w:shd w:val="clear" w:color="auto" w:fill="FFFFFF"/>
            <w:vAlign w:val="center"/>
          </w:tcPr>
          <w:p w14:paraId="05C1A0C6">
            <w:pPr>
              <w:autoSpaceDE w:val="0"/>
              <w:autoSpaceDN w:val="0"/>
              <w:adjustRightInd w:val="0"/>
              <w:jc w:val="center"/>
              <w:rPr>
                <w:rFonts w:eastAsia="PMingLiU"/>
                <w:color w:val="auto"/>
                <w:kern w:val="0"/>
                <w:sz w:val="15"/>
                <w:szCs w:val="21"/>
              </w:rPr>
            </w:pPr>
            <w:r>
              <w:rPr>
                <w:rFonts w:hint="eastAsia"/>
                <w:color w:val="auto"/>
                <w:kern w:val="0"/>
                <w:sz w:val="15"/>
                <w:szCs w:val="21"/>
              </w:rPr>
              <w:t>模块单元标高</w:t>
            </w:r>
          </w:p>
        </w:tc>
        <w:tc>
          <w:tcPr>
            <w:tcW w:w="1626" w:type="pct"/>
            <w:tcBorders>
              <w:top w:val="single" w:color="auto" w:sz="4" w:space="0"/>
              <w:left w:val="single" w:color="auto" w:sz="4" w:space="0"/>
            </w:tcBorders>
            <w:shd w:val="clear" w:color="auto" w:fill="FFFFFF"/>
            <w:vAlign w:val="center"/>
          </w:tcPr>
          <w:p w14:paraId="192631B9">
            <w:pPr>
              <w:autoSpaceDE w:val="0"/>
              <w:autoSpaceDN w:val="0"/>
              <w:adjustRightInd w:val="0"/>
              <w:jc w:val="center"/>
              <w:rPr>
                <w:rFonts w:eastAsia="PMingLiU"/>
                <w:color w:val="auto"/>
                <w:kern w:val="0"/>
                <w:sz w:val="15"/>
                <w:szCs w:val="21"/>
              </w:rPr>
            </w:pPr>
            <w:r>
              <w:rPr>
                <w:rFonts w:hint="eastAsia"/>
                <w:color w:val="auto"/>
                <w:kern w:val="0"/>
                <w:sz w:val="15"/>
                <w:szCs w:val="21"/>
              </w:rPr>
              <w:t>模块单元底板</w:t>
            </w:r>
          </w:p>
        </w:tc>
        <w:tc>
          <w:tcPr>
            <w:tcW w:w="674" w:type="pct"/>
            <w:tcBorders>
              <w:top w:val="single" w:color="auto" w:sz="4" w:space="0"/>
              <w:left w:val="single" w:color="auto" w:sz="4" w:space="0"/>
            </w:tcBorders>
            <w:shd w:val="clear" w:color="auto" w:fill="auto"/>
            <w:vAlign w:val="center"/>
          </w:tcPr>
          <w:p w14:paraId="270EF13E">
            <w:pPr>
              <w:autoSpaceDE w:val="0"/>
              <w:autoSpaceDN w:val="0"/>
              <w:adjustRightInd w:val="0"/>
              <w:jc w:val="center"/>
              <w:rPr>
                <w:color w:val="auto"/>
                <w:kern w:val="0"/>
                <w:sz w:val="15"/>
                <w:szCs w:val="21"/>
              </w:rPr>
            </w:pPr>
            <w:r>
              <w:rPr>
                <w:rFonts w:hint="eastAsia"/>
                <w:color w:val="auto"/>
                <w:kern w:val="0"/>
                <w:sz w:val="15"/>
                <w:szCs w:val="21"/>
              </w:rPr>
              <w:t>-5</w:t>
            </w:r>
          </w:p>
        </w:tc>
        <w:tc>
          <w:tcPr>
            <w:tcW w:w="1749" w:type="pct"/>
            <w:tcBorders>
              <w:top w:val="single" w:color="auto" w:sz="4" w:space="0"/>
              <w:left w:val="single" w:color="auto" w:sz="4" w:space="0"/>
              <w:right w:val="single" w:color="auto" w:sz="12" w:space="0"/>
            </w:tcBorders>
            <w:shd w:val="clear" w:color="auto" w:fill="FFFFFF"/>
            <w:vAlign w:val="center"/>
          </w:tcPr>
          <w:p w14:paraId="4E45521E">
            <w:pPr>
              <w:autoSpaceDE w:val="0"/>
              <w:autoSpaceDN w:val="0"/>
              <w:adjustRightInd w:val="0"/>
              <w:jc w:val="center"/>
              <w:rPr>
                <w:color w:val="auto"/>
                <w:kern w:val="0"/>
                <w:sz w:val="15"/>
                <w:szCs w:val="21"/>
              </w:rPr>
            </w:pPr>
            <w:r>
              <w:rPr>
                <w:rFonts w:hint="eastAsia"/>
                <w:color w:val="auto"/>
                <w:kern w:val="0"/>
                <w:sz w:val="15"/>
                <w:szCs w:val="21"/>
              </w:rPr>
              <w:t>水准仪或拉线、尺量</w:t>
            </w:r>
          </w:p>
        </w:tc>
      </w:tr>
      <w:tr w14:paraId="2F84805F">
        <w:tblPrEx>
          <w:tblCellMar>
            <w:top w:w="0" w:type="dxa"/>
            <w:left w:w="10" w:type="dxa"/>
            <w:bottom w:w="0" w:type="dxa"/>
            <w:right w:w="10" w:type="dxa"/>
          </w:tblCellMar>
        </w:tblPrEx>
        <w:trPr>
          <w:trHeight w:val="340" w:hRule="exact"/>
          <w:jc w:val="center"/>
        </w:trPr>
        <w:tc>
          <w:tcPr>
            <w:tcW w:w="949" w:type="pct"/>
            <w:tcBorders>
              <w:top w:val="single" w:color="auto" w:sz="4" w:space="0"/>
              <w:left w:val="single" w:color="auto" w:sz="12" w:space="0"/>
            </w:tcBorders>
            <w:shd w:val="clear" w:color="auto" w:fill="FFFFFF"/>
            <w:vAlign w:val="center"/>
          </w:tcPr>
          <w:p w14:paraId="0F9B9375">
            <w:pPr>
              <w:autoSpaceDE w:val="0"/>
              <w:autoSpaceDN w:val="0"/>
              <w:adjustRightInd w:val="0"/>
              <w:jc w:val="center"/>
              <w:rPr>
                <w:color w:val="auto"/>
                <w:kern w:val="0"/>
                <w:sz w:val="15"/>
                <w:szCs w:val="21"/>
              </w:rPr>
            </w:pPr>
            <w:r>
              <w:rPr>
                <w:rFonts w:hint="eastAsia"/>
                <w:color w:val="auto"/>
                <w:kern w:val="0"/>
                <w:sz w:val="15"/>
                <w:szCs w:val="21"/>
              </w:rPr>
              <w:t>模块单元垂直度</w:t>
            </w:r>
          </w:p>
        </w:tc>
        <w:tc>
          <w:tcPr>
            <w:tcW w:w="1626" w:type="pct"/>
            <w:tcBorders>
              <w:top w:val="single" w:color="auto" w:sz="4" w:space="0"/>
              <w:left w:val="single" w:color="auto" w:sz="4" w:space="0"/>
              <w:bottom w:val="single" w:color="auto" w:sz="4" w:space="0"/>
            </w:tcBorders>
            <w:shd w:val="clear" w:color="auto" w:fill="FFFFFF"/>
            <w:vAlign w:val="center"/>
          </w:tcPr>
          <w:p w14:paraId="7D6D8FB6">
            <w:pPr>
              <w:autoSpaceDE w:val="0"/>
              <w:autoSpaceDN w:val="0"/>
              <w:adjustRightInd w:val="0"/>
              <w:jc w:val="center"/>
              <w:rPr>
                <w:color w:val="auto"/>
                <w:kern w:val="0"/>
                <w:sz w:val="15"/>
                <w:szCs w:val="21"/>
                <w:lang w:eastAsia="en-US" w:bidi="en-US"/>
              </w:rPr>
            </w:pPr>
            <w:r>
              <w:rPr>
                <w:rFonts w:hint="eastAsia"/>
                <w:color w:val="auto"/>
                <w:kern w:val="0"/>
                <w:sz w:val="15"/>
                <w:szCs w:val="21"/>
                <w:lang w:bidi="en-US"/>
              </w:rPr>
              <w:t>四周墙板</w:t>
            </w:r>
          </w:p>
        </w:tc>
        <w:tc>
          <w:tcPr>
            <w:tcW w:w="674" w:type="pct"/>
            <w:tcBorders>
              <w:top w:val="single" w:color="auto" w:sz="4" w:space="0"/>
              <w:left w:val="single" w:color="auto" w:sz="4" w:space="0"/>
            </w:tcBorders>
            <w:shd w:val="clear" w:color="auto" w:fill="auto"/>
            <w:vAlign w:val="center"/>
          </w:tcPr>
          <w:p w14:paraId="009A7E0A">
            <w:pPr>
              <w:autoSpaceDE w:val="0"/>
              <w:autoSpaceDN w:val="0"/>
              <w:adjustRightInd w:val="0"/>
              <w:jc w:val="center"/>
              <w:rPr>
                <w:color w:val="auto"/>
                <w:kern w:val="0"/>
                <w:sz w:val="15"/>
                <w:szCs w:val="21"/>
              </w:rPr>
            </w:pPr>
            <w:r>
              <w:rPr>
                <w:rFonts w:hint="eastAsia"/>
                <w:color w:val="auto"/>
                <w:kern w:val="0"/>
                <w:sz w:val="15"/>
                <w:szCs w:val="21"/>
              </w:rPr>
              <w:t>5</w:t>
            </w:r>
          </w:p>
        </w:tc>
        <w:tc>
          <w:tcPr>
            <w:tcW w:w="1749" w:type="pct"/>
            <w:tcBorders>
              <w:top w:val="single" w:color="auto" w:sz="4" w:space="0"/>
              <w:left w:val="single" w:color="auto" w:sz="4" w:space="0"/>
              <w:right w:val="single" w:color="auto" w:sz="12" w:space="0"/>
            </w:tcBorders>
            <w:shd w:val="clear" w:color="auto" w:fill="FFFFFF"/>
            <w:vAlign w:val="center"/>
          </w:tcPr>
          <w:p w14:paraId="26F588E8">
            <w:pPr>
              <w:autoSpaceDE w:val="0"/>
              <w:autoSpaceDN w:val="0"/>
              <w:adjustRightInd w:val="0"/>
              <w:jc w:val="center"/>
              <w:rPr>
                <w:color w:val="auto"/>
                <w:kern w:val="0"/>
                <w:sz w:val="15"/>
                <w:szCs w:val="21"/>
              </w:rPr>
            </w:pPr>
            <w:r>
              <w:rPr>
                <w:rFonts w:hint="eastAsia"/>
                <w:color w:val="auto"/>
                <w:kern w:val="0"/>
                <w:sz w:val="15"/>
                <w:szCs w:val="21"/>
              </w:rPr>
              <w:t>激光水平仪或吊线、尺量</w:t>
            </w:r>
          </w:p>
        </w:tc>
      </w:tr>
      <w:tr w14:paraId="249D5B3B">
        <w:tblPrEx>
          <w:tblCellMar>
            <w:top w:w="0" w:type="dxa"/>
            <w:left w:w="10" w:type="dxa"/>
            <w:bottom w:w="0" w:type="dxa"/>
            <w:right w:w="10" w:type="dxa"/>
          </w:tblCellMar>
        </w:tblPrEx>
        <w:trPr>
          <w:trHeight w:val="340" w:hRule="exact"/>
          <w:jc w:val="center"/>
        </w:trPr>
        <w:tc>
          <w:tcPr>
            <w:tcW w:w="949" w:type="pct"/>
            <w:tcBorders>
              <w:top w:val="single" w:color="auto" w:sz="4" w:space="0"/>
              <w:left w:val="single" w:color="auto" w:sz="12" w:space="0"/>
              <w:bottom w:val="single" w:color="auto" w:sz="4" w:space="0"/>
            </w:tcBorders>
            <w:shd w:val="clear" w:color="auto" w:fill="FFFFFF"/>
            <w:vAlign w:val="center"/>
          </w:tcPr>
          <w:p w14:paraId="6DB516F1">
            <w:pPr>
              <w:autoSpaceDE w:val="0"/>
              <w:autoSpaceDN w:val="0"/>
              <w:adjustRightInd w:val="0"/>
              <w:jc w:val="center"/>
              <w:rPr>
                <w:color w:val="auto"/>
                <w:kern w:val="0"/>
                <w:sz w:val="15"/>
                <w:szCs w:val="21"/>
              </w:rPr>
            </w:pPr>
            <w:r>
              <w:rPr>
                <w:rFonts w:hint="eastAsia"/>
                <w:color w:val="auto"/>
                <w:kern w:val="0"/>
                <w:sz w:val="15"/>
                <w:szCs w:val="21"/>
              </w:rPr>
              <w:t>模块单元底部水平度</w:t>
            </w:r>
          </w:p>
        </w:tc>
        <w:tc>
          <w:tcPr>
            <w:tcW w:w="1626" w:type="pct"/>
            <w:tcBorders>
              <w:top w:val="single" w:color="auto" w:sz="4" w:space="0"/>
              <w:left w:val="single" w:color="auto" w:sz="4" w:space="0"/>
              <w:bottom w:val="single" w:color="auto" w:sz="4" w:space="0"/>
            </w:tcBorders>
            <w:shd w:val="clear" w:color="auto" w:fill="FFFFFF"/>
            <w:vAlign w:val="center"/>
          </w:tcPr>
          <w:p w14:paraId="29D66E69">
            <w:pPr>
              <w:autoSpaceDE w:val="0"/>
              <w:autoSpaceDN w:val="0"/>
              <w:adjustRightInd w:val="0"/>
              <w:jc w:val="center"/>
              <w:rPr>
                <w:color w:val="auto"/>
                <w:kern w:val="0"/>
                <w:sz w:val="15"/>
                <w:szCs w:val="21"/>
              </w:rPr>
            </w:pPr>
            <w:r>
              <w:rPr>
                <w:rFonts w:hint="eastAsia"/>
                <w:color w:val="auto"/>
                <w:kern w:val="0"/>
                <w:sz w:val="15"/>
                <w:szCs w:val="21"/>
              </w:rPr>
              <w:t>底板上表面</w:t>
            </w:r>
          </w:p>
        </w:tc>
        <w:tc>
          <w:tcPr>
            <w:tcW w:w="674" w:type="pct"/>
            <w:tcBorders>
              <w:top w:val="single" w:color="auto" w:sz="4" w:space="0"/>
              <w:left w:val="single" w:color="auto" w:sz="4" w:space="0"/>
              <w:bottom w:val="single" w:color="auto" w:sz="4" w:space="0"/>
            </w:tcBorders>
            <w:shd w:val="clear" w:color="auto" w:fill="auto"/>
            <w:vAlign w:val="center"/>
          </w:tcPr>
          <w:p w14:paraId="57357899">
            <w:pPr>
              <w:autoSpaceDE w:val="0"/>
              <w:autoSpaceDN w:val="0"/>
              <w:adjustRightInd w:val="0"/>
              <w:jc w:val="center"/>
              <w:rPr>
                <w:color w:val="auto"/>
                <w:kern w:val="0"/>
                <w:sz w:val="15"/>
                <w:szCs w:val="21"/>
              </w:rPr>
            </w:pPr>
            <w:r>
              <w:rPr>
                <w:rFonts w:eastAsia="Times New Roman"/>
                <w:color w:val="auto"/>
                <w:kern w:val="0"/>
                <w:sz w:val="15"/>
                <w:szCs w:val="21"/>
              </w:rPr>
              <w:t>5</w:t>
            </w:r>
          </w:p>
        </w:tc>
        <w:tc>
          <w:tcPr>
            <w:tcW w:w="1749" w:type="pct"/>
            <w:tcBorders>
              <w:top w:val="single" w:color="auto" w:sz="4" w:space="0"/>
              <w:left w:val="single" w:color="auto" w:sz="4" w:space="0"/>
              <w:bottom w:val="single" w:color="auto" w:sz="4" w:space="0"/>
              <w:right w:val="single" w:color="auto" w:sz="12" w:space="0"/>
            </w:tcBorders>
            <w:shd w:val="clear" w:color="auto" w:fill="FFFFFF"/>
            <w:vAlign w:val="center"/>
          </w:tcPr>
          <w:p w14:paraId="0A15C742">
            <w:pPr>
              <w:autoSpaceDE w:val="0"/>
              <w:autoSpaceDN w:val="0"/>
              <w:adjustRightInd w:val="0"/>
              <w:jc w:val="center"/>
              <w:rPr>
                <w:color w:val="auto"/>
                <w:kern w:val="0"/>
                <w:sz w:val="15"/>
                <w:szCs w:val="21"/>
              </w:rPr>
            </w:pPr>
            <w:r>
              <w:rPr>
                <w:rFonts w:hint="eastAsia"/>
                <w:color w:val="auto"/>
                <w:kern w:val="0"/>
                <w:sz w:val="15"/>
                <w:szCs w:val="21"/>
              </w:rPr>
              <w:t>激光水平仪或拉线、尺量</w:t>
            </w:r>
          </w:p>
        </w:tc>
      </w:tr>
      <w:tr w14:paraId="4B538849">
        <w:tblPrEx>
          <w:tblCellMar>
            <w:top w:w="0" w:type="dxa"/>
            <w:left w:w="10" w:type="dxa"/>
            <w:bottom w:w="0" w:type="dxa"/>
            <w:right w:w="10" w:type="dxa"/>
          </w:tblCellMar>
        </w:tblPrEx>
        <w:trPr>
          <w:trHeight w:val="340" w:hRule="exact"/>
          <w:jc w:val="center"/>
        </w:trPr>
        <w:tc>
          <w:tcPr>
            <w:tcW w:w="949" w:type="pct"/>
            <w:tcBorders>
              <w:top w:val="single" w:color="auto" w:sz="4" w:space="0"/>
              <w:left w:val="single" w:color="auto" w:sz="12" w:space="0"/>
              <w:bottom w:val="single" w:color="auto" w:sz="4" w:space="0"/>
            </w:tcBorders>
            <w:shd w:val="clear" w:color="auto" w:fill="FFFFFF"/>
            <w:vAlign w:val="center"/>
          </w:tcPr>
          <w:p w14:paraId="46984939">
            <w:pPr>
              <w:autoSpaceDE w:val="0"/>
              <w:autoSpaceDN w:val="0"/>
              <w:adjustRightInd w:val="0"/>
              <w:jc w:val="center"/>
              <w:rPr>
                <w:color w:val="auto"/>
                <w:kern w:val="0"/>
                <w:sz w:val="15"/>
                <w:szCs w:val="21"/>
              </w:rPr>
            </w:pPr>
            <w:r>
              <w:rPr>
                <w:rFonts w:hint="eastAsia"/>
                <w:color w:val="auto"/>
                <w:kern w:val="0"/>
                <w:sz w:val="15"/>
                <w:szCs w:val="21"/>
              </w:rPr>
              <w:t>模块单元间竖向偏差</w:t>
            </w:r>
          </w:p>
        </w:tc>
        <w:tc>
          <w:tcPr>
            <w:tcW w:w="1626" w:type="pct"/>
            <w:tcBorders>
              <w:top w:val="single" w:color="auto" w:sz="4" w:space="0"/>
              <w:left w:val="single" w:color="auto" w:sz="4" w:space="0"/>
              <w:bottom w:val="single" w:color="auto" w:sz="4" w:space="0"/>
            </w:tcBorders>
            <w:shd w:val="clear" w:color="auto" w:fill="FFFFFF"/>
            <w:vAlign w:val="center"/>
          </w:tcPr>
          <w:p w14:paraId="29C55D5B">
            <w:pPr>
              <w:autoSpaceDE w:val="0"/>
              <w:autoSpaceDN w:val="0"/>
              <w:adjustRightInd w:val="0"/>
              <w:jc w:val="center"/>
              <w:rPr>
                <w:color w:val="auto"/>
                <w:kern w:val="0"/>
                <w:sz w:val="15"/>
                <w:szCs w:val="21"/>
              </w:rPr>
            </w:pPr>
            <w:r>
              <w:rPr>
                <w:rFonts w:hint="eastAsia"/>
                <w:color w:val="auto"/>
                <w:kern w:val="0"/>
                <w:sz w:val="15"/>
                <w:szCs w:val="21"/>
              </w:rPr>
              <w:t>模块单元顶板</w:t>
            </w:r>
          </w:p>
        </w:tc>
        <w:tc>
          <w:tcPr>
            <w:tcW w:w="674" w:type="pct"/>
            <w:tcBorders>
              <w:top w:val="single" w:color="auto" w:sz="4" w:space="0"/>
              <w:left w:val="single" w:color="auto" w:sz="4" w:space="0"/>
              <w:bottom w:val="single" w:color="auto" w:sz="4" w:space="0"/>
            </w:tcBorders>
            <w:shd w:val="clear" w:color="auto" w:fill="auto"/>
            <w:vAlign w:val="center"/>
          </w:tcPr>
          <w:p w14:paraId="0EF059B1">
            <w:pPr>
              <w:autoSpaceDE w:val="0"/>
              <w:autoSpaceDN w:val="0"/>
              <w:adjustRightInd w:val="0"/>
              <w:jc w:val="center"/>
              <w:rPr>
                <w:color w:val="auto"/>
                <w:kern w:val="0"/>
                <w:sz w:val="15"/>
                <w:szCs w:val="21"/>
              </w:rPr>
            </w:pPr>
            <w:r>
              <w:rPr>
                <w:rFonts w:hint="eastAsia"/>
                <w:color w:val="auto"/>
                <w:kern w:val="0"/>
                <w:sz w:val="15"/>
                <w:szCs w:val="21"/>
              </w:rPr>
              <w:t>±3</w:t>
            </w:r>
          </w:p>
        </w:tc>
        <w:tc>
          <w:tcPr>
            <w:tcW w:w="1749" w:type="pct"/>
            <w:tcBorders>
              <w:top w:val="single" w:color="auto" w:sz="4" w:space="0"/>
              <w:left w:val="single" w:color="auto" w:sz="4" w:space="0"/>
              <w:bottom w:val="single" w:color="auto" w:sz="4" w:space="0"/>
              <w:right w:val="single" w:color="auto" w:sz="12" w:space="0"/>
            </w:tcBorders>
            <w:shd w:val="clear" w:color="auto" w:fill="FFFFFF"/>
            <w:vAlign w:val="center"/>
          </w:tcPr>
          <w:p w14:paraId="4D383E29">
            <w:pPr>
              <w:autoSpaceDE w:val="0"/>
              <w:autoSpaceDN w:val="0"/>
              <w:adjustRightInd w:val="0"/>
              <w:jc w:val="center"/>
              <w:rPr>
                <w:color w:val="auto"/>
                <w:kern w:val="0"/>
                <w:sz w:val="15"/>
                <w:szCs w:val="21"/>
              </w:rPr>
            </w:pPr>
            <w:r>
              <w:rPr>
                <w:rFonts w:hint="eastAsia"/>
                <w:color w:val="auto"/>
                <w:kern w:val="0"/>
                <w:sz w:val="15"/>
                <w:szCs w:val="21"/>
              </w:rPr>
              <w:t>水准仪或拉线、尺量</w:t>
            </w:r>
          </w:p>
        </w:tc>
      </w:tr>
      <w:tr w14:paraId="7CDE74F2">
        <w:tblPrEx>
          <w:tblCellMar>
            <w:top w:w="0" w:type="dxa"/>
            <w:left w:w="10" w:type="dxa"/>
            <w:bottom w:w="0" w:type="dxa"/>
            <w:right w:w="10" w:type="dxa"/>
          </w:tblCellMar>
        </w:tblPrEx>
        <w:trPr>
          <w:trHeight w:val="340" w:hRule="exact"/>
          <w:jc w:val="center"/>
        </w:trPr>
        <w:tc>
          <w:tcPr>
            <w:tcW w:w="949" w:type="pct"/>
            <w:tcBorders>
              <w:top w:val="single" w:color="auto" w:sz="4" w:space="0"/>
              <w:left w:val="single" w:color="auto" w:sz="12" w:space="0"/>
              <w:bottom w:val="single" w:color="auto" w:sz="12" w:space="0"/>
            </w:tcBorders>
            <w:shd w:val="clear" w:color="auto" w:fill="FFFFFF"/>
            <w:vAlign w:val="center"/>
          </w:tcPr>
          <w:p w14:paraId="590194A0">
            <w:pPr>
              <w:autoSpaceDE w:val="0"/>
              <w:autoSpaceDN w:val="0"/>
              <w:adjustRightInd w:val="0"/>
              <w:jc w:val="center"/>
              <w:rPr>
                <w:color w:val="auto"/>
                <w:kern w:val="0"/>
                <w:sz w:val="15"/>
                <w:szCs w:val="21"/>
              </w:rPr>
            </w:pPr>
            <w:r>
              <w:rPr>
                <w:rFonts w:hint="eastAsia"/>
                <w:color w:val="auto"/>
                <w:kern w:val="0"/>
                <w:sz w:val="15"/>
                <w:szCs w:val="21"/>
              </w:rPr>
              <w:t>模块单元间水平偏差</w:t>
            </w:r>
          </w:p>
        </w:tc>
        <w:tc>
          <w:tcPr>
            <w:tcW w:w="1626" w:type="pct"/>
            <w:tcBorders>
              <w:top w:val="single" w:color="auto" w:sz="4" w:space="0"/>
              <w:left w:val="single" w:color="auto" w:sz="4" w:space="0"/>
              <w:bottom w:val="single" w:color="auto" w:sz="12" w:space="0"/>
            </w:tcBorders>
            <w:shd w:val="clear" w:color="auto" w:fill="FFFFFF"/>
            <w:vAlign w:val="center"/>
          </w:tcPr>
          <w:p w14:paraId="6017EACF">
            <w:pPr>
              <w:autoSpaceDE w:val="0"/>
              <w:autoSpaceDN w:val="0"/>
              <w:adjustRightInd w:val="0"/>
              <w:jc w:val="center"/>
              <w:rPr>
                <w:color w:val="auto"/>
                <w:kern w:val="0"/>
                <w:sz w:val="15"/>
                <w:szCs w:val="21"/>
              </w:rPr>
            </w:pPr>
            <w:r>
              <w:rPr>
                <w:rFonts w:hint="eastAsia"/>
                <w:color w:val="auto"/>
                <w:kern w:val="0"/>
                <w:sz w:val="15"/>
                <w:szCs w:val="21"/>
              </w:rPr>
              <w:t>模块单元侧边</w:t>
            </w:r>
          </w:p>
        </w:tc>
        <w:tc>
          <w:tcPr>
            <w:tcW w:w="674" w:type="pct"/>
            <w:tcBorders>
              <w:top w:val="single" w:color="auto" w:sz="4" w:space="0"/>
              <w:left w:val="single" w:color="auto" w:sz="4" w:space="0"/>
              <w:bottom w:val="single" w:color="auto" w:sz="12" w:space="0"/>
            </w:tcBorders>
            <w:shd w:val="clear" w:color="auto" w:fill="auto"/>
            <w:vAlign w:val="center"/>
          </w:tcPr>
          <w:p w14:paraId="18AD7798">
            <w:pPr>
              <w:autoSpaceDE w:val="0"/>
              <w:autoSpaceDN w:val="0"/>
              <w:adjustRightInd w:val="0"/>
              <w:jc w:val="center"/>
              <w:rPr>
                <w:color w:val="auto"/>
                <w:kern w:val="0"/>
                <w:sz w:val="15"/>
                <w:szCs w:val="21"/>
              </w:rPr>
            </w:pPr>
            <w:r>
              <w:rPr>
                <w:rFonts w:hint="eastAsia"/>
                <w:color w:val="auto"/>
                <w:kern w:val="0"/>
                <w:sz w:val="15"/>
                <w:szCs w:val="21"/>
              </w:rPr>
              <w:t>±3</w:t>
            </w:r>
          </w:p>
        </w:tc>
        <w:tc>
          <w:tcPr>
            <w:tcW w:w="1749" w:type="pct"/>
            <w:tcBorders>
              <w:top w:val="single" w:color="auto" w:sz="4" w:space="0"/>
              <w:left w:val="single" w:color="auto" w:sz="4" w:space="0"/>
              <w:bottom w:val="single" w:color="auto" w:sz="12" w:space="0"/>
              <w:right w:val="single" w:color="auto" w:sz="12" w:space="0"/>
            </w:tcBorders>
            <w:shd w:val="clear" w:color="auto" w:fill="FFFFFF"/>
            <w:vAlign w:val="center"/>
          </w:tcPr>
          <w:p w14:paraId="0B81E48C">
            <w:pPr>
              <w:autoSpaceDE w:val="0"/>
              <w:autoSpaceDN w:val="0"/>
              <w:adjustRightInd w:val="0"/>
              <w:jc w:val="center"/>
              <w:rPr>
                <w:color w:val="auto"/>
                <w:kern w:val="0"/>
                <w:sz w:val="15"/>
                <w:szCs w:val="21"/>
              </w:rPr>
            </w:pPr>
            <w:r>
              <w:rPr>
                <w:rFonts w:hint="eastAsia"/>
                <w:color w:val="auto"/>
                <w:kern w:val="0"/>
                <w:sz w:val="15"/>
                <w:szCs w:val="21"/>
              </w:rPr>
              <w:t>水准仪或拉线、尺量</w:t>
            </w:r>
          </w:p>
        </w:tc>
      </w:tr>
    </w:tbl>
    <w:p w14:paraId="17FCB0EB">
      <w:pPr>
        <w:numPr>
          <w:ilvl w:val="0"/>
          <w:numId w:val="36"/>
        </w:numPr>
        <w:spacing w:line="312" w:lineRule="auto"/>
        <w:rPr>
          <w:color w:val="auto"/>
        </w:rPr>
      </w:pPr>
      <w:r>
        <w:rPr>
          <w:rFonts w:hint="eastAsia"/>
          <w:color w:val="auto"/>
        </w:rPr>
        <w:t>模块单元安装过程中，应采取必要的成品保护措施。</w:t>
      </w:r>
    </w:p>
    <w:p w14:paraId="5DA70711">
      <w:pPr>
        <w:numPr>
          <w:ilvl w:val="255"/>
          <w:numId w:val="0"/>
        </w:numPr>
        <w:tabs>
          <w:tab w:val="left" w:pos="0"/>
        </w:tabs>
        <w:spacing w:line="312" w:lineRule="auto"/>
        <w:ind w:firstLine="420" w:firstLineChars="200"/>
        <w:rPr>
          <w:rFonts w:eastAsia="楷体"/>
          <w:color w:val="auto"/>
          <w:szCs w:val="21"/>
        </w:rPr>
      </w:pPr>
      <w:r>
        <w:rPr>
          <w:rFonts w:hint="eastAsia" w:ascii="楷体" w:hAnsi="楷体" w:eastAsia="楷体" w:cs="楷体"/>
          <w:color w:val="auto"/>
          <w:szCs w:val="21"/>
        </w:rPr>
        <w:t>【条文说明】模块单元在安装过程中应采取相应的成品保护措施，主要包括</w:t>
      </w:r>
      <w:r>
        <w:rPr>
          <w:rFonts w:eastAsia="楷体"/>
          <w:color w:val="auto"/>
          <w:szCs w:val="21"/>
        </w:rPr>
        <w:t>模块单元进行临时防水处理</w:t>
      </w:r>
      <w:r>
        <w:rPr>
          <w:rFonts w:hint="eastAsia" w:eastAsia="楷体"/>
          <w:color w:val="auto"/>
          <w:szCs w:val="21"/>
        </w:rPr>
        <w:t>、</w:t>
      </w:r>
      <w:r>
        <w:rPr>
          <w:rFonts w:eastAsia="楷体"/>
          <w:color w:val="auto"/>
          <w:szCs w:val="21"/>
        </w:rPr>
        <w:t>预留管线的孔洞进行临时封堵</w:t>
      </w:r>
      <w:r>
        <w:rPr>
          <w:rFonts w:hint="eastAsia" w:eastAsia="楷体"/>
          <w:color w:val="auto"/>
          <w:szCs w:val="21"/>
        </w:rPr>
        <w:t>，</w:t>
      </w:r>
      <w:r>
        <w:rPr>
          <w:rFonts w:eastAsia="楷体"/>
          <w:color w:val="auto"/>
          <w:szCs w:val="21"/>
        </w:rPr>
        <w:t>接缝、后浇接触面等位置的防水处理</w:t>
      </w:r>
      <w:r>
        <w:rPr>
          <w:rFonts w:hint="eastAsia" w:eastAsia="楷体"/>
          <w:color w:val="auto"/>
          <w:szCs w:val="21"/>
        </w:rPr>
        <w:t>以及</w:t>
      </w:r>
      <w:r>
        <w:rPr>
          <w:rFonts w:eastAsia="楷体"/>
          <w:color w:val="auto"/>
          <w:szCs w:val="21"/>
        </w:rPr>
        <w:t>模块单元顶部、门窗、洞口处可设置防雨布</w:t>
      </w:r>
      <w:r>
        <w:rPr>
          <w:rFonts w:hint="eastAsia" w:eastAsia="楷体"/>
          <w:color w:val="auto"/>
          <w:szCs w:val="21"/>
        </w:rPr>
        <w:t>等措施</w:t>
      </w:r>
    </w:p>
    <w:p w14:paraId="20CC9B8C">
      <w:pPr>
        <w:pStyle w:val="3"/>
        <w:rPr>
          <w:color w:val="auto"/>
        </w:rPr>
      </w:pPr>
      <w:bookmarkStart w:id="418" w:name="_Toc431"/>
      <w:bookmarkStart w:id="419" w:name="_Toc664"/>
      <w:bookmarkStart w:id="420" w:name="_Toc816"/>
      <w:bookmarkStart w:id="421" w:name="_Toc12561"/>
      <w:bookmarkStart w:id="422" w:name="_Toc6414"/>
      <w:bookmarkStart w:id="423" w:name="_Toc20058"/>
      <w:bookmarkStart w:id="424" w:name="_Toc3051"/>
      <w:bookmarkStart w:id="425" w:name="_Toc7439"/>
      <w:bookmarkStart w:id="426" w:name="_Toc26910"/>
      <w:r>
        <w:rPr>
          <w:b/>
          <w:bCs w:val="0"/>
          <w:color w:val="auto"/>
        </w:rPr>
        <w:t>10</w:t>
      </w:r>
      <w:r>
        <w:rPr>
          <w:rFonts w:hint="eastAsia"/>
          <w:b/>
          <w:bCs w:val="0"/>
          <w:color w:val="auto"/>
        </w:rPr>
        <w:t>.</w:t>
      </w:r>
      <w:r>
        <w:rPr>
          <w:b/>
          <w:bCs w:val="0"/>
          <w:color w:val="auto"/>
        </w:rPr>
        <w:t>4</w:t>
      </w:r>
      <w:r>
        <w:rPr>
          <w:rFonts w:hint="eastAsia"/>
          <w:color w:val="auto"/>
        </w:rPr>
        <w:t xml:space="preserve">  模块单元连接</w:t>
      </w:r>
      <w:bookmarkEnd w:id="418"/>
      <w:bookmarkEnd w:id="419"/>
      <w:bookmarkEnd w:id="420"/>
      <w:bookmarkEnd w:id="421"/>
      <w:bookmarkEnd w:id="422"/>
      <w:bookmarkEnd w:id="423"/>
      <w:bookmarkEnd w:id="424"/>
      <w:bookmarkEnd w:id="425"/>
      <w:bookmarkEnd w:id="426"/>
    </w:p>
    <w:p w14:paraId="2363A12C">
      <w:pPr>
        <w:pStyle w:val="5"/>
        <w:rPr>
          <w:rFonts w:eastAsia="仿宋" w:cs="Times New Roman"/>
          <w:color w:val="auto"/>
        </w:rPr>
      </w:pPr>
      <w:r>
        <w:rPr>
          <w:rFonts w:eastAsia="仿宋" w:cs="Times New Roman"/>
          <w:color w:val="auto"/>
        </w:rPr>
        <w:t>（Ⅰ）结构连接</w:t>
      </w:r>
    </w:p>
    <w:p w14:paraId="6D25977C">
      <w:pPr>
        <w:numPr>
          <w:ilvl w:val="0"/>
          <w:numId w:val="37"/>
        </w:numPr>
        <w:spacing w:line="312" w:lineRule="auto"/>
        <w:rPr>
          <w:color w:val="auto"/>
        </w:rPr>
      </w:pPr>
      <w:r>
        <w:rPr>
          <w:rFonts w:hint="eastAsia"/>
          <w:color w:val="auto"/>
        </w:rPr>
        <w:t>模板工程、钢筋工程、混凝土工程除符合本标准规定外，尚应符合国家现行标准《混凝土结构工程施工规范》GB 50666和《钢筋套筒灌浆连接应用技术规程》JGJ 355等的规定。当采用自密实混凝土时，应符合现行行业标准《自密实混凝土应用技术规程》JGJ/T 283的规定。</w:t>
      </w:r>
    </w:p>
    <w:p w14:paraId="6F4C8D55">
      <w:pPr>
        <w:numPr>
          <w:ilvl w:val="0"/>
          <w:numId w:val="37"/>
        </w:numPr>
        <w:spacing w:line="312" w:lineRule="auto"/>
        <w:rPr>
          <w:color w:val="auto"/>
        </w:rPr>
      </w:pPr>
      <w:r>
        <w:rPr>
          <w:rFonts w:hint="eastAsia"/>
          <w:color w:val="auto"/>
        </w:rPr>
        <w:t>模块单元采用后浇混凝土连接时，应符合下列规定：</w:t>
      </w:r>
    </w:p>
    <w:p w14:paraId="25E6F6D6">
      <w:pPr>
        <w:tabs>
          <w:tab w:val="left" w:pos="0"/>
        </w:tabs>
        <w:spacing w:line="312" w:lineRule="auto"/>
        <w:ind w:firstLine="422" w:firstLineChars="200"/>
        <w:rPr>
          <w:b/>
          <w:bCs/>
          <w:color w:val="auto"/>
          <w:kern w:val="0"/>
          <w:lang w:bidi="en-US"/>
        </w:rPr>
      </w:pPr>
      <w:r>
        <w:rPr>
          <w:rFonts w:hint="eastAsia"/>
          <w:b/>
          <w:bCs/>
          <w:color w:val="auto"/>
          <w:kern w:val="0"/>
          <w:lang w:bidi="en-US"/>
        </w:rPr>
        <w:t>1</w:t>
      </w:r>
      <w:r>
        <w:rPr>
          <w:rFonts w:eastAsia="Times New Roman"/>
          <w:color w:val="auto"/>
          <w:kern w:val="0"/>
          <w:lang w:bidi="en-US"/>
        </w:rPr>
        <w:t xml:space="preserve">  后浇混凝土部分的模板与支架宜</w:t>
      </w:r>
      <w:r>
        <w:rPr>
          <w:rFonts w:hint="eastAsia"/>
          <w:color w:val="auto"/>
          <w:kern w:val="0"/>
          <w:lang w:bidi="en-US"/>
        </w:rPr>
        <w:t>采用</w:t>
      </w:r>
      <w:r>
        <w:rPr>
          <w:rFonts w:eastAsia="Times New Roman"/>
          <w:color w:val="auto"/>
          <w:kern w:val="0"/>
          <w:lang w:bidi="en-US"/>
        </w:rPr>
        <w:t>工具式支架和定型模板</w:t>
      </w:r>
      <w:r>
        <w:rPr>
          <w:rFonts w:hint="eastAsia"/>
          <w:color w:val="auto"/>
          <w:kern w:val="0"/>
          <w:lang w:bidi="en-US"/>
        </w:rPr>
        <w:t>，</w:t>
      </w:r>
      <w:r>
        <w:rPr>
          <w:rFonts w:eastAsia="Times New Roman"/>
          <w:color w:val="auto"/>
          <w:kern w:val="0"/>
          <w:lang w:bidi="en-US"/>
        </w:rPr>
        <w:t>模板应保证后浇混凝土部分形状、尺寸和位置准确</w:t>
      </w:r>
      <w:r>
        <w:rPr>
          <w:rFonts w:hint="eastAsia"/>
          <w:color w:val="auto"/>
          <w:kern w:val="0"/>
          <w:lang w:bidi="en-US"/>
        </w:rPr>
        <w:t>，且</w:t>
      </w:r>
      <w:r>
        <w:rPr>
          <w:rFonts w:eastAsia="Times New Roman"/>
          <w:color w:val="auto"/>
          <w:kern w:val="0"/>
          <w:lang w:bidi="en-US"/>
        </w:rPr>
        <w:t>模板与</w:t>
      </w:r>
      <w:r>
        <w:rPr>
          <w:rFonts w:hint="eastAsia"/>
          <w:color w:val="auto"/>
          <w:kern w:val="0"/>
          <w:lang w:bidi="en-US"/>
        </w:rPr>
        <w:t>模块</w:t>
      </w:r>
      <w:r>
        <w:rPr>
          <w:rFonts w:eastAsia="Times New Roman"/>
          <w:color w:val="auto"/>
          <w:kern w:val="0"/>
          <w:lang w:bidi="en-US"/>
        </w:rPr>
        <w:t>单元接缝处应</w:t>
      </w:r>
      <w:r>
        <w:rPr>
          <w:rFonts w:hint="eastAsia"/>
          <w:color w:val="auto"/>
          <w:kern w:val="0"/>
          <w:lang w:bidi="en-US"/>
        </w:rPr>
        <w:t>采取</w:t>
      </w:r>
      <w:r>
        <w:rPr>
          <w:rFonts w:eastAsia="Times New Roman"/>
          <w:color w:val="auto"/>
          <w:kern w:val="0"/>
          <w:lang w:bidi="en-US"/>
        </w:rPr>
        <w:t>防止漏浆的措施</w:t>
      </w:r>
      <w:r>
        <w:rPr>
          <w:rFonts w:hint="eastAsia"/>
          <w:color w:val="auto"/>
          <w:kern w:val="0"/>
          <w:lang w:bidi="en-US"/>
        </w:rPr>
        <w:t>；</w:t>
      </w:r>
    </w:p>
    <w:p w14:paraId="54A1A624">
      <w:pPr>
        <w:tabs>
          <w:tab w:val="left" w:pos="0"/>
        </w:tabs>
        <w:spacing w:line="312" w:lineRule="auto"/>
        <w:ind w:firstLine="422" w:firstLineChars="200"/>
        <w:rPr>
          <w:rFonts w:eastAsia="Times New Roman"/>
          <w:b/>
          <w:bCs/>
          <w:color w:val="auto"/>
          <w:kern w:val="0"/>
          <w:lang w:bidi="en-US"/>
        </w:rPr>
      </w:pPr>
      <w:r>
        <w:rPr>
          <w:rFonts w:hint="eastAsia"/>
          <w:b/>
          <w:bCs/>
          <w:color w:val="auto"/>
          <w:kern w:val="0"/>
          <w:lang w:bidi="en-US"/>
        </w:rPr>
        <w:t>2</w:t>
      </w:r>
      <w:r>
        <w:rPr>
          <w:rFonts w:eastAsia="Times New Roman"/>
          <w:b/>
          <w:bCs/>
          <w:color w:val="auto"/>
          <w:kern w:val="0"/>
          <w:lang w:bidi="en-US"/>
        </w:rPr>
        <w:t xml:space="preserve"> </w:t>
      </w:r>
      <w:r>
        <w:rPr>
          <w:rFonts w:hint="eastAsia"/>
          <w:b/>
          <w:bCs/>
          <w:color w:val="auto"/>
          <w:kern w:val="0"/>
          <w:lang w:bidi="en-US"/>
        </w:rPr>
        <w:t xml:space="preserve"> </w:t>
      </w:r>
      <w:r>
        <w:rPr>
          <w:rFonts w:eastAsia="Times New Roman"/>
          <w:color w:val="auto"/>
          <w:kern w:val="0"/>
          <w:lang w:bidi="en-US"/>
        </w:rPr>
        <w:t>楼板连接节点连接钢筋绑扎前，模块单元之间空隙</w:t>
      </w:r>
      <w:r>
        <w:rPr>
          <w:rFonts w:hint="eastAsia"/>
          <w:color w:val="auto"/>
          <w:kern w:val="0"/>
          <w:lang w:bidi="en-US"/>
        </w:rPr>
        <w:t>应进行封堵；</w:t>
      </w:r>
      <w:r>
        <w:rPr>
          <w:rFonts w:eastAsia="Times New Roman"/>
          <w:color w:val="auto"/>
          <w:kern w:val="0"/>
          <w:lang w:bidi="en-US"/>
        </w:rPr>
        <w:t>楼板处连接钢筋应满足图纸设计要求</w:t>
      </w:r>
      <w:r>
        <w:rPr>
          <w:rFonts w:hint="eastAsia"/>
          <w:color w:val="auto"/>
          <w:kern w:val="0"/>
          <w:lang w:bidi="en-US"/>
        </w:rPr>
        <w:t>，</w:t>
      </w:r>
      <w:r>
        <w:rPr>
          <w:rFonts w:eastAsia="Times New Roman"/>
          <w:color w:val="auto"/>
          <w:kern w:val="0"/>
          <w:lang w:bidi="en-US"/>
        </w:rPr>
        <w:t>并做好</w:t>
      </w:r>
      <w:r>
        <w:rPr>
          <w:rFonts w:hint="eastAsia"/>
          <w:color w:val="auto"/>
          <w:kern w:val="0"/>
          <w:lang w:bidi="en-US"/>
        </w:rPr>
        <w:t>隐蔽</w:t>
      </w:r>
      <w:r>
        <w:rPr>
          <w:rFonts w:eastAsia="Times New Roman"/>
          <w:color w:val="auto"/>
          <w:kern w:val="0"/>
          <w:lang w:bidi="en-US"/>
        </w:rPr>
        <w:t>验收；</w:t>
      </w:r>
    </w:p>
    <w:p w14:paraId="1764B118">
      <w:pPr>
        <w:tabs>
          <w:tab w:val="left" w:pos="0"/>
        </w:tabs>
        <w:spacing w:line="312" w:lineRule="auto"/>
        <w:ind w:firstLine="422" w:firstLineChars="200"/>
        <w:rPr>
          <w:rFonts w:eastAsia="Times New Roman"/>
          <w:color w:val="auto"/>
          <w:kern w:val="0"/>
          <w:lang w:bidi="en-US"/>
        </w:rPr>
      </w:pPr>
      <w:r>
        <w:rPr>
          <w:rFonts w:hint="eastAsia"/>
          <w:b/>
          <w:bCs/>
          <w:color w:val="auto"/>
          <w:kern w:val="0"/>
          <w:lang w:bidi="en-US"/>
        </w:rPr>
        <w:t xml:space="preserve">3  </w:t>
      </w:r>
      <w:r>
        <w:rPr>
          <w:rFonts w:hint="eastAsia" w:eastAsia="Times New Roman"/>
          <w:color w:val="auto"/>
          <w:kern w:val="0"/>
          <w:lang w:bidi="en-US"/>
        </w:rPr>
        <w:t>模块单元竖向节点宜先进行钢筋绑扎，后进行模块单元安装就位；</w:t>
      </w:r>
    </w:p>
    <w:p w14:paraId="700EA682">
      <w:pPr>
        <w:tabs>
          <w:tab w:val="left" w:pos="0"/>
        </w:tabs>
        <w:spacing w:line="312" w:lineRule="auto"/>
        <w:ind w:firstLine="420" w:firstLineChars="200"/>
        <w:rPr>
          <w:rFonts w:eastAsia="Times New Roman"/>
          <w:color w:val="auto"/>
          <w:kern w:val="0"/>
          <w:lang w:bidi="en-US"/>
        </w:rPr>
      </w:pPr>
      <w:r>
        <w:rPr>
          <w:rFonts w:hint="eastAsia" w:eastAsia="Times New Roman"/>
          <w:b/>
          <w:bCs/>
          <w:color w:val="auto"/>
          <w:kern w:val="0"/>
          <w:lang w:bidi="en-US"/>
        </w:rPr>
        <w:t>4</w:t>
      </w:r>
      <w:r>
        <w:rPr>
          <w:rFonts w:hint="eastAsia" w:eastAsia="Times New Roman"/>
          <w:color w:val="auto"/>
          <w:kern w:val="0"/>
          <w:lang w:bidi="en-US"/>
        </w:rPr>
        <w:t xml:space="preserve">  钢筋机械连接应符合现行行业标准《钢筋机械连接技术规程》JGJ 107的规定；</w:t>
      </w:r>
    </w:p>
    <w:p w14:paraId="44B475A3">
      <w:pPr>
        <w:tabs>
          <w:tab w:val="left" w:pos="0"/>
        </w:tabs>
        <w:spacing w:line="312" w:lineRule="auto"/>
        <w:ind w:firstLine="422" w:firstLineChars="200"/>
        <w:rPr>
          <w:color w:val="auto"/>
          <w:kern w:val="0"/>
          <w:lang w:bidi="en-US"/>
        </w:rPr>
      </w:pPr>
      <w:r>
        <w:rPr>
          <w:rFonts w:hint="eastAsia"/>
          <w:b/>
          <w:bCs/>
          <w:color w:val="auto"/>
          <w:kern w:val="0"/>
          <w:lang w:bidi="en-US"/>
        </w:rPr>
        <w:t xml:space="preserve">5 </w:t>
      </w:r>
      <w:r>
        <w:rPr>
          <w:rFonts w:eastAsia="Times New Roman"/>
          <w:b/>
          <w:bCs/>
          <w:color w:val="auto"/>
          <w:kern w:val="0"/>
          <w:lang w:bidi="en-US"/>
        </w:rPr>
        <w:t xml:space="preserve"> </w:t>
      </w:r>
      <w:r>
        <w:rPr>
          <w:rFonts w:eastAsia="Times New Roman"/>
          <w:color w:val="auto"/>
          <w:kern w:val="0"/>
          <w:lang w:bidi="en-US"/>
        </w:rPr>
        <w:t>混凝土浇筑前应进行隐蔽工程验收，</w:t>
      </w:r>
      <w:r>
        <w:rPr>
          <w:rFonts w:hint="eastAsia"/>
          <w:color w:val="auto"/>
          <w:kern w:val="0"/>
          <w:lang w:bidi="en-US"/>
        </w:rPr>
        <w:t>且</w:t>
      </w:r>
      <w:r>
        <w:rPr>
          <w:rFonts w:eastAsia="Times New Roman"/>
          <w:color w:val="auto"/>
          <w:kern w:val="0"/>
          <w:lang w:bidi="en-US"/>
        </w:rPr>
        <w:t>模块单元连接处清理干净，表面用清水湿润后方可进行浇筑</w:t>
      </w:r>
      <w:r>
        <w:rPr>
          <w:rFonts w:hint="eastAsia"/>
          <w:color w:val="auto"/>
          <w:kern w:val="0"/>
          <w:lang w:bidi="en-US"/>
        </w:rPr>
        <w:t>；浇筑时应选择合适型号的混凝土振捣仪器，采取保证混凝土浇筑密实的措施；</w:t>
      </w:r>
      <w:r>
        <w:rPr>
          <w:rFonts w:eastAsia="Times New Roman"/>
          <w:color w:val="auto"/>
          <w:kern w:val="0"/>
          <w:lang w:bidi="en-US"/>
        </w:rPr>
        <w:t>浇筑完成后</w:t>
      </w:r>
      <w:r>
        <w:rPr>
          <w:rFonts w:hint="eastAsia"/>
          <w:color w:val="auto"/>
          <w:kern w:val="0"/>
          <w:lang w:bidi="en-US"/>
        </w:rPr>
        <w:t>应</w:t>
      </w:r>
      <w:r>
        <w:rPr>
          <w:rFonts w:eastAsia="Times New Roman"/>
          <w:color w:val="auto"/>
          <w:kern w:val="0"/>
          <w:lang w:bidi="en-US"/>
        </w:rPr>
        <w:t>进行养护</w:t>
      </w:r>
      <w:r>
        <w:rPr>
          <w:rFonts w:hint="eastAsia"/>
          <w:color w:val="auto"/>
          <w:kern w:val="0"/>
          <w:lang w:bidi="en-US"/>
        </w:rPr>
        <w:t>，浇筑及养护应符合</w:t>
      </w:r>
      <w:r>
        <w:rPr>
          <w:rFonts w:eastAsia="Times New Roman"/>
          <w:color w:val="auto"/>
          <w:kern w:val="0"/>
          <w:lang w:bidi="en-US"/>
        </w:rPr>
        <w:t>现行国家标准</w:t>
      </w:r>
      <w:r>
        <w:rPr>
          <w:rFonts w:hint="eastAsia"/>
          <w:color w:val="auto"/>
        </w:rPr>
        <w:t>《混凝土结构工程施工规范》</w:t>
      </w:r>
      <w:r>
        <w:rPr>
          <w:rFonts w:eastAsia="Times New Roman"/>
          <w:color w:val="auto"/>
          <w:lang w:bidi="en-US"/>
        </w:rPr>
        <w:t xml:space="preserve">GB </w:t>
      </w:r>
      <w:r>
        <w:rPr>
          <w:rFonts w:eastAsia="Times New Roman"/>
          <w:color w:val="auto"/>
        </w:rPr>
        <w:t>50666</w:t>
      </w:r>
      <w:r>
        <w:rPr>
          <w:rFonts w:hint="eastAsia"/>
          <w:color w:val="auto"/>
        </w:rPr>
        <w:t>的规定</w:t>
      </w:r>
      <w:r>
        <w:rPr>
          <w:rFonts w:hint="eastAsia"/>
          <w:color w:val="auto"/>
          <w:kern w:val="0"/>
          <w:lang w:bidi="en-US"/>
        </w:rPr>
        <w:t>；</w:t>
      </w:r>
    </w:p>
    <w:p w14:paraId="022DB068">
      <w:pPr>
        <w:tabs>
          <w:tab w:val="left" w:pos="0"/>
        </w:tabs>
        <w:spacing w:line="312" w:lineRule="auto"/>
        <w:ind w:firstLine="422" w:firstLineChars="200"/>
        <w:rPr>
          <w:rFonts w:eastAsia="Times New Roman"/>
          <w:color w:val="auto"/>
          <w:kern w:val="0"/>
          <w:lang w:bidi="en-US"/>
        </w:rPr>
      </w:pPr>
      <w:r>
        <w:rPr>
          <w:rFonts w:hint="eastAsia"/>
          <w:b/>
          <w:bCs/>
          <w:color w:val="auto"/>
          <w:kern w:val="0"/>
          <w:lang w:bidi="en-US"/>
        </w:rPr>
        <w:t>6</w:t>
      </w:r>
      <w:r>
        <w:rPr>
          <w:rFonts w:hint="eastAsia"/>
          <w:color w:val="auto"/>
          <w:kern w:val="0"/>
          <w:lang w:bidi="en-US"/>
        </w:rPr>
        <w:t xml:space="preserve">  </w:t>
      </w:r>
      <w:r>
        <w:rPr>
          <w:rFonts w:eastAsia="Times New Roman"/>
          <w:color w:val="auto"/>
          <w:kern w:val="0"/>
          <w:lang w:bidi="en-US"/>
        </w:rPr>
        <w:t>后浇混凝土强度应满足设计要求，且应符合现行国家标准《混凝土结构工程施工规范》GB 50666的规定。</w:t>
      </w:r>
    </w:p>
    <w:p w14:paraId="5A518597">
      <w:pPr>
        <w:pStyle w:val="33"/>
        <w:rPr>
          <w:color w:val="auto"/>
        </w:rPr>
      </w:pPr>
      <w:r>
        <w:rPr>
          <w:rFonts w:hint="eastAsia" w:ascii="楷体" w:hAnsi="楷体" w:cs="楷体"/>
          <w:color w:val="auto"/>
          <w:szCs w:val="21"/>
        </w:rPr>
        <w:t>【条文说明】</w:t>
      </w:r>
      <w:r>
        <w:rPr>
          <w:rFonts w:hint="eastAsia"/>
          <w:color w:val="auto"/>
        </w:rPr>
        <w:t>后浇主体结构是模块化现浇结构的受力主体，后浇主体结构的施工质量将对建筑的安全性、稳定性和耐久性起决定性作用。施工时应采取必要措施，并严格遵守相关规范要求，充分保证钢筋连接与锚固质量，以及后浇混凝土的施工质量。</w:t>
      </w:r>
    </w:p>
    <w:p w14:paraId="0AFEF00B">
      <w:pPr>
        <w:numPr>
          <w:ilvl w:val="0"/>
          <w:numId w:val="37"/>
        </w:numPr>
        <w:rPr>
          <w:rFonts w:eastAsia="Times New Roman"/>
          <w:color w:val="auto"/>
          <w:kern w:val="0"/>
          <w:lang w:bidi="en-US"/>
        </w:rPr>
      </w:pPr>
      <w:r>
        <w:rPr>
          <w:rFonts w:eastAsia="Times New Roman"/>
          <w:color w:val="auto"/>
          <w:kern w:val="0"/>
          <w:lang w:bidi="en-US"/>
        </w:rPr>
        <w:t>模块单元间采用</w:t>
      </w:r>
      <w:r>
        <w:rPr>
          <w:rFonts w:hint="eastAsia"/>
          <w:color w:val="auto"/>
          <w:kern w:val="0"/>
          <w:lang w:bidi="en-US"/>
        </w:rPr>
        <w:t>套筒灌浆、钢筋浆锚搭接</w:t>
      </w:r>
      <w:r>
        <w:rPr>
          <w:rFonts w:eastAsia="Times New Roman"/>
          <w:color w:val="auto"/>
          <w:kern w:val="0"/>
          <w:lang w:bidi="en-US"/>
        </w:rPr>
        <w:t>连接</w:t>
      </w:r>
      <w:r>
        <w:rPr>
          <w:rFonts w:hint="eastAsia"/>
          <w:color w:val="auto"/>
          <w:kern w:val="0"/>
          <w:lang w:bidi="en-US"/>
        </w:rPr>
        <w:t>时，</w:t>
      </w:r>
      <w:r>
        <w:rPr>
          <w:rFonts w:eastAsia="Times New Roman"/>
          <w:color w:val="auto"/>
          <w:kern w:val="0"/>
          <w:lang w:bidi="en-US"/>
        </w:rPr>
        <w:t>应符合</w:t>
      </w:r>
      <w:r>
        <w:rPr>
          <w:rFonts w:hint="eastAsia"/>
          <w:color w:val="auto"/>
          <w:kern w:val="0"/>
          <w:lang w:bidi="en-US"/>
        </w:rPr>
        <w:t>下列</w:t>
      </w:r>
      <w:r>
        <w:rPr>
          <w:rFonts w:eastAsia="Times New Roman"/>
          <w:color w:val="auto"/>
          <w:kern w:val="0"/>
          <w:lang w:bidi="en-US"/>
        </w:rPr>
        <w:t>规定：</w:t>
      </w:r>
    </w:p>
    <w:p w14:paraId="6E5B0480">
      <w:pPr>
        <w:spacing w:line="312" w:lineRule="auto"/>
        <w:ind w:firstLine="420" w:firstLineChars="200"/>
        <w:rPr>
          <w:rFonts w:eastAsia="Times New Roman"/>
          <w:color w:val="auto"/>
          <w:kern w:val="0"/>
          <w:lang w:bidi="en-US"/>
        </w:rPr>
      </w:pPr>
      <w:r>
        <w:rPr>
          <w:rFonts w:hint="eastAsia" w:eastAsia="Times New Roman"/>
          <w:b/>
          <w:bCs/>
          <w:color w:val="auto"/>
          <w:kern w:val="0"/>
          <w:lang w:bidi="en-US"/>
        </w:rPr>
        <w:t>1</w:t>
      </w:r>
      <w:r>
        <w:rPr>
          <w:rFonts w:hint="eastAsia"/>
          <w:color w:val="auto"/>
          <w:kern w:val="0"/>
          <w:lang w:bidi="en-US"/>
        </w:rPr>
        <w:t xml:space="preserve">  </w:t>
      </w:r>
      <w:r>
        <w:rPr>
          <w:rFonts w:eastAsia="Times New Roman"/>
          <w:color w:val="auto"/>
          <w:kern w:val="0"/>
          <w:lang w:bidi="en-US"/>
        </w:rPr>
        <w:t>模块单元间竖向连接节点</w:t>
      </w:r>
      <w:r>
        <w:rPr>
          <w:rFonts w:hint="eastAsia"/>
          <w:color w:val="auto"/>
          <w:kern w:val="0"/>
          <w:lang w:bidi="en-US"/>
        </w:rPr>
        <w:t>的套筒和预留孔应</w:t>
      </w:r>
      <w:r>
        <w:rPr>
          <w:rFonts w:eastAsia="Times New Roman"/>
          <w:color w:val="auto"/>
          <w:kern w:val="0"/>
          <w:lang w:bidi="en-US"/>
        </w:rPr>
        <w:t>上下对应</w:t>
      </w:r>
      <w:r>
        <w:rPr>
          <w:rFonts w:hint="eastAsia"/>
          <w:color w:val="auto"/>
          <w:kern w:val="0"/>
          <w:lang w:bidi="en-US"/>
        </w:rPr>
        <w:t>，套筒和预留孔的数量、间距、尺寸应满足设计要求；</w:t>
      </w:r>
    </w:p>
    <w:p w14:paraId="24D969A4">
      <w:pPr>
        <w:spacing w:line="312" w:lineRule="auto"/>
        <w:ind w:firstLine="422" w:firstLineChars="200"/>
        <w:rPr>
          <w:b/>
          <w:bCs/>
          <w:color w:val="auto"/>
          <w:kern w:val="0"/>
          <w:lang w:bidi="en-US"/>
        </w:rPr>
      </w:pPr>
      <w:r>
        <w:rPr>
          <w:rFonts w:hint="eastAsia"/>
          <w:b/>
          <w:bCs/>
          <w:color w:val="auto"/>
          <w:kern w:val="0"/>
          <w:lang w:bidi="en-US"/>
        </w:rPr>
        <w:t>2</w:t>
      </w:r>
      <w:r>
        <w:rPr>
          <w:rFonts w:hint="eastAsia"/>
          <w:color w:val="auto"/>
          <w:kern w:val="0"/>
          <w:lang w:bidi="en-US"/>
        </w:rPr>
        <w:t xml:space="preserve">  灌浆作业应符合设计和施工方案的要求，且应符合现行行业标准《钢筋套筒灌浆连接应用技术规程》JGJ 355的规定；</w:t>
      </w:r>
    </w:p>
    <w:p w14:paraId="33D0177D">
      <w:pPr>
        <w:spacing w:line="312" w:lineRule="auto"/>
        <w:ind w:firstLine="422" w:firstLineChars="200"/>
        <w:rPr>
          <w:color w:val="auto"/>
          <w:kern w:val="0"/>
          <w:lang w:bidi="en-US"/>
        </w:rPr>
      </w:pPr>
      <w:r>
        <w:rPr>
          <w:rFonts w:hint="eastAsia"/>
          <w:b/>
          <w:bCs/>
          <w:color w:val="auto"/>
          <w:kern w:val="0"/>
          <w:lang w:bidi="en-US"/>
        </w:rPr>
        <w:t>3</w:t>
      </w:r>
      <w:r>
        <w:rPr>
          <w:rFonts w:hint="eastAsia"/>
          <w:color w:val="auto"/>
          <w:kern w:val="0"/>
          <w:lang w:bidi="en-US"/>
        </w:rPr>
        <w:t xml:space="preserve">  灌浆作业应及时做好施工质量检查记录，留存影像资料，并按要求留置试块；</w:t>
      </w:r>
    </w:p>
    <w:p w14:paraId="645FC1F7">
      <w:pPr>
        <w:spacing w:line="312" w:lineRule="auto"/>
        <w:ind w:firstLine="422" w:firstLineChars="200"/>
        <w:rPr>
          <w:color w:val="auto"/>
          <w:kern w:val="0"/>
          <w:lang w:bidi="en-US"/>
        </w:rPr>
      </w:pPr>
      <w:r>
        <w:rPr>
          <w:rFonts w:hint="eastAsia"/>
          <w:b/>
          <w:bCs/>
          <w:color w:val="auto"/>
          <w:kern w:val="0"/>
          <w:lang w:bidi="en-US"/>
        </w:rPr>
        <w:t>4</w:t>
      </w:r>
      <w:r>
        <w:rPr>
          <w:rFonts w:hint="eastAsia"/>
          <w:color w:val="auto"/>
          <w:kern w:val="0"/>
          <w:lang w:bidi="en-US"/>
        </w:rPr>
        <w:t xml:space="preserve">  灌浆料的强度应符合设计要求；</w:t>
      </w:r>
    </w:p>
    <w:p w14:paraId="5E3136E3">
      <w:pPr>
        <w:spacing w:line="312" w:lineRule="auto"/>
        <w:ind w:firstLine="422" w:firstLineChars="200"/>
        <w:rPr>
          <w:color w:val="auto"/>
          <w:kern w:val="0"/>
          <w:lang w:bidi="en-US"/>
        </w:rPr>
      </w:pPr>
      <w:r>
        <w:rPr>
          <w:rFonts w:hint="eastAsia"/>
          <w:b/>
          <w:bCs/>
          <w:color w:val="auto"/>
          <w:kern w:val="0"/>
          <w:lang w:bidi="en-US"/>
        </w:rPr>
        <w:t>5</w:t>
      </w:r>
      <w:r>
        <w:rPr>
          <w:rFonts w:hint="eastAsia"/>
          <w:color w:val="auto"/>
          <w:kern w:val="0"/>
          <w:lang w:bidi="en-US"/>
        </w:rPr>
        <w:t xml:space="preserve">  当灌浆施工出现无法出浆的情况时，应及时查明原因并采取措施处理；对未密实饱满的灌浆应采取可靠措施处理。</w:t>
      </w:r>
    </w:p>
    <w:p w14:paraId="078C9282">
      <w:pPr>
        <w:spacing w:line="312" w:lineRule="auto"/>
        <w:ind w:firstLine="420" w:firstLineChars="200"/>
        <w:rPr>
          <w:rFonts w:eastAsia="楷体"/>
          <w:color w:val="auto"/>
          <w:kern w:val="0"/>
          <w:lang w:bidi="en-US"/>
        </w:rPr>
      </w:pPr>
      <w:r>
        <w:rPr>
          <w:rFonts w:eastAsia="楷体"/>
          <w:color w:val="auto"/>
          <w:kern w:val="0"/>
          <w:lang w:bidi="en-US"/>
        </w:rPr>
        <w:t>【条文说明】当灌浆施工出现无法出浆的情况时，应查明原因，采取的施工措施应符合下列规定</w:t>
      </w:r>
      <w:r>
        <w:rPr>
          <w:rFonts w:hint="eastAsia" w:eastAsia="楷体"/>
          <w:color w:val="auto"/>
          <w:kern w:val="0"/>
          <w:lang w:bidi="en-US"/>
        </w:rPr>
        <w:t>：</w:t>
      </w:r>
    </w:p>
    <w:p w14:paraId="7D46FD99">
      <w:pPr>
        <w:spacing w:line="312" w:lineRule="auto"/>
        <w:ind w:firstLine="422" w:firstLineChars="200"/>
        <w:rPr>
          <w:rFonts w:eastAsia="楷体"/>
          <w:color w:val="auto"/>
          <w:kern w:val="0"/>
          <w:lang w:bidi="en-US"/>
        </w:rPr>
      </w:pPr>
      <w:r>
        <w:rPr>
          <w:rFonts w:eastAsia="楷体"/>
          <w:b/>
          <w:bCs/>
          <w:color w:val="auto"/>
          <w:kern w:val="0"/>
          <w:lang w:bidi="en-US"/>
        </w:rPr>
        <w:t>1</w:t>
      </w:r>
      <w:r>
        <w:rPr>
          <w:rFonts w:eastAsia="楷体"/>
          <w:color w:val="auto"/>
          <w:kern w:val="0"/>
          <w:lang w:bidi="en-US"/>
        </w:rPr>
        <w:t xml:space="preserve"> </w:t>
      </w:r>
      <w:r>
        <w:rPr>
          <w:rFonts w:hint="eastAsia" w:eastAsia="楷体"/>
          <w:color w:val="auto"/>
          <w:kern w:val="0"/>
          <w:lang w:bidi="en-US"/>
        </w:rPr>
        <w:t xml:space="preserve"> </w:t>
      </w:r>
      <w:r>
        <w:rPr>
          <w:rFonts w:eastAsia="楷体"/>
          <w:color w:val="auto"/>
          <w:kern w:val="0"/>
          <w:lang w:bidi="en-US"/>
        </w:rPr>
        <w:t>对于未密实饱满的竖向连接灌浆套筒，当在灌浆料加水拌合30min内时，应首选在灌浆孔补灌</w:t>
      </w:r>
      <w:r>
        <w:rPr>
          <w:rFonts w:hint="eastAsia" w:eastAsia="楷体"/>
          <w:color w:val="auto"/>
          <w:kern w:val="0"/>
          <w:lang w:bidi="en-US"/>
        </w:rPr>
        <w:t>；</w:t>
      </w:r>
      <w:r>
        <w:rPr>
          <w:rFonts w:eastAsia="楷体"/>
          <w:color w:val="auto"/>
          <w:kern w:val="0"/>
          <w:lang w:bidi="en-US"/>
        </w:rPr>
        <w:t>当灌浆料拌合物已无法流动时，可从出浆孔补灌，并应采用手动设备结合细管压力灌浆</w:t>
      </w:r>
      <w:r>
        <w:rPr>
          <w:rFonts w:hint="eastAsia" w:eastAsia="楷体"/>
          <w:color w:val="auto"/>
          <w:kern w:val="0"/>
          <w:lang w:bidi="en-US"/>
        </w:rPr>
        <w:t>；</w:t>
      </w:r>
    </w:p>
    <w:p w14:paraId="1B911FA9">
      <w:pPr>
        <w:spacing w:line="312" w:lineRule="auto"/>
        <w:ind w:firstLine="422" w:firstLineChars="200"/>
        <w:rPr>
          <w:rFonts w:eastAsia="楷体"/>
          <w:color w:val="auto"/>
          <w:kern w:val="0"/>
          <w:lang w:bidi="en-US"/>
        </w:rPr>
      </w:pPr>
      <w:r>
        <w:rPr>
          <w:rFonts w:eastAsia="楷体"/>
          <w:b/>
          <w:bCs/>
          <w:color w:val="auto"/>
          <w:kern w:val="0"/>
          <w:lang w:bidi="en-US"/>
        </w:rPr>
        <w:t>2</w:t>
      </w:r>
      <w:r>
        <w:rPr>
          <w:rFonts w:eastAsia="楷体"/>
          <w:color w:val="auto"/>
          <w:kern w:val="0"/>
          <w:lang w:bidi="en-US"/>
        </w:rPr>
        <w:t xml:space="preserve"> </w:t>
      </w:r>
      <w:r>
        <w:rPr>
          <w:rFonts w:hint="eastAsia" w:eastAsia="楷体"/>
          <w:color w:val="auto"/>
          <w:kern w:val="0"/>
          <w:lang w:bidi="en-US"/>
        </w:rPr>
        <w:t xml:space="preserve"> </w:t>
      </w:r>
      <w:r>
        <w:rPr>
          <w:rFonts w:eastAsia="楷体"/>
          <w:color w:val="auto"/>
          <w:kern w:val="0"/>
          <w:lang w:bidi="en-US"/>
        </w:rPr>
        <w:t>水平钢筋连接灌浆施工停止后30s，当发现灌浆料拌合物下降，应检查灌浆套筒的密封或灌浆料拌合物排气情况，并及时补灌或采取其他措施</w:t>
      </w:r>
      <w:r>
        <w:rPr>
          <w:rFonts w:hint="eastAsia" w:eastAsia="楷体"/>
          <w:color w:val="auto"/>
          <w:kern w:val="0"/>
          <w:lang w:bidi="en-US"/>
        </w:rPr>
        <w:t>；</w:t>
      </w:r>
    </w:p>
    <w:p w14:paraId="3A87A600">
      <w:pPr>
        <w:spacing w:line="312" w:lineRule="auto"/>
        <w:ind w:firstLine="422" w:firstLineChars="200"/>
        <w:rPr>
          <w:rFonts w:eastAsia="楷体"/>
          <w:color w:val="auto"/>
          <w:kern w:val="0"/>
          <w:lang w:bidi="en-US"/>
        </w:rPr>
      </w:pPr>
      <w:r>
        <w:rPr>
          <w:rFonts w:eastAsia="楷体"/>
          <w:b/>
          <w:bCs/>
          <w:color w:val="auto"/>
          <w:kern w:val="0"/>
          <w:lang w:bidi="en-US"/>
        </w:rPr>
        <w:t>3</w:t>
      </w:r>
      <w:r>
        <w:rPr>
          <w:rFonts w:eastAsia="楷体"/>
          <w:color w:val="auto"/>
          <w:kern w:val="0"/>
          <w:lang w:bidi="en-US"/>
        </w:rPr>
        <w:t xml:space="preserve"> </w:t>
      </w:r>
      <w:r>
        <w:rPr>
          <w:rFonts w:hint="eastAsia" w:eastAsia="楷体"/>
          <w:color w:val="auto"/>
          <w:kern w:val="0"/>
          <w:lang w:bidi="en-US"/>
        </w:rPr>
        <w:t xml:space="preserve"> </w:t>
      </w:r>
      <w:r>
        <w:rPr>
          <w:rFonts w:eastAsia="楷体"/>
          <w:color w:val="auto"/>
          <w:kern w:val="0"/>
          <w:lang w:bidi="en-US"/>
        </w:rPr>
        <w:t>补灌应在灌浆料拌合物达到设计规定的位置后停止，并应在灌浆料凝固后再次检查其位置符合设计要求。</w:t>
      </w:r>
    </w:p>
    <w:p w14:paraId="6BC10328">
      <w:pPr>
        <w:numPr>
          <w:ilvl w:val="0"/>
          <w:numId w:val="37"/>
        </w:numPr>
        <w:rPr>
          <w:rFonts w:eastAsia="Times New Roman"/>
          <w:color w:val="auto"/>
          <w:kern w:val="0"/>
          <w:lang w:bidi="en-US"/>
        </w:rPr>
      </w:pPr>
      <w:r>
        <w:rPr>
          <w:rFonts w:eastAsia="Times New Roman"/>
          <w:color w:val="auto"/>
          <w:kern w:val="0"/>
          <w:lang w:bidi="en-US"/>
        </w:rPr>
        <w:t>模块单元间采用</w:t>
      </w:r>
      <w:r>
        <w:rPr>
          <w:rFonts w:hint="eastAsia"/>
          <w:color w:val="auto"/>
          <w:kern w:val="0"/>
          <w:lang w:bidi="en-US"/>
        </w:rPr>
        <w:t>螺栓</w:t>
      </w:r>
      <w:r>
        <w:rPr>
          <w:rFonts w:eastAsia="Times New Roman"/>
          <w:color w:val="auto"/>
          <w:kern w:val="0"/>
          <w:lang w:bidi="en-US"/>
        </w:rPr>
        <w:t>连接应符合</w:t>
      </w:r>
      <w:r>
        <w:rPr>
          <w:rFonts w:hint="eastAsia"/>
          <w:color w:val="auto"/>
          <w:kern w:val="0"/>
          <w:lang w:bidi="en-US"/>
        </w:rPr>
        <w:t>下列</w:t>
      </w:r>
      <w:r>
        <w:rPr>
          <w:rFonts w:eastAsia="Times New Roman"/>
          <w:color w:val="auto"/>
          <w:kern w:val="0"/>
          <w:lang w:bidi="en-US"/>
        </w:rPr>
        <w:t>规定：</w:t>
      </w:r>
    </w:p>
    <w:p w14:paraId="75754FCD">
      <w:pPr>
        <w:numPr>
          <w:ilvl w:val="255"/>
          <w:numId w:val="0"/>
        </w:numPr>
        <w:spacing w:line="312" w:lineRule="auto"/>
        <w:ind w:firstLine="420" w:firstLineChars="200"/>
        <w:rPr>
          <w:rFonts w:eastAsia="Times New Roman"/>
          <w:color w:val="auto"/>
          <w:kern w:val="0"/>
          <w:lang w:bidi="en-US"/>
        </w:rPr>
      </w:pPr>
      <w:r>
        <w:rPr>
          <w:rFonts w:hint="eastAsia" w:eastAsia="Times New Roman"/>
          <w:b/>
          <w:bCs/>
          <w:color w:val="auto"/>
          <w:kern w:val="0"/>
          <w:lang w:bidi="en-US"/>
        </w:rPr>
        <w:t>1</w:t>
      </w:r>
      <w:r>
        <w:rPr>
          <w:rFonts w:eastAsia="Times New Roman"/>
          <w:b/>
          <w:bCs/>
          <w:color w:val="auto"/>
          <w:kern w:val="0"/>
          <w:lang w:bidi="en-US"/>
        </w:rPr>
        <w:t xml:space="preserve">  </w:t>
      </w:r>
      <w:r>
        <w:rPr>
          <w:rFonts w:eastAsia="Times New Roman"/>
          <w:color w:val="auto"/>
          <w:kern w:val="0"/>
          <w:lang w:bidi="en-US"/>
        </w:rPr>
        <w:t>螺栓连接节点应按设计值进行拧固，</w:t>
      </w:r>
      <w:r>
        <w:rPr>
          <w:rFonts w:hint="eastAsia"/>
          <w:color w:val="auto"/>
          <w:kern w:val="0"/>
          <w:lang w:bidi="en-US"/>
        </w:rPr>
        <w:t>并应符合现行国家标准《钢结构工程施工规范》GB 50755的规定；</w:t>
      </w:r>
    </w:p>
    <w:p w14:paraId="51F88593">
      <w:pPr>
        <w:numPr>
          <w:ilvl w:val="255"/>
          <w:numId w:val="0"/>
        </w:numPr>
        <w:spacing w:line="312" w:lineRule="auto"/>
        <w:ind w:firstLine="420" w:firstLineChars="200"/>
        <w:rPr>
          <w:color w:val="auto"/>
          <w:lang w:bidi="en-US"/>
        </w:rPr>
      </w:pPr>
      <w:r>
        <w:rPr>
          <w:rFonts w:hint="eastAsia" w:eastAsia="Times New Roman"/>
          <w:b/>
          <w:bCs/>
          <w:color w:val="auto"/>
          <w:kern w:val="0"/>
          <w:lang w:bidi="en-US"/>
        </w:rPr>
        <w:t>2</w:t>
      </w:r>
      <w:r>
        <w:rPr>
          <w:rFonts w:eastAsia="Times New Roman"/>
          <w:b/>
          <w:bCs/>
          <w:color w:val="auto"/>
          <w:kern w:val="0"/>
          <w:lang w:bidi="en-US"/>
        </w:rPr>
        <w:t xml:space="preserve"> </w:t>
      </w:r>
      <w:r>
        <w:rPr>
          <w:rFonts w:eastAsia="Times New Roman"/>
          <w:color w:val="auto"/>
          <w:kern w:val="0"/>
          <w:lang w:bidi="en-US"/>
        </w:rPr>
        <w:t xml:space="preserve"> </w:t>
      </w:r>
      <w:r>
        <w:rPr>
          <w:rFonts w:hint="eastAsia" w:eastAsia="Times New Roman"/>
          <w:color w:val="auto"/>
          <w:kern w:val="0"/>
          <w:lang w:bidi="en-US"/>
        </w:rPr>
        <w:t>螺栓应采取防腐、防火等相关措施。</w:t>
      </w:r>
    </w:p>
    <w:p w14:paraId="68DBC21D">
      <w:pPr>
        <w:numPr>
          <w:ilvl w:val="0"/>
          <w:numId w:val="37"/>
        </w:numPr>
        <w:spacing w:line="312" w:lineRule="auto"/>
        <w:rPr>
          <w:color w:val="auto"/>
          <w:lang w:bidi="en-US"/>
        </w:rPr>
      </w:pPr>
      <w:r>
        <w:rPr>
          <w:color w:val="auto"/>
          <w:lang w:bidi="en-US"/>
        </w:rPr>
        <w:t>模块单元连接采用座浆时，应严格控制座浆料的流动性、和易性及配合比，铺设厚度应均匀，并采取措施避免对室内造成污染。</w:t>
      </w:r>
    </w:p>
    <w:p w14:paraId="373348A7">
      <w:pPr>
        <w:pStyle w:val="5"/>
        <w:rPr>
          <w:rFonts w:eastAsia="仿宋" w:cs="Times New Roman"/>
          <w:color w:val="auto"/>
        </w:rPr>
      </w:pPr>
      <w:r>
        <w:rPr>
          <w:rFonts w:eastAsia="仿宋" w:cs="Times New Roman"/>
          <w:color w:val="auto"/>
        </w:rPr>
        <w:t>（Ⅱ）设备、管线和内装系统连接</w:t>
      </w:r>
    </w:p>
    <w:p w14:paraId="55728F6E">
      <w:pPr>
        <w:numPr>
          <w:ilvl w:val="0"/>
          <w:numId w:val="37"/>
        </w:numPr>
        <w:spacing w:line="312" w:lineRule="auto"/>
        <w:rPr>
          <w:color w:val="auto"/>
          <w:lang w:bidi="en-US"/>
        </w:rPr>
      </w:pPr>
      <w:r>
        <w:rPr>
          <w:color w:val="auto"/>
          <w:lang w:bidi="en-US"/>
        </w:rPr>
        <w:t>模块</w:t>
      </w:r>
      <w:r>
        <w:rPr>
          <w:rFonts w:hint="eastAsia"/>
          <w:color w:val="auto"/>
          <w:lang w:bidi="en-US"/>
        </w:rPr>
        <w:t>单元间</w:t>
      </w:r>
      <w:r>
        <w:rPr>
          <w:color w:val="auto"/>
          <w:lang w:bidi="en-US"/>
        </w:rPr>
        <w:t>设备管线施工前应按设计图纸核对设备及管线相应参数，同时应对预埋套管、预留孔洞及开槽的尺寸和定位进行校核后方可施工。</w:t>
      </w:r>
    </w:p>
    <w:p w14:paraId="337056E4">
      <w:pPr>
        <w:numPr>
          <w:ilvl w:val="0"/>
          <w:numId w:val="37"/>
        </w:numPr>
        <w:spacing w:line="312" w:lineRule="auto"/>
        <w:rPr>
          <w:color w:val="auto"/>
          <w:lang w:bidi="en-US"/>
        </w:rPr>
      </w:pPr>
      <w:r>
        <w:rPr>
          <w:color w:val="auto"/>
          <w:lang w:bidi="en-US"/>
        </w:rPr>
        <w:t>模块单元间给水排水及暖通工程管线的现场连接应符合现行国家标准《建筑给水排水及采暖工程施工质量验收规范》GB 50242和《通风与空调工程施工质量验收规范》GB 50243的规定，并应符合下列规定：</w:t>
      </w:r>
    </w:p>
    <w:p w14:paraId="3CC71238">
      <w:pPr>
        <w:tabs>
          <w:tab w:val="left" w:pos="0"/>
        </w:tabs>
        <w:spacing w:line="312" w:lineRule="auto"/>
        <w:ind w:firstLine="450" w:firstLineChars="200"/>
        <w:rPr>
          <w:b/>
          <w:bCs/>
          <w:color w:val="auto"/>
          <w:kern w:val="0"/>
          <w:szCs w:val="21"/>
          <w:lang w:bidi="en-US"/>
        </w:rPr>
      </w:pPr>
      <w:r>
        <w:rPr>
          <w:b/>
          <w:bCs/>
          <w:color w:val="auto"/>
          <w:spacing w:val="7"/>
          <w:szCs w:val="21"/>
        </w:rPr>
        <w:t>1</w:t>
      </w:r>
      <w:r>
        <w:rPr>
          <w:rFonts w:eastAsia="Times New Roman"/>
          <w:b/>
          <w:bCs/>
          <w:color w:val="auto"/>
          <w:spacing w:val="7"/>
          <w:szCs w:val="21"/>
        </w:rPr>
        <w:t xml:space="preserve">  </w:t>
      </w:r>
      <w:r>
        <w:rPr>
          <w:color w:val="auto"/>
          <w:spacing w:val="7"/>
          <w:szCs w:val="21"/>
        </w:rPr>
        <w:t>当设备、管线穿越楼板、墙体时，应采取防水、防火、隔声、密封、保温隔热等措施，防火封</w:t>
      </w:r>
      <w:r>
        <w:rPr>
          <w:color w:val="auto"/>
          <w:spacing w:val="8"/>
          <w:szCs w:val="21"/>
        </w:rPr>
        <w:t>堵应符合现行国家标准《建筑防火封堵应用技术标准》GB/T 51410的</w:t>
      </w:r>
      <w:r>
        <w:rPr>
          <w:color w:val="auto"/>
          <w:spacing w:val="7"/>
          <w:szCs w:val="21"/>
        </w:rPr>
        <w:t>规定；</w:t>
      </w:r>
    </w:p>
    <w:p w14:paraId="4414EBA3">
      <w:pPr>
        <w:tabs>
          <w:tab w:val="left" w:pos="0"/>
        </w:tabs>
        <w:spacing w:line="312" w:lineRule="auto"/>
        <w:ind w:firstLine="422" w:firstLineChars="200"/>
        <w:rPr>
          <w:b/>
          <w:bCs/>
          <w:color w:val="auto"/>
          <w:kern w:val="0"/>
          <w:szCs w:val="21"/>
          <w:lang w:bidi="en-US"/>
        </w:rPr>
      </w:pPr>
      <w:r>
        <w:rPr>
          <w:rFonts w:hint="eastAsia"/>
          <w:b/>
          <w:bCs/>
          <w:color w:val="auto"/>
          <w:kern w:val="0"/>
          <w:szCs w:val="21"/>
          <w:lang w:bidi="en-US"/>
        </w:rPr>
        <w:t>2</w:t>
      </w:r>
      <w:r>
        <w:rPr>
          <w:b/>
          <w:bCs/>
          <w:color w:val="auto"/>
          <w:kern w:val="0"/>
          <w:szCs w:val="21"/>
          <w:lang w:bidi="en-US"/>
        </w:rPr>
        <w:t xml:space="preserve"> </w:t>
      </w:r>
      <w:r>
        <w:rPr>
          <w:rFonts w:hint="eastAsia"/>
          <w:b/>
          <w:bCs/>
          <w:color w:val="auto"/>
          <w:kern w:val="0"/>
          <w:szCs w:val="21"/>
          <w:lang w:bidi="en-US"/>
        </w:rPr>
        <w:t xml:space="preserve"> </w:t>
      </w:r>
      <w:r>
        <w:rPr>
          <w:color w:val="auto"/>
          <w:kern w:val="0"/>
          <w:szCs w:val="21"/>
          <w:lang w:bidi="en-US"/>
        </w:rPr>
        <w:t>模块</w:t>
      </w:r>
      <w:r>
        <w:rPr>
          <w:rFonts w:hint="eastAsia"/>
          <w:color w:val="auto"/>
          <w:kern w:val="0"/>
          <w:szCs w:val="21"/>
          <w:lang w:bidi="en-US"/>
        </w:rPr>
        <w:t>单元</w:t>
      </w:r>
      <w:r>
        <w:rPr>
          <w:color w:val="auto"/>
          <w:kern w:val="0"/>
          <w:szCs w:val="21"/>
          <w:lang w:bidi="en-US"/>
        </w:rPr>
        <w:t>拼装完成后，进行水、暖立管和主管的连接安装，以及主管与模块单元内的横向支管的连接安装</w:t>
      </w:r>
      <w:r>
        <w:rPr>
          <w:rFonts w:hint="eastAsia"/>
          <w:color w:val="auto"/>
          <w:kern w:val="0"/>
          <w:szCs w:val="21"/>
          <w:lang w:bidi="en-US"/>
        </w:rPr>
        <w:t>，并</w:t>
      </w:r>
      <w:r>
        <w:rPr>
          <w:color w:val="auto"/>
          <w:kern w:val="0"/>
          <w:szCs w:val="21"/>
          <w:lang w:bidi="en-US"/>
        </w:rPr>
        <w:t>应符合现行国家标准《建筑给水排水及采暖工程施工质量验收规范》GB 50242的规定；</w:t>
      </w:r>
    </w:p>
    <w:p w14:paraId="6AC94B49">
      <w:pPr>
        <w:tabs>
          <w:tab w:val="left" w:pos="0"/>
        </w:tabs>
        <w:spacing w:line="312" w:lineRule="auto"/>
        <w:ind w:firstLine="422" w:firstLineChars="200"/>
        <w:rPr>
          <w:color w:val="auto"/>
          <w:kern w:val="0"/>
          <w:szCs w:val="21"/>
          <w:lang w:bidi="en-US"/>
        </w:rPr>
      </w:pPr>
      <w:r>
        <w:rPr>
          <w:rFonts w:hint="eastAsia"/>
          <w:b/>
          <w:bCs/>
          <w:color w:val="auto"/>
          <w:kern w:val="0"/>
          <w:szCs w:val="21"/>
          <w:lang w:bidi="en-US"/>
        </w:rPr>
        <w:t>3</w:t>
      </w:r>
      <w:r>
        <w:rPr>
          <w:b/>
          <w:bCs/>
          <w:color w:val="auto"/>
          <w:kern w:val="0"/>
          <w:szCs w:val="21"/>
          <w:lang w:bidi="en-US"/>
        </w:rPr>
        <w:t xml:space="preserve"> </w:t>
      </w:r>
      <w:r>
        <w:rPr>
          <w:rFonts w:hint="eastAsia"/>
          <w:b/>
          <w:bCs/>
          <w:color w:val="auto"/>
          <w:kern w:val="0"/>
          <w:szCs w:val="21"/>
          <w:lang w:bidi="en-US"/>
        </w:rPr>
        <w:t xml:space="preserve"> </w:t>
      </w:r>
      <w:r>
        <w:rPr>
          <w:color w:val="auto"/>
          <w:kern w:val="0"/>
          <w:szCs w:val="21"/>
          <w:lang w:bidi="en-US"/>
        </w:rPr>
        <w:t>模块</w:t>
      </w:r>
      <w:r>
        <w:rPr>
          <w:rFonts w:hint="eastAsia"/>
          <w:color w:val="auto"/>
          <w:kern w:val="0"/>
          <w:szCs w:val="21"/>
          <w:lang w:bidi="en-US"/>
        </w:rPr>
        <w:t>单元</w:t>
      </w:r>
      <w:r>
        <w:rPr>
          <w:color w:val="auto"/>
          <w:kern w:val="0"/>
          <w:szCs w:val="21"/>
          <w:lang w:bidi="en-US"/>
        </w:rPr>
        <w:t>间通风及空调系统风管现场连接</w:t>
      </w:r>
      <w:r>
        <w:rPr>
          <w:rFonts w:hint="eastAsia"/>
          <w:color w:val="auto"/>
          <w:kern w:val="0"/>
          <w:szCs w:val="21"/>
          <w:lang w:bidi="en-US"/>
        </w:rPr>
        <w:t>与</w:t>
      </w:r>
      <w:r>
        <w:rPr>
          <w:color w:val="auto"/>
          <w:kern w:val="0"/>
          <w:szCs w:val="21"/>
          <w:lang w:bidi="en-US"/>
        </w:rPr>
        <w:t>安装应符合现行国家标准《通风与空调工程施工规范》GB 50738的规定</w:t>
      </w:r>
      <w:r>
        <w:rPr>
          <w:rFonts w:hint="eastAsia"/>
          <w:color w:val="auto"/>
          <w:kern w:val="0"/>
          <w:szCs w:val="21"/>
          <w:lang w:bidi="en-US"/>
        </w:rPr>
        <w:t>。</w:t>
      </w:r>
    </w:p>
    <w:p w14:paraId="277D481D">
      <w:pPr>
        <w:numPr>
          <w:ilvl w:val="0"/>
          <w:numId w:val="37"/>
        </w:numPr>
        <w:spacing w:line="312" w:lineRule="auto"/>
        <w:rPr>
          <w:color w:val="auto"/>
          <w:kern w:val="0"/>
          <w:lang w:bidi="en-US"/>
        </w:rPr>
      </w:pPr>
      <w:r>
        <w:rPr>
          <w:color w:val="auto"/>
          <w:kern w:val="0"/>
          <w:lang w:bidi="en-US"/>
        </w:rPr>
        <w:t>模块单元间电气管线的现场连接安装应符合设计要求和现行国家标准《建筑电气工程施工质量验收规范》GB50303的规定，并应符合下列规定：</w:t>
      </w:r>
    </w:p>
    <w:p w14:paraId="0AB29E5B">
      <w:pPr>
        <w:numPr>
          <w:ilvl w:val="255"/>
          <w:numId w:val="0"/>
        </w:numPr>
        <w:tabs>
          <w:tab w:val="left" w:pos="0"/>
        </w:tabs>
        <w:spacing w:line="312" w:lineRule="auto"/>
        <w:ind w:firstLine="422" w:firstLineChars="200"/>
        <w:rPr>
          <w:color w:val="auto"/>
          <w:kern w:val="0"/>
          <w:lang w:bidi="en-US"/>
        </w:rPr>
      </w:pPr>
      <w:r>
        <w:rPr>
          <w:b/>
          <w:bCs/>
          <w:color w:val="auto"/>
          <w:kern w:val="0"/>
          <w:lang w:bidi="en-US"/>
        </w:rPr>
        <w:t>1</w:t>
      </w:r>
      <w:r>
        <w:rPr>
          <w:rFonts w:hint="eastAsia"/>
          <w:color w:val="auto"/>
          <w:kern w:val="0"/>
          <w:lang w:bidi="en-US"/>
        </w:rPr>
        <w:t xml:space="preserve">  </w:t>
      </w:r>
      <w:r>
        <w:rPr>
          <w:color w:val="auto"/>
          <w:kern w:val="0"/>
          <w:lang w:bidi="en-US"/>
        </w:rPr>
        <w:t>模块单元间导线连接跨越模块处不宜有导线连接头；</w:t>
      </w:r>
    </w:p>
    <w:p w14:paraId="183BE5EF">
      <w:pPr>
        <w:numPr>
          <w:ilvl w:val="255"/>
          <w:numId w:val="0"/>
        </w:numPr>
        <w:tabs>
          <w:tab w:val="left" w:pos="0"/>
        </w:tabs>
        <w:spacing w:line="312" w:lineRule="auto"/>
        <w:ind w:firstLine="422" w:firstLineChars="200"/>
        <w:rPr>
          <w:color w:val="auto"/>
          <w:kern w:val="0"/>
          <w:lang w:bidi="en-US"/>
        </w:rPr>
      </w:pPr>
      <w:r>
        <w:rPr>
          <w:b/>
          <w:bCs/>
          <w:color w:val="auto"/>
          <w:kern w:val="0"/>
          <w:lang w:bidi="en-US"/>
        </w:rPr>
        <w:t>2</w:t>
      </w:r>
      <w:r>
        <w:rPr>
          <w:rFonts w:hint="eastAsia"/>
          <w:color w:val="auto"/>
          <w:kern w:val="0"/>
          <w:lang w:bidi="en-US"/>
        </w:rPr>
        <w:t xml:space="preserve">  </w:t>
      </w:r>
      <w:r>
        <w:rPr>
          <w:color w:val="auto"/>
          <w:kern w:val="0"/>
          <w:lang w:bidi="en-US"/>
        </w:rPr>
        <w:t>模块单元拼装后应按设计要求做相应的等电位连接。</w:t>
      </w:r>
    </w:p>
    <w:p w14:paraId="0A7B5BE3">
      <w:pPr>
        <w:numPr>
          <w:ilvl w:val="255"/>
          <w:numId w:val="0"/>
        </w:numPr>
        <w:tabs>
          <w:tab w:val="left" w:pos="0"/>
        </w:tabs>
        <w:spacing w:line="312" w:lineRule="auto"/>
        <w:ind w:firstLine="420" w:firstLineChars="200"/>
        <w:rPr>
          <w:rFonts w:ascii="楷体" w:hAnsi="楷体" w:eastAsia="楷体" w:cs="楷体"/>
          <w:color w:val="auto"/>
          <w:kern w:val="0"/>
          <w:lang w:bidi="en-US"/>
        </w:rPr>
      </w:pPr>
      <w:r>
        <w:rPr>
          <w:rFonts w:hint="eastAsia" w:ascii="楷体" w:hAnsi="楷体" w:eastAsia="楷体" w:cs="楷体"/>
          <w:color w:val="auto"/>
          <w:kern w:val="0"/>
          <w:lang w:bidi="en-US"/>
        </w:rPr>
        <w:t>【条文说明】此条针对经过两个及以上模块单元时，同一电气回路应保持电气连接的可靠性，中间不宜含有导线连接头以免产生故障点。</w:t>
      </w:r>
    </w:p>
    <w:p w14:paraId="7515B482">
      <w:pPr>
        <w:numPr>
          <w:ilvl w:val="0"/>
          <w:numId w:val="37"/>
        </w:numPr>
        <w:spacing w:line="312" w:lineRule="auto"/>
        <w:rPr>
          <w:color w:val="auto"/>
          <w:kern w:val="0"/>
          <w:lang w:bidi="en-US"/>
        </w:rPr>
      </w:pPr>
      <w:r>
        <w:rPr>
          <w:color w:val="auto"/>
          <w:kern w:val="0"/>
          <w:lang w:bidi="en-US"/>
        </w:rPr>
        <w:t>模块单元间装饰装修工程的连接应符合现行国家标准《建筑装饰装修工程质量验收标准》GB 50210的规定，并应符合下列规定：</w:t>
      </w:r>
    </w:p>
    <w:p w14:paraId="661320F9">
      <w:pPr>
        <w:numPr>
          <w:ilvl w:val="255"/>
          <w:numId w:val="0"/>
        </w:numPr>
        <w:tabs>
          <w:tab w:val="left" w:pos="0"/>
        </w:tabs>
        <w:spacing w:line="312" w:lineRule="auto"/>
        <w:ind w:firstLine="422" w:firstLineChars="200"/>
        <w:rPr>
          <w:color w:val="auto"/>
          <w:kern w:val="0"/>
          <w:lang w:bidi="en-US"/>
        </w:rPr>
      </w:pPr>
      <w:r>
        <w:rPr>
          <w:b/>
          <w:bCs/>
          <w:color w:val="auto"/>
          <w:kern w:val="0"/>
          <w:lang w:bidi="en-US"/>
        </w:rPr>
        <w:t>1</w:t>
      </w:r>
      <w:r>
        <w:rPr>
          <w:color w:val="auto"/>
          <w:kern w:val="0"/>
          <w:lang w:bidi="en-US"/>
        </w:rPr>
        <w:t xml:space="preserve">  施工过程中，应做好模块单元内装工程的保护，临时支撑构件的拆卸不应损坏已完成</w:t>
      </w:r>
      <w:r>
        <w:rPr>
          <w:rFonts w:hint="eastAsia"/>
          <w:color w:val="auto"/>
          <w:kern w:val="0"/>
          <w:lang w:bidi="en-US"/>
        </w:rPr>
        <w:t>的</w:t>
      </w:r>
      <w:r>
        <w:rPr>
          <w:color w:val="auto"/>
          <w:kern w:val="0"/>
          <w:lang w:bidi="en-US"/>
        </w:rPr>
        <w:t>模块装修；</w:t>
      </w:r>
    </w:p>
    <w:p w14:paraId="604D279A">
      <w:pPr>
        <w:numPr>
          <w:ilvl w:val="255"/>
          <w:numId w:val="0"/>
        </w:numPr>
        <w:tabs>
          <w:tab w:val="left" w:pos="0"/>
        </w:tabs>
        <w:spacing w:line="312" w:lineRule="auto"/>
        <w:ind w:firstLine="422" w:firstLineChars="200"/>
        <w:rPr>
          <w:color w:val="auto"/>
          <w:kern w:val="0"/>
          <w:lang w:bidi="en-US"/>
        </w:rPr>
      </w:pPr>
      <w:r>
        <w:rPr>
          <w:b/>
          <w:bCs/>
          <w:color w:val="auto"/>
          <w:kern w:val="0"/>
          <w:lang w:bidi="en-US"/>
        </w:rPr>
        <w:t>2</w:t>
      </w:r>
      <w:r>
        <w:rPr>
          <w:color w:val="auto"/>
          <w:kern w:val="0"/>
          <w:lang w:bidi="en-US"/>
        </w:rPr>
        <w:t xml:space="preserve">  吊顶面板上的灯具、烟感器、喷淋头、风口和检修口等设备设施的位置应合理、美观；</w:t>
      </w:r>
    </w:p>
    <w:p w14:paraId="073E1705">
      <w:pPr>
        <w:numPr>
          <w:ilvl w:val="255"/>
          <w:numId w:val="0"/>
        </w:numPr>
        <w:tabs>
          <w:tab w:val="left" w:pos="0"/>
        </w:tabs>
        <w:spacing w:line="312" w:lineRule="auto"/>
        <w:ind w:firstLine="422" w:firstLineChars="200"/>
        <w:rPr>
          <w:color w:val="auto"/>
          <w:kern w:val="0"/>
          <w:lang w:bidi="en-US"/>
        </w:rPr>
      </w:pPr>
      <w:r>
        <w:rPr>
          <w:b/>
          <w:bCs/>
          <w:color w:val="auto"/>
          <w:kern w:val="0"/>
          <w:lang w:bidi="en-US"/>
        </w:rPr>
        <w:t>3</w:t>
      </w:r>
      <w:r>
        <w:rPr>
          <w:color w:val="auto"/>
          <w:kern w:val="0"/>
          <w:lang w:bidi="en-US"/>
        </w:rPr>
        <w:t xml:space="preserve">  饰面层表面应平整、洁净、色泽一致，无裂痕和缺损</w:t>
      </w:r>
      <w:r>
        <w:rPr>
          <w:rFonts w:hint="eastAsia"/>
          <w:color w:val="auto"/>
          <w:kern w:val="0"/>
          <w:lang w:bidi="en-US"/>
        </w:rPr>
        <w:t>。</w:t>
      </w:r>
    </w:p>
    <w:p w14:paraId="1052DD3B">
      <w:pPr>
        <w:pStyle w:val="5"/>
        <w:rPr>
          <w:rFonts w:eastAsia="仿宋" w:cs="Times New Roman"/>
          <w:color w:val="auto"/>
        </w:rPr>
      </w:pPr>
      <w:r>
        <w:rPr>
          <w:rFonts w:eastAsia="仿宋" w:cs="Times New Roman"/>
          <w:color w:val="auto"/>
        </w:rPr>
        <w:t>（Ⅲ）建筑接缝防火、防水处理</w:t>
      </w:r>
    </w:p>
    <w:p w14:paraId="1A936A25">
      <w:pPr>
        <w:numPr>
          <w:ilvl w:val="0"/>
          <w:numId w:val="37"/>
        </w:numPr>
        <w:spacing w:line="312" w:lineRule="auto"/>
        <w:rPr>
          <w:color w:val="auto"/>
          <w:kern w:val="0"/>
          <w:lang w:bidi="en-US"/>
        </w:rPr>
      </w:pPr>
      <w:r>
        <w:rPr>
          <w:color w:val="auto"/>
          <w:kern w:val="0"/>
          <w:lang w:bidi="en-US"/>
        </w:rPr>
        <w:t>模块单元间的缝隙应进行防火封堵，防火封堵施工应按照设计文件、相应产品的技术说明和操作规程以及防火封堵组件的构造要求进行。</w:t>
      </w:r>
    </w:p>
    <w:p w14:paraId="42C237E3">
      <w:pPr>
        <w:widowControl/>
        <w:numPr>
          <w:ilvl w:val="0"/>
          <w:numId w:val="37"/>
        </w:numPr>
        <w:spacing w:line="312" w:lineRule="auto"/>
        <w:rPr>
          <w:color w:val="auto"/>
          <w:kern w:val="0"/>
          <w:lang w:bidi="en-US"/>
        </w:rPr>
      </w:pPr>
      <w:r>
        <w:rPr>
          <w:color w:val="auto"/>
          <w:kern w:val="0"/>
          <w:lang w:bidi="en-US"/>
        </w:rPr>
        <w:t>模块单元间接缝防水施工应制定专项</w:t>
      </w:r>
      <w:r>
        <w:rPr>
          <w:rFonts w:hint="eastAsia"/>
          <w:color w:val="auto"/>
          <w:kern w:val="0"/>
          <w:lang w:bidi="en-US"/>
        </w:rPr>
        <w:t>施工及</w:t>
      </w:r>
      <w:r>
        <w:rPr>
          <w:color w:val="auto"/>
          <w:kern w:val="0"/>
          <w:lang w:bidi="en-US"/>
        </w:rPr>
        <w:t>验收方案。</w:t>
      </w:r>
    </w:p>
    <w:p w14:paraId="0C806223">
      <w:pPr>
        <w:pStyle w:val="33"/>
        <w:rPr>
          <w:color w:val="auto"/>
        </w:rPr>
      </w:pPr>
      <w:r>
        <w:rPr>
          <w:rFonts w:hint="eastAsia" w:ascii="楷体" w:hAnsi="楷体" w:cs="楷体"/>
          <w:color w:val="auto"/>
          <w:szCs w:val="21"/>
        </w:rPr>
        <w:t>【条文说明】</w:t>
      </w:r>
      <w:r>
        <w:rPr>
          <w:rFonts w:hint="eastAsia"/>
          <w:color w:val="auto"/>
        </w:rPr>
        <w:t>模块化框架结构中的模块单元采用干式连接时，模块单元间接缝较多，应制定专项施工及验收方案。</w:t>
      </w:r>
    </w:p>
    <w:p w14:paraId="576FDF7D">
      <w:pPr>
        <w:widowControl/>
        <w:numPr>
          <w:ilvl w:val="0"/>
          <w:numId w:val="37"/>
        </w:numPr>
        <w:spacing w:line="312" w:lineRule="auto"/>
        <w:rPr>
          <w:color w:val="auto"/>
          <w:kern w:val="0"/>
          <w:lang w:bidi="en-US"/>
        </w:rPr>
      </w:pPr>
      <w:r>
        <w:rPr>
          <w:color w:val="auto"/>
          <w:kern w:val="0"/>
          <w:lang w:bidi="en-US"/>
        </w:rPr>
        <w:t>外墙板接缝防水施工应符合下列规定：</w:t>
      </w:r>
    </w:p>
    <w:p w14:paraId="7F3B6D8D">
      <w:pPr>
        <w:spacing w:line="312" w:lineRule="auto"/>
        <w:ind w:firstLine="422" w:firstLineChars="200"/>
        <w:rPr>
          <w:rFonts w:eastAsia="PMingLiU"/>
          <w:color w:val="auto"/>
        </w:rPr>
      </w:pPr>
      <w:r>
        <w:rPr>
          <w:b/>
          <w:bCs/>
          <w:color w:val="auto"/>
        </w:rPr>
        <w:t xml:space="preserve">1  </w:t>
      </w:r>
      <w:r>
        <w:rPr>
          <w:rFonts w:hint="eastAsia"/>
          <w:color w:val="auto"/>
        </w:rPr>
        <w:t>防水施工前，应将板缝空腔清理干净；</w:t>
      </w:r>
    </w:p>
    <w:p w14:paraId="3FD83DED">
      <w:pPr>
        <w:spacing w:line="312" w:lineRule="auto"/>
        <w:ind w:firstLine="422" w:firstLineChars="200"/>
        <w:rPr>
          <w:rFonts w:eastAsia="PMingLiU"/>
          <w:color w:val="auto"/>
        </w:rPr>
      </w:pPr>
      <w:r>
        <w:rPr>
          <w:b/>
          <w:bCs/>
          <w:color w:val="auto"/>
        </w:rPr>
        <w:t xml:space="preserve">2  </w:t>
      </w:r>
      <w:r>
        <w:rPr>
          <w:rFonts w:hint="eastAsia" w:ascii="宋体" w:hAnsi="宋体"/>
          <w:color w:val="auto"/>
        </w:rPr>
        <w:t>接缝处应填塞防水密封材料</w:t>
      </w:r>
      <w:r>
        <w:rPr>
          <w:rFonts w:hint="eastAsia"/>
          <w:color w:val="auto"/>
        </w:rPr>
        <w:t>；</w:t>
      </w:r>
    </w:p>
    <w:p w14:paraId="38ECADB0">
      <w:pPr>
        <w:numPr>
          <w:ilvl w:val="255"/>
          <w:numId w:val="0"/>
        </w:numPr>
        <w:tabs>
          <w:tab w:val="left" w:pos="0"/>
        </w:tabs>
        <w:spacing w:line="312" w:lineRule="auto"/>
        <w:ind w:firstLine="422" w:firstLineChars="200"/>
        <w:rPr>
          <w:color w:val="auto"/>
          <w:kern w:val="0"/>
          <w:lang w:bidi="en-US"/>
        </w:rPr>
      </w:pPr>
      <w:r>
        <w:rPr>
          <w:b/>
          <w:bCs/>
          <w:color w:val="auto"/>
        </w:rPr>
        <w:t xml:space="preserve">3  </w:t>
      </w:r>
      <w:r>
        <w:rPr>
          <w:rFonts w:hint="eastAsia"/>
          <w:color w:val="auto"/>
        </w:rPr>
        <w:t>密封材料嵌填应饱满、密实、均匀、顺直、表面平滑，其厚度应满足设计要求。</w:t>
      </w:r>
    </w:p>
    <w:p w14:paraId="48B5BECB">
      <w:pPr>
        <w:numPr>
          <w:ilvl w:val="0"/>
          <w:numId w:val="37"/>
        </w:numPr>
        <w:spacing w:line="312" w:lineRule="auto"/>
        <w:rPr>
          <w:color w:val="auto"/>
          <w:kern w:val="0"/>
          <w:lang w:bidi="en-US"/>
        </w:rPr>
      </w:pPr>
      <w:r>
        <w:rPr>
          <w:color w:val="auto"/>
          <w:kern w:val="0"/>
          <w:lang w:bidi="en-US"/>
        </w:rPr>
        <w:t>模块</w:t>
      </w:r>
      <w:r>
        <w:rPr>
          <w:rFonts w:hint="eastAsia"/>
          <w:color w:val="auto"/>
          <w:kern w:val="0"/>
          <w:lang w:bidi="en-US"/>
        </w:rPr>
        <w:t>化</w:t>
      </w:r>
      <w:r>
        <w:rPr>
          <w:color w:val="auto"/>
          <w:kern w:val="0"/>
          <w:lang w:bidi="en-US"/>
        </w:rPr>
        <w:t>建筑接缝防水构造处理，应符合设计要求和国家现行标准《屋面工程技术规范》GB 50345、《建筑幕墙》GB/T 21086、《建筑外墙防水工程技术规程》JGJ/T 235、《玻璃幕墙工程技术规范》JGJ 102、《金属与石材幕墙工程技术规范》JGJ 133及《人造板材幕墙工程技术规范》JGJ 336的规定。</w:t>
      </w:r>
    </w:p>
    <w:p w14:paraId="414065BC">
      <w:pPr>
        <w:pStyle w:val="3"/>
        <w:rPr>
          <w:color w:val="auto"/>
        </w:rPr>
      </w:pPr>
      <w:bookmarkStart w:id="427" w:name="_Toc17413"/>
      <w:bookmarkStart w:id="428" w:name="_Toc6457"/>
      <w:bookmarkStart w:id="429" w:name="_Toc8404"/>
      <w:bookmarkStart w:id="430" w:name="_Toc22863"/>
      <w:bookmarkStart w:id="431" w:name="_Toc7984"/>
      <w:bookmarkStart w:id="432" w:name="_Toc10085"/>
      <w:bookmarkStart w:id="433" w:name="_Toc19504"/>
      <w:bookmarkStart w:id="434" w:name="_Toc31416"/>
      <w:bookmarkStart w:id="435" w:name="_Toc15899"/>
      <w:r>
        <w:rPr>
          <w:b/>
          <w:bCs w:val="0"/>
          <w:color w:val="auto"/>
        </w:rPr>
        <w:t>10</w:t>
      </w:r>
      <w:r>
        <w:rPr>
          <w:rFonts w:hint="eastAsia"/>
          <w:b/>
          <w:bCs w:val="0"/>
          <w:color w:val="auto"/>
        </w:rPr>
        <w:t>.</w:t>
      </w:r>
      <w:r>
        <w:rPr>
          <w:b/>
          <w:bCs w:val="0"/>
          <w:color w:val="auto"/>
        </w:rPr>
        <w:t>5</w:t>
      </w:r>
      <w:r>
        <w:rPr>
          <w:rFonts w:hint="eastAsia"/>
          <w:color w:val="auto"/>
        </w:rPr>
        <w:t xml:space="preserve">  施工安全与环境保护</w:t>
      </w:r>
      <w:bookmarkEnd w:id="427"/>
      <w:bookmarkEnd w:id="428"/>
      <w:bookmarkEnd w:id="429"/>
      <w:bookmarkEnd w:id="430"/>
      <w:bookmarkEnd w:id="431"/>
      <w:bookmarkEnd w:id="432"/>
      <w:bookmarkEnd w:id="433"/>
      <w:bookmarkEnd w:id="434"/>
      <w:bookmarkEnd w:id="435"/>
    </w:p>
    <w:p w14:paraId="5A4D335A">
      <w:pPr>
        <w:numPr>
          <w:ilvl w:val="0"/>
          <w:numId w:val="38"/>
        </w:numPr>
        <w:spacing w:line="312" w:lineRule="auto"/>
        <w:rPr>
          <w:color w:val="auto"/>
        </w:rPr>
      </w:pPr>
      <w:r>
        <w:rPr>
          <w:rFonts w:hint="eastAsia"/>
          <w:color w:val="auto"/>
        </w:rPr>
        <w:t>施工作业使用的专用吊具、吊索、定型工具式支撑、支架等，应进行安全验算，使用中进行定期检查，确保其安全状态。</w:t>
      </w:r>
    </w:p>
    <w:p w14:paraId="04AADFF9">
      <w:pPr>
        <w:numPr>
          <w:ilvl w:val="0"/>
          <w:numId w:val="38"/>
        </w:numPr>
        <w:spacing w:line="312" w:lineRule="auto"/>
        <w:rPr>
          <w:color w:val="auto"/>
        </w:rPr>
      </w:pPr>
      <w:r>
        <w:rPr>
          <w:rFonts w:hint="eastAsia"/>
          <w:color w:val="auto"/>
        </w:rPr>
        <w:t>吊装作业安全应符合下列规定：</w:t>
      </w:r>
    </w:p>
    <w:p w14:paraId="5D2B7DBD">
      <w:pPr>
        <w:spacing w:line="312" w:lineRule="auto"/>
        <w:ind w:firstLine="422" w:firstLineChars="200"/>
        <w:rPr>
          <w:b/>
          <w:color w:val="auto"/>
        </w:rPr>
      </w:pPr>
      <w:r>
        <w:rPr>
          <w:rFonts w:hint="eastAsia"/>
          <w:b/>
          <w:color w:val="auto"/>
        </w:rPr>
        <w:t>1</w:t>
      </w:r>
      <w:r>
        <w:rPr>
          <w:b/>
          <w:color w:val="auto"/>
        </w:rPr>
        <w:t xml:space="preserve">  </w:t>
      </w:r>
      <w:r>
        <w:rPr>
          <w:rFonts w:hint="eastAsia"/>
          <w:color w:val="auto"/>
        </w:rPr>
        <w:t>遇到大雨、大雾、大雪及</w:t>
      </w:r>
      <w:r>
        <w:rPr>
          <w:color w:val="auto"/>
        </w:rPr>
        <w:t>5</w:t>
      </w:r>
      <w:r>
        <w:rPr>
          <w:rFonts w:hint="eastAsia"/>
          <w:color w:val="auto"/>
        </w:rPr>
        <w:t>级以上大风等恶劣天气时，不得进行吊装作业；</w:t>
      </w:r>
    </w:p>
    <w:p w14:paraId="0F4D4ED5">
      <w:pPr>
        <w:spacing w:line="312" w:lineRule="auto"/>
        <w:ind w:firstLine="422" w:firstLineChars="200"/>
        <w:rPr>
          <w:color w:val="auto"/>
        </w:rPr>
      </w:pPr>
      <w:r>
        <w:rPr>
          <w:rFonts w:hint="eastAsia"/>
          <w:b/>
          <w:color w:val="auto"/>
        </w:rPr>
        <w:t>2</w:t>
      </w:r>
      <w:r>
        <w:rPr>
          <w:b/>
          <w:color w:val="auto"/>
        </w:rPr>
        <w:t xml:space="preserve">  </w:t>
      </w:r>
      <w:r>
        <w:rPr>
          <w:rFonts w:hint="eastAsia"/>
          <w:color w:val="auto"/>
        </w:rPr>
        <w:t>起吊后，应先将模块单元提升</w:t>
      </w:r>
      <w:r>
        <w:rPr>
          <w:color w:val="auto"/>
        </w:rPr>
        <w:t>300mm</w:t>
      </w:r>
      <w:r>
        <w:rPr>
          <w:rFonts w:hint="eastAsia"/>
          <w:color w:val="auto"/>
        </w:rPr>
        <w:t>左右，确保吊装安全且构件平稳后，方可缓慢提升构件；</w:t>
      </w:r>
    </w:p>
    <w:p w14:paraId="7A985D65">
      <w:pPr>
        <w:spacing w:line="312" w:lineRule="auto"/>
        <w:ind w:firstLine="422" w:firstLineChars="200"/>
        <w:rPr>
          <w:color w:val="auto"/>
        </w:rPr>
      </w:pPr>
      <w:r>
        <w:rPr>
          <w:rFonts w:hint="eastAsia"/>
          <w:b/>
          <w:color w:val="auto"/>
        </w:rPr>
        <w:t>3</w:t>
      </w:r>
      <w:r>
        <w:rPr>
          <w:b/>
          <w:color w:val="auto"/>
        </w:rPr>
        <w:t xml:space="preserve">  </w:t>
      </w:r>
      <w:r>
        <w:rPr>
          <w:rFonts w:hint="eastAsia"/>
          <w:color w:val="auto"/>
        </w:rPr>
        <w:t>吊装作业区域四周应设置明显标志，严禁非操作人员入内。夜间不宜作业，当确需夜间作业时，应有足够的照明；</w:t>
      </w:r>
    </w:p>
    <w:p w14:paraId="3FB9659B">
      <w:pPr>
        <w:spacing w:line="312" w:lineRule="auto"/>
        <w:ind w:firstLine="422" w:firstLineChars="200"/>
        <w:rPr>
          <w:color w:val="auto"/>
        </w:rPr>
      </w:pPr>
      <w:r>
        <w:rPr>
          <w:rFonts w:hint="eastAsia"/>
          <w:b/>
          <w:color w:val="auto"/>
        </w:rPr>
        <w:t>4</w:t>
      </w:r>
      <w:r>
        <w:rPr>
          <w:b/>
          <w:color w:val="auto"/>
        </w:rPr>
        <w:t xml:space="preserve">  </w:t>
      </w:r>
      <w:r>
        <w:rPr>
          <w:rFonts w:hint="eastAsia"/>
          <w:color w:val="auto"/>
        </w:rPr>
        <w:t>高空作业时，可通过牵引绳调整模块单元方向，严禁直接手扶模块单元；</w:t>
      </w:r>
    </w:p>
    <w:p w14:paraId="724C742E">
      <w:pPr>
        <w:spacing w:line="312" w:lineRule="auto"/>
        <w:ind w:firstLine="422" w:firstLineChars="200"/>
        <w:rPr>
          <w:color w:val="auto"/>
        </w:rPr>
      </w:pPr>
      <w:r>
        <w:rPr>
          <w:rFonts w:hint="eastAsia"/>
          <w:b/>
          <w:color w:val="auto"/>
        </w:rPr>
        <w:t>5</w:t>
      </w:r>
      <w:r>
        <w:rPr>
          <w:b/>
          <w:color w:val="auto"/>
        </w:rPr>
        <w:t xml:space="preserve">  </w:t>
      </w:r>
      <w:r>
        <w:rPr>
          <w:rFonts w:hint="eastAsia"/>
          <w:color w:val="auto"/>
        </w:rPr>
        <w:t>就位时，应在模块单元降落至距地面</w:t>
      </w:r>
      <w:r>
        <w:rPr>
          <w:color w:val="auto"/>
        </w:rPr>
        <w:t>1m</w:t>
      </w:r>
      <w:r>
        <w:rPr>
          <w:rFonts w:hint="eastAsia"/>
          <w:color w:val="auto"/>
        </w:rPr>
        <w:t>以内，作业人员才可靠近，应待模块单元就位固定后进行脱钩；</w:t>
      </w:r>
    </w:p>
    <w:p w14:paraId="2EA28438">
      <w:pPr>
        <w:spacing w:line="312" w:lineRule="auto"/>
        <w:ind w:firstLine="422" w:firstLineChars="200"/>
        <w:rPr>
          <w:color w:val="auto"/>
        </w:rPr>
      </w:pPr>
      <w:r>
        <w:rPr>
          <w:b/>
          <w:color w:val="auto"/>
        </w:rPr>
        <w:t xml:space="preserve">6  </w:t>
      </w:r>
      <w:r>
        <w:rPr>
          <w:rFonts w:hint="eastAsia"/>
          <w:color w:val="auto"/>
        </w:rPr>
        <w:t>模块单元吊装时应设置有效的</w:t>
      </w:r>
      <w:r>
        <w:rPr>
          <w:color w:val="auto"/>
        </w:rPr>
        <w:t>防护系统</w:t>
      </w:r>
      <w:r>
        <w:rPr>
          <w:rFonts w:hint="eastAsia"/>
          <w:color w:val="auto"/>
        </w:rPr>
        <w:t>，防护系统应经计算确定。</w:t>
      </w:r>
    </w:p>
    <w:p w14:paraId="6E47CCD0">
      <w:pPr>
        <w:numPr>
          <w:ilvl w:val="0"/>
          <w:numId w:val="38"/>
        </w:numPr>
        <w:spacing w:line="312" w:lineRule="auto"/>
        <w:rPr>
          <w:color w:val="auto"/>
        </w:rPr>
      </w:pPr>
      <w:r>
        <w:rPr>
          <w:rFonts w:hint="eastAsia"/>
          <w:color w:val="auto"/>
        </w:rPr>
        <w:t>模块化建筑施工过程中，凡涉及临边与洞口作业、攀登与悬空作业、操作平台、交叉作业及安全网搭设的，应采取有效的高处作业安全技术措施。</w:t>
      </w:r>
    </w:p>
    <w:p w14:paraId="7369775D">
      <w:pPr>
        <w:numPr>
          <w:ilvl w:val="0"/>
          <w:numId w:val="38"/>
        </w:numPr>
        <w:spacing w:line="312" w:lineRule="auto"/>
        <w:rPr>
          <w:color w:val="auto"/>
        </w:rPr>
      </w:pPr>
      <w:r>
        <w:rPr>
          <w:rFonts w:hint="eastAsia"/>
          <w:color w:val="auto"/>
        </w:rPr>
        <w:t>模块单元吊装就位后，应根据设计要求采取可靠的临时固定措施。</w:t>
      </w:r>
    </w:p>
    <w:p w14:paraId="3CFA34FC">
      <w:pPr>
        <w:pStyle w:val="33"/>
        <w:rPr>
          <w:color w:val="auto"/>
        </w:rPr>
      </w:pPr>
      <w:r>
        <w:rPr>
          <w:rFonts w:hint="eastAsia" w:ascii="楷体" w:hAnsi="楷体" w:cs="楷体"/>
          <w:color w:val="auto"/>
          <w:szCs w:val="21"/>
        </w:rPr>
        <w:t>【条文说明】</w:t>
      </w:r>
      <w:r>
        <w:rPr>
          <w:rFonts w:hint="eastAsia"/>
          <w:color w:val="auto"/>
        </w:rPr>
        <w:t>模块单元安装定位后，在模块单元相互连接之前，模块单元并未与建筑结构实现稳固连接，因此需要设置临时固定措施，防止模块单元在风力作用下产生倾覆和滑移。</w:t>
      </w:r>
    </w:p>
    <w:p w14:paraId="3D54920C">
      <w:pPr>
        <w:numPr>
          <w:ilvl w:val="0"/>
          <w:numId w:val="38"/>
        </w:numPr>
        <w:spacing w:line="312" w:lineRule="auto"/>
        <w:rPr>
          <w:color w:val="auto"/>
        </w:rPr>
      </w:pPr>
      <w:r>
        <w:rPr>
          <w:rFonts w:hint="eastAsia"/>
          <w:color w:val="auto"/>
        </w:rPr>
        <w:t>施工现场应加强对废水、污水的管理，现场应设置污水池和排水沟。废水、废弃涂料、胶料应统一处理，严禁未经处理直接排入下水管道。</w:t>
      </w:r>
    </w:p>
    <w:p w14:paraId="7BDF934A">
      <w:pPr>
        <w:numPr>
          <w:ilvl w:val="0"/>
          <w:numId w:val="38"/>
        </w:numPr>
        <w:spacing w:line="312" w:lineRule="auto"/>
        <w:rPr>
          <w:color w:val="auto"/>
        </w:rPr>
        <w:sectPr>
          <w:pgSz w:w="11906" w:h="16838"/>
          <w:pgMar w:top="1440" w:right="1800" w:bottom="1440" w:left="1800" w:header="851" w:footer="992" w:gutter="0"/>
          <w:cols w:space="425" w:num="1"/>
          <w:docGrid w:type="lines" w:linePitch="312" w:charSpace="0"/>
        </w:sectPr>
      </w:pPr>
      <w:r>
        <w:rPr>
          <w:rFonts w:hint="eastAsia"/>
          <w:color w:val="auto"/>
        </w:rPr>
        <w:t>模块单元安装过程中废弃物等应进行分类回收。施工中产生的胶粘剂、稀释剂等易燃易爆废弃物应及时收集至指定储存器内并按规定回收，严禁丢弃未经处理的废弃物。</w:t>
      </w:r>
    </w:p>
    <w:p w14:paraId="1A4740D6">
      <w:pPr>
        <w:pStyle w:val="2"/>
        <w:rPr>
          <w:bCs/>
          <w:color w:val="auto"/>
        </w:rPr>
      </w:pPr>
      <w:bookmarkStart w:id="436" w:name="_Toc110958506"/>
      <w:bookmarkStart w:id="437" w:name="_Toc19759"/>
      <w:bookmarkStart w:id="438" w:name="_Toc32068"/>
      <w:bookmarkStart w:id="439" w:name="_Toc110952738"/>
      <w:bookmarkStart w:id="440" w:name="_Toc9079"/>
      <w:bookmarkStart w:id="441" w:name="_Toc1523"/>
      <w:bookmarkStart w:id="442" w:name="_Toc3824"/>
      <w:bookmarkStart w:id="443" w:name="_Toc4701"/>
      <w:bookmarkStart w:id="444" w:name="_Toc30263"/>
      <w:bookmarkStart w:id="445" w:name="_Toc21835"/>
      <w:bookmarkStart w:id="446" w:name="_Toc31740"/>
      <w:r>
        <w:rPr>
          <w:b/>
          <w:bCs/>
          <w:color w:val="auto"/>
        </w:rPr>
        <w:t>11</w:t>
      </w:r>
      <w:r>
        <w:rPr>
          <w:rFonts w:hint="eastAsia"/>
          <w:color w:val="auto"/>
        </w:rPr>
        <w:t xml:space="preserve">  </w:t>
      </w:r>
      <w:r>
        <w:rPr>
          <w:rFonts w:hint="eastAsia"/>
          <w:bCs/>
          <w:color w:val="auto"/>
        </w:rPr>
        <w:t>质量验收</w:t>
      </w:r>
      <w:bookmarkEnd w:id="436"/>
      <w:bookmarkEnd w:id="437"/>
      <w:bookmarkEnd w:id="438"/>
      <w:bookmarkEnd w:id="439"/>
      <w:bookmarkEnd w:id="440"/>
      <w:bookmarkEnd w:id="441"/>
      <w:bookmarkEnd w:id="442"/>
      <w:bookmarkEnd w:id="443"/>
      <w:bookmarkEnd w:id="444"/>
      <w:bookmarkEnd w:id="445"/>
      <w:bookmarkEnd w:id="446"/>
    </w:p>
    <w:p w14:paraId="1C87BAE1">
      <w:pPr>
        <w:pStyle w:val="3"/>
        <w:rPr>
          <w:color w:val="auto"/>
        </w:rPr>
      </w:pPr>
      <w:bookmarkStart w:id="447" w:name="_Toc185003311"/>
      <w:bookmarkStart w:id="448" w:name="_Toc185003056"/>
      <w:bookmarkStart w:id="449" w:name="_Toc4296"/>
      <w:r>
        <w:rPr>
          <w:b/>
          <w:bCs w:val="0"/>
          <w:color w:val="auto"/>
        </w:rPr>
        <w:t>11</w:t>
      </w:r>
      <w:r>
        <w:rPr>
          <w:rFonts w:hint="eastAsia"/>
          <w:b/>
          <w:bCs w:val="0"/>
          <w:color w:val="auto"/>
        </w:rPr>
        <w:t>.</w:t>
      </w:r>
      <w:r>
        <w:rPr>
          <w:b/>
          <w:bCs w:val="0"/>
          <w:color w:val="auto"/>
        </w:rPr>
        <w:t>1</w:t>
      </w:r>
      <w:r>
        <w:rPr>
          <w:rFonts w:hint="eastAsia"/>
          <w:color w:val="auto"/>
        </w:rPr>
        <w:t xml:space="preserve">  一般规定</w:t>
      </w:r>
      <w:bookmarkEnd w:id="447"/>
      <w:bookmarkEnd w:id="448"/>
      <w:bookmarkEnd w:id="449"/>
    </w:p>
    <w:p w14:paraId="15D735E9">
      <w:pPr>
        <w:spacing w:line="312" w:lineRule="auto"/>
        <w:rPr>
          <w:color w:val="auto"/>
        </w:rPr>
      </w:pPr>
      <w:r>
        <w:rPr>
          <w:b/>
          <w:bCs/>
          <w:color w:val="auto"/>
        </w:rPr>
        <w:t>11</w:t>
      </w:r>
      <w:r>
        <w:rPr>
          <w:rFonts w:ascii="宋体" w:hAnsi="宋体"/>
          <w:b/>
          <w:bCs/>
          <w:color w:val="auto"/>
        </w:rPr>
        <w:t>.</w:t>
      </w:r>
      <w:r>
        <w:rPr>
          <w:b/>
          <w:bCs/>
          <w:color w:val="auto"/>
        </w:rPr>
        <w:t>1</w:t>
      </w:r>
      <w:r>
        <w:rPr>
          <w:rFonts w:ascii="宋体" w:hAnsi="宋体"/>
          <w:b/>
          <w:bCs/>
          <w:color w:val="auto"/>
        </w:rPr>
        <w:t>.</w:t>
      </w:r>
      <w:r>
        <w:rPr>
          <w:b/>
          <w:bCs/>
          <w:color w:val="auto"/>
        </w:rPr>
        <w:t xml:space="preserve">1  </w:t>
      </w:r>
      <w:r>
        <w:rPr>
          <w:rFonts w:hint="eastAsia"/>
          <w:color w:val="auto"/>
        </w:rPr>
        <w:t>混凝土模块化建筑的检验批、分项工程、分部（子分部）及单位工程的验收，除本标准有特殊规定外，尚应符合现行国家标准《建筑工程施工质量验收统一标准》</w:t>
      </w:r>
      <w:r>
        <w:rPr>
          <w:color w:val="auto"/>
        </w:rPr>
        <w:t>GB 50300</w:t>
      </w:r>
      <w:r>
        <w:rPr>
          <w:rFonts w:hint="eastAsia"/>
          <w:color w:val="auto"/>
        </w:rPr>
        <w:t>、《混凝土结构工程施工质量验收规范》</w:t>
      </w:r>
      <w:r>
        <w:rPr>
          <w:color w:val="auto"/>
        </w:rPr>
        <w:t>GB 50204</w:t>
      </w:r>
      <w:r>
        <w:rPr>
          <w:rFonts w:hint="eastAsia"/>
          <w:color w:val="auto"/>
        </w:rPr>
        <w:t>的有关规定。</w:t>
      </w:r>
    </w:p>
    <w:p w14:paraId="284AF093">
      <w:pPr>
        <w:spacing w:line="312" w:lineRule="auto"/>
        <w:rPr>
          <w:color w:val="auto"/>
        </w:rPr>
      </w:pPr>
      <w:r>
        <w:rPr>
          <w:b/>
          <w:color w:val="auto"/>
        </w:rPr>
        <w:t>11</w:t>
      </w:r>
      <w:r>
        <w:rPr>
          <w:rFonts w:ascii="宋体" w:hAnsi="宋体"/>
          <w:b/>
          <w:color w:val="auto"/>
        </w:rPr>
        <w:t>.</w:t>
      </w:r>
      <w:r>
        <w:rPr>
          <w:b/>
          <w:color w:val="auto"/>
        </w:rPr>
        <w:t>1</w:t>
      </w:r>
      <w:r>
        <w:rPr>
          <w:rFonts w:ascii="宋体" w:hAnsi="宋体"/>
          <w:b/>
          <w:color w:val="auto"/>
        </w:rPr>
        <w:t>.</w:t>
      </w:r>
      <w:r>
        <w:rPr>
          <w:b/>
          <w:color w:val="auto"/>
        </w:rPr>
        <w:t xml:space="preserve">2  </w:t>
      </w:r>
      <w:r>
        <w:rPr>
          <w:rFonts w:hint="eastAsia"/>
          <w:color w:val="auto"/>
        </w:rPr>
        <w:t>混凝土模块</w:t>
      </w:r>
      <w:r>
        <w:rPr>
          <w:rFonts w:hint="eastAsia"/>
          <w:color w:val="auto"/>
        </w:rPr>
        <w:t>化结构工程应按混凝土结构子分部工程和模块单元子分部工程进行验收，混凝土结构子分部中其他分项工程应符合现行国家标准《混凝土结构工程施工质量验收规范》GB 50204的有关规定。</w:t>
      </w:r>
    </w:p>
    <w:p w14:paraId="1CE293F0">
      <w:pPr>
        <w:pStyle w:val="33"/>
        <w:ind w:firstLineChars="0"/>
        <w:rPr>
          <w:color w:val="auto"/>
          <w:szCs w:val="21"/>
        </w:rPr>
      </w:pPr>
      <w:r>
        <w:rPr>
          <w:color w:val="auto"/>
          <w:szCs w:val="21"/>
        </w:rPr>
        <w:t>【条文说明】</w:t>
      </w:r>
      <w:r>
        <w:rPr>
          <w:rFonts w:hint="eastAsia"/>
          <w:color w:val="auto"/>
          <w:szCs w:val="21"/>
        </w:rPr>
        <w:t>模块单元进场验收合格后一般可视为涉及的承重构件、围护构件、机电管线等合格。涉及主体结构安全的构件，宜进行实体结构性能检验，结构性能检验应符合《装配式混凝土建筑技术标准》GB/T</w:t>
      </w:r>
      <w:r>
        <w:rPr>
          <w:rFonts w:hint="eastAsia"/>
          <w:color w:val="auto"/>
          <w:szCs w:val="21"/>
        </w:rPr>
        <w:t xml:space="preserve"> </w:t>
      </w:r>
      <w:r>
        <w:rPr>
          <w:rFonts w:hint="eastAsia"/>
          <w:color w:val="auto"/>
          <w:szCs w:val="21"/>
        </w:rPr>
        <w:t>51231中11.2.2条的规定。</w:t>
      </w:r>
    </w:p>
    <w:p w14:paraId="39827C00">
      <w:pPr>
        <w:pStyle w:val="33"/>
        <w:ind w:firstLineChars="0"/>
        <w:rPr>
          <w:color w:val="auto"/>
          <w:szCs w:val="21"/>
        </w:rPr>
      </w:pPr>
      <w:r>
        <w:rPr>
          <w:color w:val="auto"/>
          <w:szCs w:val="21"/>
        </w:rPr>
        <w:t>模块化建筑的</w:t>
      </w:r>
      <w:r>
        <w:rPr>
          <w:rFonts w:hint="eastAsia"/>
          <w:color w:val="auto"/>
          <w:szCs w:val="21"/>
        </w:rPr>
        <w:t>主体</w:t>
      </w:r>
      <w:r>
        <w:rPr>
          <w:color w:val="auto"/>
          <w:szCs w:val="21"/>
        </w:rPr>
        <w:t>结构工程应</w:t>
      </w:r>
      <w:r>
        <w:rPr>
          <w:rFonts w:hint="eastAsia"/>
          <w:color w:val="auto"/>
          <w:szCs w:val="21"/>
        </w:rPr>
        <w:t>分为模块单元、模块单元安装与连接验收和非模块单元部分施工质量验收，</w:t>
      </w:r>
      <w:r>
        <w:rPr>
          <w:color w:val="auto"/>
          <w:szCs w:val="21"/>
        </w:rPr>
        <w:t>当模块化建筑结构工程存在现浇混凝土施工段时，应按现行国家标准《混凝土结构工程施工质量验收规范》GB 50204的规定进行其他分部工程和检验批的验收。</w:t>
      </w:r>
    </w:p>
    <w:p w14:paraId="2B3BA868">
      <w:pPr>
        <w:pStyle w:val="33"/>
        <w:ind w:firstLineChars="0"/>
        <w:rPr>
          <w:color w:val="auto"/>
          <w:szCs w:val="21"/>
        </w:rPr>
      </w:pPr>
      <w:r>
        <w:rPr>
          <w:color w:val="auto"/>
          <w:szCs w:val="21"/>
        </w:rPr>
        <w:t>模块化建筑中涉及建筑装饰装修、建筑给水排水及采暖、通风与空调、建筑电气、智能建筑等分部工程应分为模块单元连接和非模块单元部分现场施工，模块单元连接应符合设计</w:t>
      </w:r>
      <w:r>
        <w:rPr>
          <w:rFonts w:hint="eastAsia"/>
          <w:color w:val="auto"/>
          <w:szCs w:val="21"/>
        </w:rPr>
        <w:t>要求</w:t>
      </w:r>
      <w:r>
        <w:rPr>
          <w:color w:val="auto"/>
          <w:szCs w:val="21"/>
        </w:rPr>
        <w:t>和</w:t>
      </w:r>
      <w:r>
        <w:rPr>
          <w:rFonts w:hint="eastAsia"/>
          <w:color w:val="auto"/>
          <w:szCs w:val="21"/>
        </w:rPr>
        <w:t>本标准</w:t>
      </w:r>
      <w:r>
        <w:rPr>
          <w:color w:val="auto"/>
          <w:szCs w:val="21"/>
        </w:rPr>
        <w:t>的规定，非模块单元部分的现场施工按国家现行标准进行质量验收。</w:t>
      </w:r>
    </w:p>
    <w:p w14:paraId="31A4B21A">
      <w:pPr>
        <w:spacing w:line="312" w:lineRule="auto"/>
        <w:rPr>
          <w:color w:val="auto"/>
          <w:szCs w:val="24"/>
        </w:rPr>
      </w:pPr>
      <w:r>
        <w:rPr>
          <w:b/>
          <w:color w:val="auto"/>
        </w:rPr>
        <w:t>11</w:t>
      </w:r>
      <w:r>
        <w:rPr>
          <w:rFonts w:ascii="宋体" w:hAnsi="宋体"/>
          <w:b/>
          <w:color w:val="auto"/>
        </w:rPr>
        <w:t>.</w:t>
      </w:r>
      <w:r>
        <w:rPr>
          <w:b/>
          <w:color w:val="auto"/>
        </w:rPr>
        <w:t>1</w:t>
      </w:r>
      <w:r>
        <w:rPr>
          <w:rFonts w:ascii="宋体" w:hAnsi="宋体"/>
          <w:b/>
          <w:color w:val="auto"/>
        </w:rPr>
        <w:t>.</w:t>
      </w:r>
      <w:r>
        <w:rPr>
          <w:b/>
          <w:color w:val="auto"/>
        </w:rPr>
        <w:t xml:space="preserve">3  </w:t>
      </w:r>
      <w:r>
        <w:rPr>
          <w:rFonts w:hint="eastAsia"/>
          <w:color w:val="auto"/>
          <w:szCs w:val="24"/>
        </w:rPr>
        <w:t>室内给水排水系统应按模块单元子分部工程和单位工程的分部工程分别验收，其施工质量要求和验收标准均应符合现行国家标准《建筑给水排水及采暖工程施工质量验收规范》</w:t>
      </w:r>
      <w:r>
        <w:rPr>
          <w:color w:val="auto"/>
          <w:szCs w:val="24"/>
        </w:rPr>
        <w:t>GB 50242</w:t>
      </w:r>
      <w:r>
        <w:rPr>
          <w:rFonts w:hint="eastAsia"/>
          <w:color w:val="auto"/>
          <w:szCs w:val="24"/>
        </w:rPr>
        <w:t>的有关规定。</w:t>
      </w:r>
    </w:p>
    <w:p w14:paraId="5BED2FB2">
      <w:pPr>
        <w:spacing w:line="312" w:lineRule="auto"/>
        <w:rPr>
          <w:color w:val="auto"/>
          <w:szCs w:val="24"/>
        </w:rPr>
      </w:pPr>
      <w:r>
        <w:rPr>
          <w:b/>
          <w:color w:val="auto"/>
        </w:rPr>
        <w:t>11</w:t>
      </w:r>
      <w:r>
        <w:rPr>
          <w:rFonts w:ascii="宋体" w:hAnsi="宋体"/>
          <w:b/>
          <w:color w:val="auto"/>
        </w:rPr>
        <w:t>.</w:t>
      </w:r>
      <w:r>
        <w:rPr>
          <w:b/>
          <w:color w:val="auto"/>
        </w:rPr>
        <w:t>1</w:t>
      </w:r>
      <w:r>
        <w:rPr>
          <w:rFonts w:ascii="宋体" w:hAnsi="宋体"/>
          <w:b/>
          <w:color w:val="auto"/>
        </w:rPr>
        <w:t>.</w:t>
      </w:r>
      <w:r>
        <w:rPr>
          <w:b/>
          <w:color w:val="auto"/>
        </w:rPr>
        <w:t xml:space="preserve">4  </w:t>
      </w:r>
      <w:r>
        <w:rPr>
          <w:rFonts w:hint="eastAsia"/>
          <w:color w:val="auto"/>
          <w:szCs w:val="24"/>
        </w:rPr>
        <w:t>室内电气系统、电气装置等的检测应按模块单元子分部工程和单位工程的分部工程分别验收，应符合现行国家标准《建筑电气工程施工质量验收规范》</w:t>
      </w:r>
      <w:r>
        <w:rPr>
          <w:color w:val="auto"/>
          <w:szCs w:val="24"/>
        </w:rPr>
        <w:t>GB 50303</w:t>
      </w:r>
      <w:r>
        <w:rPr>
          <w:rFonts w:hint="eastAsia"/>
          <w:color w:val="auto"/>
          <w:szCs w:val="24"/>
        </w:rPr>
        <w:t>及《火灾自动报警系统施工及验收标准》</w:t>
      </w:r>
      <w:r>
        <w:rPr>
          <w:color w:val="auto"/>
          <w:szCs w:val="24"/>
        </w:rPr>
        <w:t>GB 50166</w:t>
      </w:r>
      <w:r>
        <w:rPr>
          <w:rFonts w:hint="eastAsia"/>
          <w:color w:val="auto"/>
          <w:szCs w:val="24"/>
        </w:rPr>
        <w:t>的有关规定。</w:t>
      </w:r>
    </w:p>
    <w:p w14:paraId="03C913CD">
      <w:pPr>
        <w:spacing w:line="312" w:lineRule="auto"/>
        <w:rPr>
          <w:color w:val="auto"/>
          <w:szCs w:val="24"/>
        </w:rPr>
      </w:pPr>
      <w:r>
        <w:rPr>
          <w:b/>
          <w:color w:val="auto"/>
        </w:rPr>
        <w:t>11</w:t>
      </w:r>
      <w:r>
        <w:rPr>
          <w:rFonts w:ascii="宋体" w:hAnsi="宋体"/>
          <w:b/>
          <w:color w:val="auto"/>
        </w:rPr>
        <w:t>.</w:t>
      </w:r>
      <w:r>
        <w:rPr>
          <w:b/>
          <w:color w:val="auto"/>
        </w:rPr>
        <w:t>1</w:t>
      </w:r>
      <w:r>
        <w:rPr>
          <w:rFonts w:ascii="宋体" w:hAnsi="宋体"/>
          <w:b/>
          <w:color w:val="auto"/>
        </w:rPr>
        <w:t>.</w:t>
      </w:r>
      <w:r>
        <w:rPr>
          <w:b/>
          <w:color w:val="auto"/>
        </w:rPr>
        <w:t xml:space="preserve">5  </w:t>
      </w:r>
      <w:r>
        <w:rPr>
          <w:rFonts w:hint="eastAsia"/>
          <w:color w:val="auto"/>
          <w:szCs w:val="24"/>
        </w:rPr>
        <w:t>通风与空调工程应按模块单元子分部工程和单位工程分部工程分别验收，应符合现行国家标准《通风与空调工程施工质量验收规范》</w:t>
      </w:r>
      <w:r>
        <w:rPr>
          <w:color w:val="auto"/>
          <w:szCs w:val="24"/>
        </w:rPr>
        <w:t>GB 50243</w:t>
      </w:r>
      <w:r>
        <w:rPr>
          <w:rFonts w:hint="eastAsia"/>
          <w:color w:val="auto"/>
          <w:szCs w:val="24"/>
        </w:rPr>
        <w:t>的有关规定。</w:t>
      </w:r>
    </w:p>
    <w:p w14:paraId="7AB653DA">
      <w:pPr>
        <w:spacing w:line="312" w:lineRule="auto"/>
        <w:rPr>
          <w:color w:val="auto"/>
          <w:szCs w:val="24"/>
        </w:rPr>
      </w:pPr>
      <w:r>
        <w:rPr>
          <w:b/>
          <w:color w:val="auto"/>
        </w:rPr>
        <w:t>11</w:t>
      </w:r>
      <w:r>
        <w:rPr>
          <w:rFonts w:ascii="宋体" w:hAnsi="宋体"/>
          <w:b/>
          <w:color w:val="auto"/>
        </w:rPr>
        <w:t>.</w:t>
      </w:r>
      <w:r>
        <w:rPr>
          <w:b/>
          <w:color w:val="auto"/>
        </w:rPr>
        <w:t>1</w:t>
      </w:r>
      <w:r>
        <w:rPr>
          <w:rFonts w:ascii="宋体" w:hAnsi="宋体"/>
          <w:b/>
          <w:color w:val="auto"/>
        </w:rPr>
        <w:t>.</w:t>
      </w:r>
      <w:r>
        <w:rPr>
          <w:b/>
          <w:color w:val="auto"/>
        </w:rPr>
        <w:t xml:space="preserve">6  </w:t>
      </w:r>
      <w:r>
        <w:rPr>
          <w:rFonts w:hint="eastAsia"/>
          <w:bCs/>
          <w:color w:val="auto"/>
        </w:rPr>
        <w:t>建筑装饰装修工程</w:t>
      </w:r>
      <w:r>
        <w:rPr>
          <w:rFonts w:hint="eastAsia"/>
          <w:color w:val="auto"/>
          <w:szCs w:val="24"/>
        </w:rPr>
        <w:t>应按模块单元子分项工程和单位工程分部工程分别验收，应符合</w:t>
      </w:r>
      <w:r>
        <w:rPr>
          <w:rFonts w:hint="eastAsia"/>
          <w:bCs/>
          <w:color w:val="auto"/>
        </w:rPr>
        <w:t>国家现行标准《建筑装饰装修工程质量验收标准》</w:t>
      </w:r>
      <w:r>
        <w:rPr>
          <w:bCs/>
          <w:color w:val="auto"/>
        </w:rPr>
        <w:t>GB 50210</w:t>
      </w:r>
      <w:r>
        <w:rPr>
          <w:rFonts w:hint="eastAsia"/>
          <w:bCs/>
          <w:color w:val="auto"/>
        </w:rPr>
        <w:t>、《建筑轻质条板隔墙技术规程》</w:t>
      </w:r>
      <w:r>
        <w:rPr>
          <w:bCs/>
          <w:color w:val="auto"/>
        </w:rPr>
        <w:t>JGJ/T 157</w:t>
      </w:r>
      <w:r>
        <w:rPr>
          <w:rFonts w:hint="eastAsia"/>
          <w:bCs/>
          <w:color w:val="auto"/>
        </w:rPr>
        <w:t>和《公共建筑吊顶工程技术规程》</w:t>
      </w:r>
      <w:r>
        <w:rPr>
          <w:bCs/>
          <w:color w:val="auto"/>
        </w:rPr>
        <w:t>JGJ 345</w:t>
      </w:r>
      <w:r>
        <w:rPr>
          <w:rFonts w:hint="eastAsia"/>
          <w:bCs/>
          <w:color w:val="auto"/>
        </w:rPr>
        <w:t>的有关规定。</w:t>
      </w:r>
    </w:p>
    <w:p w14:paraId="6076291E">
      <w:pPr>
        <w:spacing w:line="312" w:lineRule="auto"/>
        <w:rPr>
          <w:color w:val="auto"/>
        </w:rPr>
      </w:pPr>
      <w:r>
        <w:rPr>
          <w:b/>
          <w:bCs/>
          <w:color w:val="auto"/>
        </w:rPr>
        <w:t>11</w:t>
      </w:r>
      <w:r>
        <w:rPr>
          <w:rFonts w:ascii="宋体" w:hAnsi="宋体"/>
          <w:b/>
          <w:bCs/>
          <w:color w:val="auto"/>
        </w:rPr>
        <w:t>.</w:t>
      </w:r>
      <w:r>
        <w:rPr>
          <w:b/>
          <w:bCs/>
          <w:color w:val="auto"/>
        </w:rPr>
        <w:t>1</w:t>
      </w:r>
      <w:r>
        <w:rPr>
          <w:rFonts w:ascii="宋体" w:hAnsi="宋体"/>
          <w:b/>
          <w:bCs/>
          <w:color w:val="auto"/>
        </w:rPr>
        <w:t>.</w:t>
      </w:r>
      <w:r>
        <w:rPr>
          <w:b/>
          <w:bCs/>
          <w:color w:val="auto"/>
        </w:rPr>
        <w:t xml:space="preserve">7  </w:t>
      </w:r>
      <w:r>
        <w:rPr>
          <w:rFonts w:hint="eastAsia"/>
          <w:color w:val="auto"/>
        </w:rPr>
        <w:t>混凝土模块化建筑主体结构验收时，应提供下列文件和记录：</w:t>
      </w:r>
    </w:p>
    <w:p w14:paraId="2FCB7FFD">
      <w:pPr>
        <w:spacing w:line="312" w:lineRule="auto"/>
        <w:ind w:firstLine="440" w:firstLineChars="200"/>
        <w:rPr>
          <w:color w:val="auto"/>
        </w:rPr>
      </w:pPr>
      <w:r>
        <w:rPr>
          <w:b/>
          <w:color w:val="auto"/>
        </w:rPr>
        <w:t xml:space="preserve">1  </w:t>
      </w:r>
      <w:r>
        <w:rPr>
          <w:rFonts w:hint="eastAsia"/>
          <w:color w:val="auto"/>
        </w:rPr>
        <w:t>工程设计文件、模块单元制作和安装的深化设计图；</w:t>
      </w:r>
    </w:p>
    <w:p w14:paraId="748C2F96">
      <w:pPr>
        <w:spacing w:line="312" w:lineRule="auto"/>
        <w:ind w:firstLine="440" w:firstLineChars="200"/>
        <w:rPr>
          <w:color w:val="auto"/>
        </w:rPr>
      </w:pPr>
      <w:r>
        <w:rPr>
          <w:b/>
          <w:color w:val="auto"/>
        </w:rPr>
        <w:t xml:space="preserve">2  </w:t>
      </w:r>
      <w:r>
        <w:rPr>
          <w:rFonts w:hint="eastAsia"/>
          <w:color w:val="auto"/>
        </w:rPr>
        <w:t>模块单元、主要材料及配件的产品合格证、质量证明文件、进场验收记录、抽样复验报告；</w:t>
      </w:r>
    </w:p>
    <w:p w14:paraId="6F55F020">
      <w:pPr>
        <w:spacing w:line="312" w:lineRule="auto"/>
        <w:ind w:firstLine="440" w:firstLineChars="200"/>
        <w:rPr>
          <w:color w:val="auto"/>
        </w:rPr>
      </w:pPr>
      <w:r>
        <w:rPr>
          <w:b/>
          <w:color w:val="auto"/>
        </w:rPr>
        <w:t xml:space="preserve">3  </w:t>
      </w:r>
      <w:r>
        <w:rPr>
          <w:rFonts w:hint="eastAsia"/>
          <w:color w:val="auto"/>
        </w:rPr>
        <w:t>模块单元安装施工记录；</w:t>
      </w:r>
    </w:p>
    <w:p w14:paraId="6F11B5BC">
      <w:pPr>
        <w:spacing w:line="312" w:lineRule="auto"/>
        <w:ind w:firstLine="440" w:firstLineChars="200"/>
        <w:rPr>
          <w:color w:val="auto"/>
        </w:rPr>
      </w:pPr>
      <w:r>
        <w:rPr>
          <w:b/>
          <w:color w:val="auto"/>
        </w:rPr>
        <w:t xml:space="preserve">4  </w:t>
      </w:r>
      <w:r>
        <w:rPr>
          <w:rFonts w:hint="eastAsia"/>
          <w:color w:val="auto"/>
        </w:rPr>
        <w:t>现浇混凝土部位的隐蔽工程检查验收文件；</w:t>
      </w:r>
    </w:p>
    <w:p w14:paraId="34BA67A9">
      <w:pPr>
        <w:spacing w:line="312" w:lineRule="auto"/>
        <w:ind w:firstLine="440" w:firstLineChars="200"/>
        <w:rPr>
          <w:color w:val="auto"/>
        </w:rPr>
      </w:pPr>
      <w:r>
        <w:rPr>
          <w:b/>
          <w:color w:val="auto"/>
        </w:rPr>
        <w:t xml:space="preserve">5  </w:t>
      </w:r>
      <w:r>
        <w:rPr>
          <w:rFonts w:hint="eastAsia"/>
          <w:color w:val="auto"/>
        </w:rPr>
        <w:t>现浇混凝土、灌浆料、坐浆材料强度检测报告；</w:t>
      </w:r>
    </w:p>
    <w:p w14:paraId="2660EE16">
      <w:pPr>
        <w:spacing w:line="312" w:lineRule="auto"/>
        <w:ind w:firstLine="440" w:firstLineChars="200"/>
        <w:rPr>
          <w:color w:val="auto"/>
        </w:rPr>
      </w:pPr>
      <w:r>
        <w:rPr>
          <w:b/>
          <w:color w:val="auto"/>
        </w:rPr>
        <w:t xml:space="preserve">6  </w:t>
      </w:r>
      <w:r>
        <w:rPr>
          <w:rFonts w:hint="eastAsia"/>
          <w:color w:val="auto"/>
        </w:rPr>
        <w:t>墙模后浇混凝土的施工检验记录；</w:t>
      </w:r>
    </w:p>
    <w:p w14:paraId="7CD3929B">
      <w:pPr>
        <w:spacing w:line="312" w:lineRule="auto"/>
        <w:ind w:firstLine="440" w:firstLineChars="200"/>
        <w:rPr>
          <w:color w:val="auto"/>
        </w:rPr>
      </w:pPr>
      <w:r>
        <w:rPr>
          <w:b/>
          <w:color w:val="auto"/>
        </w:rPr>
        <w:t xml:space="preserve">7  </w:t>
      </w:r>
      <w:r>
        <w:rPr>
          <w:rFonts w:hint="eastAsia"/>
          <w:color w:val="auto"/>
        </w:rPr>
        <w:t>外墙防水施工质量检验记录；</w:t>
      </w:r>
    </w:p>
    <w:p w14:paraId="11BAC39E">
      <w:pPr>
        <w:spacing w:line="312" w:lineRule="auto"/>
        <w:ind w:firstLine="440" w:firstLineChars="200"/>
        <w:rPr>
          <w:color w:val="auto"/>
        </w:rPr>
      </w:pPr>
      <w:r>
        <w:rPr>
          <w:b/>
          <w:color w:val="auto"/>
        </w:rPr>
        <w:t xml:space="preserve">8  </w:t>
      </w:r>
      <w:r>
        <w:rPr>
          <w:rFonts w:hint="eastAsia"/>
          <w:color w:val="auto"/>
        </w:rPr>
        <w:t>混凝土模块化建筑工程的重大质量问题的处理方案和验收记录；</w:t>
      </w:r>
    </w:p>
    <w:p w14:paraId="35EA107E">
      <w:pPr>
        <w:spacing w:line="312" w:lineRule="auto"/>
        <w:ind w:firstLine="440" w:firstLineChars="200"/>
        <w:rPr>
          <w:color w:val="auto"/>
        </w:rPr>
      </w:pPr>
      <w:r>
        <w:rPr>
          <w:rFonts w:hint="eastAsia"/>
          <w:b/>
          <w:color w:val="auto"/>
        </w:rPr>
        <w:t>9</w:t>
      </w:r>
      <w:r>
        <w:rPr>
          <w:b/>
          <w:color w:val="auto"/>
        </w:rPr>
        <w:t xml:space="preserve">  </w:t>
      </w:r>
      <w:r>
        <w:rPr>
          <w:rFonts w:hint="eastAsia"/>
          <w:color w:val="auto"/>
        </w:rPr>
        <w:t>混凝土模块化建筑工程的其他文件和记录。</w:t>
      </w:r>
    </w:p>
    <w:p w14:paraId="6A539A5D">
      <w:pPr>
        <w:pStyle w:val="33"/>
        <w:ind w:firstLine="441"/>
        <w:rPr>
          <w:color w:val="auto"/>
        </w:rPr>
      </w:pPr>
      <w:r>
        <w:rPr>
          <w:rFonts w:hint="eastAsia" w:ascii="楷体" w:hAnsi="楷体" w:cs="楷体"/>
          <w:color w:val="auto"/>
          <w:szCs w:val="21"/>
        </w:rPr>
        <w:t>【条文说明】</w:t>
      </w:r>
      <w:r>
        <w:rPr>
          <w:rFonts w:hint="eastAsia"/>
          <w:color w:val="auto"/>
        </w:rPr>
        <w:t>模块化结构施工质量验收时提出应增加提交的主要文件和记录，是保证工程质量实现可追溯性的基本要求。</w:t>
      </w:r>
    </w:p>
    <w:p w14:paraId="242D8385">
      <w:pPr>
        <w:pStyle w:val="3"/>
        <w:rPr>
          <w:b/>
          <w:bCs w:val="0"/>
          <w:color w:val="auto"/>
        </w:rPr>
      </w:pPr>
      <w:bookmarkStart w:id="450" w:name="_Toc11976"/>
      <w:bookmarkStart w:id="451" w:name="_Toc185003312"/>
      <w:bookmarkStart w:id="452" w:name="_Toc185003057"/>
      <w:r>
        <w:rPr>
          <w:b/>
          <w:bCs w:val="0"/>
          <w:color w:val="auto"/>
        </w:rPr>
        <w:t>11</w:t>
      </w:r>
      <w:r>
        <w:rPr>
          <w:rFonts w:hint="eastAsia"/>
          <w:b/>
          <w:bCs w:val="0"/>
          <w:color w:val="auto"/>
        </w:rPr>
        <w:t>.</w:t>
      </w:r>
      <w:r>
        <w:rPr>
          <w:b/>
          <w:bCs w:val="0"/>
          <w:color w:val="auto"/>
        </w:rPr>
        <w:t>2</w:t>
      </w:r>
      <w:r>
        <w:rPr>
          <w:rFonts w:hint="eastAsia"/>
          <w:b/>
          <w:bCs w:val="0"/>
          <w:color w:val="auto"/>
        </w:rPr>
        <w:t xml:space="preserve">  模块单元进场验收</w:t>
      </w:r>
      <w:bookmarkEnd w:id="450"/>
      <w:bookmarkEnd w:id="451"/>
      <w:bookmarkEnd w:id="452"/>
    </w:p>
    <w:p w14:paraId="22D84F8B">
      <w:pPr>
        <w:spacing w:line="312" w:lineRule="auto"/>
        <w:rPr>
          <w:color w:val="auto"/>
        </w:rPr>
      </w:pPr>
      <w:r>
        <w:rPr>
          <w:b/>
          <w:color w:val="auto"/>
        </w:rPr>
        <w:t>11</w:t>
      </w:r>
      <w:r>
        <w:rPr>
          <w:rFonts w:ascii="宋体" w:hAnsi="宋体"/>
          <w:b/>
          <w:color w:val="auto"/>
        </w:rPr>
        <w:t>.</w:t>
      </w:r>
      <w:r>
        <w:rPr>
          <w:b/>
          <w:color w:val="auto"/>
        </w:rPr>
        <w:t>2</w:t>
      </w:r>
      <w:r>
        <w:rPr>
          <w:rFonts w:ascii="宋体" w:hAnsi="宋体"/>
          <w:b/>
          <w:color w:val="auto"/>
        </w:rPr>
        <w:t>.</w:t>
      </w:r>
      <w:r>
        <w:rPr>
          <w:b/>
          <w:color w:val="auto"/>
        </w:rPr>
        <w:t xml:space="preserve">1  </w:t>
      </w:r>
      <w:r>
        <w:rPr>
          <w:rFonts w:hint="eastAsia"/>
          <w:color w:val="auto"/>
        </w:rPr>
        <w:t>模块单元产品进场时，应检查模块单元的产品合格证、质量证明文件及产品说明书。</w:t>
      </w:r>
    </w:p>
    <w:p w14:paraId="08C7CCA5">
      <w:pPr>
        <w:spacing w:line="312" w:lineRule="auto"/>
        <w:ind w:firstLine="440" w:firstLineChars="200"/>
        <w:rPr>
          <w:color w:val="auto"/>
        </w:rPr>
      </w:pPr>
      <w:r>
        <w:rPr>
          <w:rFonts w:hint="eastAsia"/>
          <w:color w:val="auto"/>
        </w:rPr>
        <w:t>检查数量：全数检查。</w:t>
      </w:r>
    </w:p>
    <w:p w14:paraId="758A4B92">
      <w:pPr>
        <w:spacing w:line="312" w:lineRule="auto"/>
        <w:ind w:firstLine="440" w:firstLineChars="200"/>
        <w:rPr>
          <w:color w:val="auto"/>
        </w:rPr>
      </w:pPr>
      <w:r>
        <w:rPr>
          <w:rFonts w:hint="eastAsia"/>
          <w:color w:val="auto"/>
        </w:rPr>
        <w:t>检验方法：检查相关文件。</w:t>
      </w:r>
    </w:p>
    <w:p w14:paraId="2C3F977E">
      <w:pPr>
        <w:spacing w:line="312" w:lineRule="auto"/>
        <w:ind w:firstLine="440" w:firstLineChars="200"/>
        <w:rPr>
          <w:color w:val="auto"/>
        </w:rPr>
      </w:pPr>
      <w:r>
        <w:rPr>
          <w:rFonts w:hint="eastAsia" w:ascii="楷体" w:hAnsi="楷体" w:eastAsia="楷体" w:cs="楷体"/>
          <w:color w:val="auto"/>
          <w:szCs w:val="21"/>
        </w:rPr>
        <w:t>【条文说明】对总承包单位制作的模块单元，其材料和制作质量应按本标准各章的规定进行验收，如有监理驻厂监造，可不进行进场验收。对构件的验收方式为检查构件制作中的质量验收记录。</w:t>
      </w:r>
    </w:p>
    <w:p w14:paraId="7E2B1DA0">
      <w:pPr>
        <w:spacing w:line="312" w:lineRule="auto"/>
        <w:rPr>
          <w:color w:val="auto"/>
        </w:rPr>
      </w:pPr>
      <w:r>
        <w:rPr>
          <w:b/>
          <w:color w:val="auto"/>
        </w:rPr>
        <w:t>11</w:t>
      </w:r>
      <w:r>
        <w:rPr>
          <w:rFonts w:ascii="宋体" w:hAnsi="宋体"/>
          <w:b/>
          <w:color w:val="auto"/>
        </w:rPr>
        <w:t>.</w:t>
      </w:r>
      <w:r>
        <w:rPr>
          <w:b/>
          <w:color w:val="auto"/>
        </w:rPr>
        <w:t>2</w:t>
      </w:r>
      <w:r>
        <w:rPr>
          <w:rFonts w:ascii="宋体" w:hAnsi="宋体"/>
          <w:b/>
          <w:color w:val="auto"/>
        </w:rPr>
        <w:t>.</w:t>
      </w:r>
      <w:r>
        <w:rPr>
          <w:rFonts w:hint="eastAsia"/>
          <w:b/>
          <w:color w:val="auto"/>
        </w:rPr>
        <w:t>2</w:t>
      </w:r>
      <w:r>
        <w:rPr>
          <w:b/>
          <w:color w:val="auto"/>
        </w:rPr>
        <w:t xml:space="preserve">  </w:t>
      </w:r>
      <w:r>
        <w:rPr>
          <w:rFonts w:hint="eastAsia"/>
          <w:color w:val="auto"/>
        </w:rPr>
        <w:t>模块单元的混凝土外观质量不应有严重缺陷，且不应有影响结构性能、安装和使用功能的尺寸偏差。</w:t>
      </w:r>
    </w:p>
    <w:p w14:paraId="522FB5C3">
      <w:pPr>
        <w:spacing w:line="312" w:lineRule="auto"/>
        <w:ind w:firstLine="440" w:firstLineChars="200"/>
        <w:rPr>
          <w:color w:val="auto"/>
        </w:rPr>
      </w:pPr>
      <w:r>
        <w:rPr>
          <w:rFonts w:hint="eastAsia"/>
          <w:color w:val="auto"/>
        </w:rPr>
        <w:t>检查数量：全数检查。</w:t>
      </w:r>
    </w:p>
    <w:p w14:paraId="691600A5">
      <w:pPr>
        <w:spacing w:line="312" w:lineRule="auto"/>
        <w:ind w:firstLine="440" w:firstLineChars="200"/>
        <w:rPr>
          <w:color w:val="auto"/>
        </w:rPr>
      </w:pPr>
      <w:r>
        <w:rPr>
          <w:rFonts w:hint="eastAsia"/>
          <w:color w:val="auto"/>
        </w:rPr>
        <w:t>检验方法：观察、尺量；检查处理记录。</w:t>
      </w:r>
    </w:p>
    <w:p w14:paraId="40B4693A">
      <w:pPr>
        <w:spacing w:line="312" w:lineRule="auto"/>
        <w:ind w:firstLine="440" w:firstLineChars="200"/>
        <w:rPr>
          <w:rFonts w:ascii="楷体" w:hAnsi="楷体" w:eastAsia="楷体" w:cs="楷体"/>
          <w:color w:val="auto"/>
          <w:szCs w:val="21"/>
        </w:rPr>
      </w:pPr>
      <w:r>
        <w:rPr>
          <w:rFonts w:hint="eastAsia" w:ascii="楷体" w:hAnsi="楷体" w:eastAsia="楷体" w:cs="楷体"/>
          <w:color w:val="auto"/>
          <w:szCs w:val="21"/>
        </w:rPr>
        <w:t>【条文说明】对于出现的外观质量严重缺陷、影响结构性能和安装、使用功能的尺寸偏差，以及拉结件类别、数量和位置有不符合设计要求的情形应作退场处理。</w:t>
      </w:r>
    </w:p>
    <w:p w14:paraId="5CED3CCD">
      <w:pPr>
        <w:spacing w:line="312" w:lineRule="auto"/>
        <w:ind w:firstLine="440" w:firstLineChars="200"/>
        <w:rPr>
          <w:rFonts w:ascii="楷体" w:hAnsi="楷体" w:eastAsia="楷体" w:cs="楷体"/>
          <w:color w:val="auto"/>
          <w:szCs w:val="21"/>
        </w:rPr>
      </w:pPr>
      <w:r>
        <w:rPr>
          <w:rFonts w:hint="eastAsia" w:ascii="楷体" w:hAnsi="楷体" w:eastAsia="楷体" w:cs="楷体"/>
          <w:color w:val="auto"/>
          <w:szCs w:val="21"/>
        </w:rPr>
        <w:t>如经设计同意可以进行修理使用，则应制定处理方案并获得监理确认后，模块单元生产单位应按技术处理方案处理，修理后应重新验收。</w:t>
      </w:r>
    </w:p>
    <w:p w14:paraId="14A38417">
      <w:pPr>
        <w:spacing w:line="312" w:lineRule="auto"/>
        <w:rPr>
          <w:color w:val="auto"/>
        </w:rPr>
      </w:pPr>
      <w:r>
        <w:rPr>
          <w:rFonts w:hint="eastAsia"/>
          <w:b/>
          <w:color w:val="auto"/>
        </w:rPr>
        <w:t>1</w:t>
      </w:r>
      <w:r>
        <w:rPr>
          <w:b/>
          <w:color w:val="auto"/>
        </w:rPr>
        <w:t>1</w:t>
      </w:r>
      <w:r>
        <w:rPr>
          <w:rFonts w:ascii="宋体" w:hAnsi="宋体"/>
          <w:b/>
          <w:color w:val="auto"/>
        </w:rPr>
        <w:t>.</w:t>
      </w:r>
      <w:r>
        <w:rPr>
          <w:b/>
          <w:color w:val="auto"/>
        </w:rPr>
        <w:t>2</w:t>
      </w:r>
      <w:r>
        <w:rPr>
          <w:rFonts w:ascii="宋体" w:hAnsi="宋体"/>
          <w:b/>
          <w:color w:val="auto"/>
        </w:rPr>
        <w:t>.</w:t>
      </w:r>
      <w:r>
        <w:rPr>
          <w:rFonts w:hint="eastAsia"/>
          <w:b/>
          <w:color w:val="auto"/>
        </w:rPr>
        <w:t>3</w:t>
      </w:r>
      <w:r>
        <w:rPr>
          <w:b/>
          <w:color w:val="auto"/>
        </w:rPr>
        <w:t xml:space="preserve">  </w:t>
      </w:r>
      <w:r>
        <w:rPr>
          <w:rFonts w:hint="eastAsia"/>
          <w:color w:val="auto"/>
        </w:rPr>
        <w:t>模块单元外观质量不应有一般缺陷，对出现的一般缺陷应要求模块生产单位按技术处理方案进行处理，并重新检查验收。</w:t>
      </w:r>
    </w:p>
    <w:p w14:paraId="0B99872B">
      <w:pPr>
        <w:spacing w:line="312" w:lineRule="auto"/>
        <w:ind w:firstLine="440" w:firstLineChars="200"/>
        <w:rPr>
          <w:color w:val="auto"/>
        </w:rPr>
      </w:pPr>
      <w:r>
        <w:rPr>
          <w:rFonts w:hint="eastAsia"/>
          <w:color w:val="auto"/>
        </w:rPr>
        <w:t>检查数量：全数检查。</w:t>
      </w:r>
    </w:p>
    <w:p w14:paraId="65CF5361">
      <w:pPr>
        <w:spacing w:line="312" w:lineRule="auto"/>
        <w:ind w:firstLine="440" w:firstLineChars="200"/>
        <w:rPr>
          <w:color w:val="auto"/>
        </w:rPr>
      </w:pPr>
      <w:r>
        <w:rPr>
          <w:rFonts w:hint="eastAsia"/>
          <w:color w:val="auto"/>
        </w:rPr>
        <w:t>检验方法：观察，检查技术处理方案和处理记录。</w:t>
      </w:r>
    </w:p>
    <w:p w14:paraId="429C60A5">
      <w:pPr>
        <w:spacing w:line="312" w:lineRule="auto"/>
        <w:rPr>
          <w:color w:val="auto"/>
        </w:rPr>
      </w:pPr>
      <w:r>
        <w:rPr>
          <w:b/>
          <w:color w:val="auto"/>
        </w:rPr>
        <w:t>11</w:t>
      </w:r>
      <w:r>
        <w:rPr>
          <w:rFonts w:ascii="宋体" w:hAnsi="宋体"/>
          <w:b/>
          <w:color w:val="auto"/>
        </w:rPr>
        <w:t>.</w:t>
      </w:r>
      <w:r>
        <w:rPr>
          <w:b/>
          <w:color w:val="auto"/>
        </w:rPr>
        <w:t>2</w:t>
      </w:r>
      <w:r>
        <w:rPr>
          <w:rFonts w:ascii="宋体" w:hAnsi="宋体"/>
          <w:b/>
          <w:color w:val="auto"/>
        </w:rPr>
        <w:t>.</w:t>
      </w:r>
      <w:r>
        <w:rPr>
          <w:rFonts w:hint="eastAsia"/>
          <w:b/>
          <w:color w:val="auto"/>
        </w:rPr>
        <w:t>4</w:t>
      </w:r>
      <w:r>
        <w:rPr>
          <w:b/>
          <w:color w:val="auto"/>
        </w:rPr>
        <w:t xml:space="preserve">  </w:t>
      </w:r>
      <w:r>
        <w:rPr>
          <w:rFonts w:hint="eastAsia"/>
          <w:color w:val="auto"/>
        </w:rPr>
        <w:t>模块单元粗糙面的外观质量、键槽的外观质量和数量应符合设计要求。</w:t>
      </w:r>
    </w:p>
    <w:p w14:paraId="467F645D">
      <w:pPr>
        <w:spacing w:line="312" w:lineRule="auto"/>
        <w:ind w:firstLine="440" w:firstLineChars="200"/>
        <w:rPr>
          <w:color w:val="auto"/>
        </w:rPr>
      </w:pPr>
      <w:r>
        <w:rPr>
          <w:rFonts w:hint="eastAsia"/>
          <w:color w:val="auto"/>
        </w:rPr>
        <w:t>检查数量：全数检查。</w:t>
      </w:r>
    </w:p>
    <w:p w14:paraId="4440364A">
      <w:pPr>
        <w:spacing w:line="312" w:lineRule="auto"/>
        <w:ind w:firstLine="440" w:firstLineChars="200"/>
        <w:rPr>
          <w:color w:val="auto"/>
        </w:rPr>
      </w:pPr>
      <w:r>
        <w:rPr>
          <w:rFonts w:hint="eastAsia"/>
          <w:color w:val="auto"/>
        </w:rPr>
        <w:t>检验方法：观察，量测。</w:t>
      </w:r>
    </w:p>
    <w:p w14:paraId="7E935DD0">
      <w:pPr>
        <w:spacing w:line="312" w:lineRule="auto"/>
        <w:rPr>
          <w:color w:val="auto"/>
        </w:rPr>
      </w:pPr>
      <w:r>
        <w:rPr>
          <w:b/>
          <w:color w:val="auto"/>
        </w:rPr>
        <w:t>11</w:t>
      </w:r>
      <w:r>
        <w:rPr>
          <w:rFonts w:ascii="宋体" w:hAnsi="宋体"/>
          <w:b/>
          <w:color w:val="auto"/>
        </w:rPr>
        <w:t>.</w:t>
      </w:r>
      <w:r>
        <w:rPr>
          <w:b/>
          <w:color w:val="auto"/>
        </w:rPr>
        <w:t>2</w:t>
      </w:r>
      <w:r>
        <w:rPr>
          <w:rFonts w:ascii="宋体" w:hAnsi="宋体"/>
          <w:b/>
          <w:color w:val="auto"/>
        </w:rPr>
        <w:t>.</w:t>
      </w:r>
      <w:r>
        <w:rPr>
          <w:rFonts w:hint="eastAsia"/>
          <w:b/>
          <w:color w:val="auto"/>
        </w:rPr>
        <w:t>5</w:t>
      </w:r>
      <w:r>
        <w:rPr>
          <w:b/>
          <w:color w:val="auto"/>
        </w:rPr>
        <w:t xml:space="preserve">  </w:t>
      </w:r>
      <w:r>
        <w:rPr>
          <w:rFonts w:hint="eastAsia"/>
          <w:color w:val="auto"/>
        </w:rPr>
        <w:t>模块单元外形尺寸偏差和检验方法应分别符合本标准表9.6.5的规定。</w:t>
      </w:r>
    </w:p>
    <w:p w14:paraId="4F2364F2">
      <w:pPr>
        <w:spacing w:line="312" w:lineRule="auto"/>
        <w:ind w:firstLine="440" w:firstLineChars="200"/>
        <w:rPr>
          <w:color w:val="auto"/>
        </w:rPr>
      </w:pPr>
      <w:r>
        <w:rPr>
          <w:rFonts w:hint="eastAsia"/>
          <w:color w:val="auto"/>
        </w:rPr>
        <w:t>检查数量：同一种类的模块单元每次抽检数量不应少于该品种数量的</w:t>
      </w:r>
      <w:r>
        <w:rPr>
          <w:color w:val="auto"/>
        </w:rPr>
        <w:t>3</w:t>
      </w:r>
      <w:r>
        <w:rPr>
          <w:rFonts w:hint="eastAsia"/>
          <w:color w:val="auto"/>
        </w:rPr>
        <w:t>%，且不少于</w:t>
      </w:r>
      <w:r>
        <w:rPr>
          <w:color w:val="auto"/>
        </w:rPr>
        <w:t>1</w:t>
      </w:r>
      <w:r>
        <w:rPr>
          <w:rFonts w:hint="eastAsia"/>
          <w:color w:val="auto"/>
        </w:rPr>
        <w:t>件。</w:t>
      </w:r>
    </w:p>
    <w:p w14:paraId="50D77849">
      <w:pPr>
        <w:spacing w:line="312" w:lineRule="auto"/>
        <w:ind w:firstLine="440" w:firstLineChars="200"/>
        <w:rPr>
          <w:rFonts w:ascii="楷体" w:hAnsi="楷体" w:eastAsia="楷体" w:cs="楷体"/>
          <w:color w:val="auto"/>
          <w:szCs w:val="21"/>
        </w:rPr>
      </w:pPr>
      <w:r>
        <w:rPr>
          <w:rFonts w:hint="eastAsia" w:ascii="楷体" w:hAnsi="楷体" w:eastAsia="楷体" w:cs="楷体"/>
          <w:color w:val="auto"/>
          <w:szCs w:val="21"/>
        </w:rPr>
        <w:t>【条文说明】模块单元的尺寸等应在进场时按批检验，避免在构件安装时发现问题造成不必要的损失。</w:t>
      </w:r>
    </w:p>
    <w:p w14:paraId="4E48AAE0">
      <w:pPr>
        <w:spacing w:line="312" w:lineRule="auto"/>
        <w:rPr>
          <w:color w:val="auto"/>
        </w:rPr>
      </w:pPr>
      <w:r>
        <w:rPr>
          <w:b/>
          <w:color w:val="auto"/>
        </w:rPr>
        <w:t>11</w:t>
      </w:r>
      <w:r>
        <w:rPr>
          <w:rFonts w:ascii="宋体" w:hAnsi="宋体"/>
          <w:b/>
          <w:color w:val="auto"/>
        </w:rPr>
        <w:t>.</w:t>
      </w:r>
      <w:r>
        <w:rPr>
          <w:b/>
          <w:color w:val="auto"/>
        </w:rPr>
        <w:t>2</w:t>
      </w:r>
      <w:r>
        <w:rPr>
          <w:rFonts w:ascii="宋体" w:hAnsi="宋体"/>
          <w:b/>
          <w:color w:val="auto"/>
        </w:rPr>
        <w:t>.</w:t>
      </w:r>
      <w:r>
        <w:rPr>
          <w:rFonts w:hint="eastAsia"/>
          <w:b/>
          <w:color w:val="auto"/>
        </w:rPr>
        <w:t>6</w:t>
      </w:r>
      <w:r>
        <w:rPr>
          <w:b/>
          <w:color w:val="auto"/>
        </w:rPr>
        <w:t xml:space="preserve">  </w:t>
      </w:r>
      <w:r>
        <w:rPr>
          <w:rFonts w:hint="eastAsia"/>
          <w:color w:val="auto"/>
        </w:rPr>
        <w:t>装饰构件的装饰外观尺寸偏差和检验方法应符合设计要求；当设计无具体要求时，应符合本标准表9.6.6的规定。</w:t>
      </w:r>
    </w:p>
    <w:p w14:paraId="27552EF8">
      <w:pPr>
        <w:spacing w:line="312" w:lineRule="auto"/>
        <w:ind w:firstLine="440" w:firstLineChars="200"/>
        <w:rPr>
          <w:color w:val="auto"/>
        </w:rPr>
      </w:pPr>
      <w:r>
        <w:rPr>
          <w:rFonts w:hint="eastAsia"/>
          <w:color w:val="auto"/>
        </w:rPr>
        <w:t>检查数量：同一种类的模块单元每次抽检数量不应少于该品种数量的</w:t>
      </w:r>
      <w:r>
        <w:rPr>
          <w:color w:val="auto"/>
        </w:rPr>
        <w:t>3</w:t>
      </w:r>
      <w:r>
        <w:rPr>
          <w:rFonts w:hint="eastAsia"/>
          <w:color w:val="auto"/>
        </w:rPr>
        <w:t>%，且不少于</w:t>
      </w:r>
      <w:r>
        <w:rPr>
          <w:color w:val="auto"/>
        </w:rPr>
        <w:t>1</w:t>
      </w:r>
      <w:r>
        <w:rPr>
          <w:rFonts w:hint="eastAsia"/>
          <w:color w:val="auto"/>
        </w:rPr>
        <w:t>件。</w:t>
      </w:r>
    </w:p>
    <w:p w14:paraId="0F1AB4FB">
      <w:pPr>
        <w:spacing w:line="312" w:lineRule="auto"/>
        <w:rPr>
          <w:color w:val="auto"/>
          <w:szCs w:val="24"/>
        </w:rPr>
      </w:pPr>
      <w:r>
        <w:rPr>
          <w:b/>
          <w:color w:val="auto"/>
          <w:szCs w:val="24"/>
        </w:rPr>
        <w:t>11</w:t>
      </w:r>
      <w:r>
        <w:rPr>
          <w:rFonts w:ascii="宋体" w:hAnsi="宋体"/>
          <w:b/>
          <w:color w:val="auto"/>
          <w:szCs w:val="24"/>
        </w:rPr>
        <w:t>.</w:t>
      </w:r>
      <w:r>
        <w:rPr>
          <w:b/>
          <w:color w:val="auto"/>
          <w:szCs w:val="24"/>
        </w:rPr>
        <w:t>2</w:t>
      </w:r>
      <w:r>
        <w:rPr>
          <w:rFonts w:ascii="宋体" w:hAnsi="宋体"/>
          <w:b/>
          <w:color w:val="auto"/>
          <w:szCs w:val="24"/>
        </w:rPr>
        <w:t>.</w:t>
      </w:r>
      <w:r>
        <w:rPr>
          <w:rFonts w:hint="eastAsia"/>
          <w:b/>
          <w:color w:val="auto"/>
          <w:szCs w:val="24"/>
        </w:rPr>
        <w:t>7</w:t>
      </w:r>
      <w:r>
        <w:rPr>
          <w:b/>
          <w:color w:val="auto"/>
          <w:szCs w:val="24"/>
        </w:rPr>
        <w:t xml:space="preserve">  </w:t>
      </w:r>
      <w:r>
        <w:rPr>
          <w:rFonts w:hint="eastAsia"/>
          <w:color w:val="auto"/>
          <w:szCs w:val="24"/>
        </w:rPr>
        <w:t>模块单元应在明显部位标明生产单位、项目名称、模块型号、生产日期、安装部位、安装方向及质量合格标志。</w:t>
      </w:r>
    </w:p>
    <w:p w14:paraId="6393A861">
      <w:pPr>
        <w:spacing w:line="312" w:lineRule="auto"/>
        <w:ind w:firstLine="440" w:firstLineChars="200"/>
        <w:rPr>
          <w:color w:val="auto"/>
          <w:szCs w:val="24"/>
        </w:rPr>
      </w:pPr>
      <w:r>
        <w:rPr>
          <w:rFonts w:hint="eastAsia"/>
          <w:color w:val="auto"/>
          <w:szCs w:val="24"/>
        </w:rPr>
        <w:t>检查数量：全数检查。</w:t>
      </w:r>
    </w:p>
    <w:p w14:paraId="23519F7D">
      <w:pPr>
        <w:spacing w:line="312" w:lineRule="auto"/>
        <w:ind w:firstLine="440" w:firstLineChars="200"/>
        <w:rPr>
          <w:color w:val="auto"/>
          <w:szCs w:val="24"/>
        </w:rPr>
      </w:pPr>
      <w:r>
        <w:rPr>
          <w:rFonts w:hint="eastAsia"/>
          <w:color w:val="auto"/>
          <w:szCs w:val="24"/>
        </w:rPr>
        <w:t>检验方法：观察检查。</w:t>
      </w:r>
    </w:p>
    <w:p w14:paraId="327327B6">
      <w:pPr>
        <w:pStyle w:val="3"/>
        <w:rPr>
          <w:b/>
          <w:bCs w:val="0"/>
          <w:color w:val="auto"/>
        </w:rPr>
      </w:pPr>
      <w:bookmarkStart w:id="453" w:name="_Toc185003058"/>
      <w:bookmarkStart w:id="454" w:name="_Toc185003313"/>
      <w:bookmarkStart w:id="455" w:name="_Toc10376"/>
      <w:r>
        <w:rPr>
          <w:b/>
          <w:bCs w:val="0"/>
          <w:color w:val="auto"/>
        </w:rPr>
        <w:t>11</w:t>
      </w:r>
      <w:r>
        <w:rPr>
          <w:rFonts w:hint="eastAsia"/>
          <w:b/>
          <w:bCs w:val="0"/>
          <w:color w:val="auto"/>
        </w:rPr>
        <w:t>.</w:t>
      </w:r>
      <w:r>
        <w:rPr>
          <w:b/>
          <w:bCs w:val="0"/>
          <w:color w:val="auto"/>
        </w:rPr>
        <w:t>3</w:t>
      </w:r>
      <w:r>
        <w:rPr>
          <w:rFonts w:hint="eastAsia"/>
          <w:b/>
          <w:bCs w:val="0"/>
          <w:color w:val="auto"/>
        </w:rPr>
        <w:t xml:space="preserve">  模块单元安装与连接</w:t>
      </w:r>
      <w:bookmarkEnd w:id="453"/>
      <w:bookmarkEnd w:id="454"/>
      <w:bookmarkEnd w:id="455"/>
    </w:p>
    <w:p w14:paraId="7B72C231">
      <w:pPr>
        <w:pStyle w:val="5"/>
        <w:rPr>
          <w:rFonts w:ascii="仿宋" w:hAnsi="仿宋" w:eastAsia="仿宋" w:cs="仿宋"/>
          <w:color w:val="auto"/>
        </w:rPr>
      </w:pPr>
      <w:bookmarkStart w:id="456" w:name="_Toc185003059"/>
      <w:bookmarkStart w:id="457" w:name="_Toc185003314"/>
      <w:r>
        <w:rPr>
          <w:rFonts w:hint="eastAsia" w:ascii="仿宋" w:hAnsi="仿宋" w:eastAsia="仿宋" w:cs="仿宋"/>
          <w:color w:val="auto"/>
        </w:rPr>
        <w:t>（</w:t>
      </w:r>
      <w:r>
        <w:rPr>
          <w:rFonts w:ascii="仿宋" w:hAnsi="仿宋" w:eastAsia="仿宋" w:cs="仿宋"/>
          <w:color w:val="auto"/>
        </w:rPr>
        <w:t>I</w:t>
      </w:r>
      <w:r>
        <w:rPr>
          <w:rFonts w:hint="eastAsia" w:ascii="仿宋" w:hAnsi="仿宋" w:eastAsia="仿宋" w:cs="仿宋"/>
          <w:color w:val="auto"/>
        </w:rPr>
        <w:t>）</w:t>
      </w:r>
      <w:r>
        <w:rPr>
          <w:rFonts w:ascii="仿宋" w:hAnsi="仿宋" w:eastAsia="仿宋" w:cs="仿宋"/>
          <w:color w:val="auto"/>
        </w:rPr>
        <w:t xml:space="preserve">  </w:t>
      </w:r>
      <w:r>
        <w:rPr>
          <w:rFonts w:hint="eastAsia" w:ascii="仿宋" w:hAnsi="仿宋" w:eastAsia="仿宋" w:cs="仿宋"/>
          <w:color w:val="auto"/>
        </w:rPr>
        <w:t>模块化堆叠框架结构</w:t>
      </w:r>
      <w:bookmarkEnd w:id="456"/>
      <w:bookmarkEnd w:id="457"/>
    </w:p>
    <w:p w14:paraId="47CBB43E">
      <w:pPr>
        <w:spacing w:line="312" w:lineRule="auto"/>
        <w:rPr>
          <w:color w:val="auto"/>
        </w:rPr>
      </w:pPr>
      <w:r>
        <w:rPr>
          <w:b/>
          <w:bCs/>
          <w:color w:val="auto"/>
        </w:rPr>
        <w:t>11</w:t>
      </w:r>
      <w:r>
        <w:rPr>
          <w:rFonts w:ascii="宋体" w:hAnsi="宋体"/>
          <w:b/>
          <w:bCs/>
          <w:color w:val="auto"/>
        </w:rPr>
        <w:t>.</w:t>
      </w:r>
      <w:r>
        <w:rPr>
          <w:b/>
          <w:bCs/>
          <w:color w:val="auto"/>
        </w:rPr>
        <w:t>3</w:t>
      </w:r>
      <w:r>
        <w:rPr>
          <w:rFonts w:ascii="宋体" w:hAnsi="宋体"/>
          <w:b/>
          <w:bCs/>
          <w:color w:val="auto"/>
        </w:rPr>
        <w:t>.</w:t>
      </w:r>
      <w:r>
        <w:rPr>
          <w:b/>
          <w:bCs/>
          <w:color w:val="auto"/>
        </w:rPr>
        <w:t xml:space="preserve">1  </w:t>
      </w:r>
      <w:r>
        <w:rPr>
          <w:rFonts w:hint="eastAsia"/>
          <w:color w:val="auto"/>
        </w:rPr>
        <w:t>拉杆连接应按现行国家标准</w:t>
      </w:r>
      <w:r>
        <w:rPr>
          <w:color w:val="auto"/>
        </w:rPr>
        <w:t>《钢结构工程施工质量验收标准》GB 50205中规定的质量验收方法和质量验收项目执行</w:t>
      </w:r>
      <w:r>
        <w:rPr>
          <w:rFonts w:hint="eastAsia"/>
          <w:color w:val="auto"/>
        </w:rPr>
        <w:t>，并应满足设计要求。</w:t>
      </w:r>
    </w:p>
    <w:p w14:paraId="392E1692">
      <w:pPr>
        <w:spacing w:line="312" w:lineRule="auto"/>
        <w:ind w:firstLine="440" w:firstLineChars="200"/>
        <w:rPr>
          <w:color w:val="auto"/>
        </w:rPr>
      </w:pPr>
      <w:r>
        <w:rPr>
          <w:color w:val="auto"/>
        </w:rPr>
        <w:t>检查数量：</w:t>
      </w:r>
      <w:r>
        <w:rPr>
          <w:rFonts w:hint="eastAsia"/>
          <w:color w:val="auto"/>
        </w:rPr>
        <w:t>质量证明文件</w:t>
      </w:r>
      <w:r>
        <w:rPr>
          <w:color w:val="auto"/>
        </w:rPr>
        <w:t>全数检查</w:t>
      </w:r>
      <w:r>
        <w:rPr>
          <w:rFonts w:hint="eastAsia"/>
          <w:color w:val="auto"/>
        </w:rPr>
        <w:t>，抽样数量按进场批次和产品抽样检验方案确定</w:t>
      </w:r>
      <w:r>
        <w:rPr>
          <w:color w:val="auto"/>
        </w:rPr>
        <w:t>。</w:t>
      </w:r>
    </w:p>
    <w:p w14:paraId="4DA7DA0A">
      <w:pPr>
        <w:spacing w:line="312" w:lineRule="auto"/>
        <w:ind w:firstLine="440" w:firstLineChars="200"/>
        <w:rPr>
          <w:color w:val="auto"/>
        </w:rPr>
      </w:pPr>
      <w:r>
        <w:rPr>
          <w:color w:val="auto"/>
        </w:rPr>
        <w:t>检验方法：检查</w:t>
      </w:r>
      <w:r>
        <w:rPr>
          <w:rFonts w:hint="eastAsia"/>
          <w:color w:val="auto"/>
        </w:rPr>
        <w:t>质量证明文件和抽样检验报告</w:t>
      </w:r>
      <w:r>
        <w:rPr>
          <w:color w:val="auto"/>
        </w:rPr>
        <w:t>。</w:t>
      </w:r>
    </w:p>
    <w:p w14:paraId="12E05195">
      <w:pPr>
        <w:spacing w:line="312" w:lineRule="auto"/>
        <w:rPr>
          <w:color w:val="auto"/>
        </w:rPr>
      </w:pPr>
      <w:r>
        <w:rPr>
          <w:b/>
          <w:bCs/>
          <w:color w:val="auto"/>
        </w:rPr>
        <w:t>11</w:t>
      </w:r>
      <w:r>
        <w:rPr>
          <w:rFonts w:ascii="宋体" w:hAnsi="宋体"/>
          <w:b/>
          <w:bCs/>
          <w:color w:val="auto"/>
        </w:rPr>
        <w:t>.</w:t>
      </w:r>
      <w:r>
        <w:rPr>
          <w:b/>
          <w:bCs/>
          <w:color w:val="auto"/>
        </w:rPr>
        <w:t>3</w:t>
      </w:r>
      <w:r>
        <w:rPr>
          <w:rFonts w:ascii="宋体" w:hAnsi="宋体"/>
          <w:b/>
          <w:bCs/>
          <w:color w:val="auto"/>
        </w:rPr>
        <w:t>.</w:t>
      </w:r>
      <w:r>
        <w:rPr>
          <w:b/>
          <w:bCs/>
          <w:color w:val="auto"/>
        </w:rPr>
        <w:t xml:space="preserve">2  </w:t>
      </w:r>
      <w:r>
        <w:rPr>
          <w:rFonts w:hint="eastAsia"/>
          <w:color w:val="auto"/>
        </w:rPr>
        <w:t>拉杆接头的型式检验应按现行行业标准《钢筋机械连接技术规程》JGJ</w:t>
      </w:r>
      <w:r>
        <w:rPr>
          <w:color w:val="auto"/>
        </w:rPr>
        <w:t xml:space="preserve"> </w:t>
      </w:r>
      <w:r>
        <w:rPr>
          <w:rFonts w:hint="eastAsia"/>
          <w:color w:val="auto"/>
        </w:rPr>
        <w:t>107规定的检验方法和检验项目执行，并应出具相应的型式检验报告。</w:t>
      </w:r>
    </w:p>
    <w:p w14:paraId="38E3D22E">
      <w:pPr>
        <w:spacing w:line="312" w:lineRule="auto"/>
        <w:ind w:firstLine="440" w:firstLineChars="200"/>
        <w:rPr>
          <w:color w:val="auto"/>
        </w:rPr>
      </w:pPr>
      <w:r>
        <w:rPr>
          <w:color w:val="auto"/>
        </w:rPr>
        <w:t>检查数量：</w:t>
      </w:r>
      <w:r>
        <w:rPr>
          <w:rFonts w:hint="eastAsia"/>
          <w:color w:val="auto"/>
        </w:rPr>
        <w:t>型式检验报告和质量证明文件全数检查。</w:t>
      </w:r>
    </w:p>
    <w:p w14:paraId="2E2705E8">
      <w:pPr>
        <w:spacing w:line="312" w:lineRule="auto"/>
        <w:ind w:firstLine="440" w:firstLineChars="200"/>
        <w:rPr>
          <w:color w:val="auto"/>
        </w:rPr>
      </w:pPr>
      <w:r>
        <w:rPr>
          <w:color w:val="auto"/>
        </w:rPr>
        <w:t>检验方法：</w:t>
      </w:r>
      <w:r>
        <w:rPr>
          <w:rFonts w:hint="eastAsia"/>
          <w:color w:val="auto"/>
        </w:rPr>
        <w:t>质量证明文件和型式检验报告</w:t>
      </w:r>
      <w:r>
        <w:rPr>
          <w:color w:val="auto"/>
        </w:rPr>
        <w:t>。</w:t>
      </w:r>
    </w:p>
    <w:p w14:paraId="66E2E71D">
      <w:pPr>
        <w:spacing w:line="312" w:lineRule="auto"/>
        <w:rPr>
          <w:color w:val="auto"/>
        </w:rPr>
      </w:pPr>
      <w:r>
        <w:rPr>
          <w:b/>
          <w:bCs/>
          <w:color w:val="auto"/>
        </w:rPr>
        <w:t>11</w:t>
      </w:r>
      <w:r>
        <w:rPr>
          <w:rFonts w:ascii="宋体" w:hAnsi="宋体"/>
          <w:b/>
          <w:bCs/>
          <w:color w:val="auto"/>
        </w:rPr>
        <w:t>.</w:t>
      </w:r>
      <w:r>
        <w:rPr>
          <w:b/>
          <w:bCs/>
          <w:color w:val="auto"/>
        </w:rPr>
        <w:t>3</w:t>
      </w:r>
      <w:r>
        <w:rPr>
          <w:rFonts w:ascii="宋体" w:hAnsi="宋体"/>
          <w:b/>
          <w:bCs/>
          <w:color w:val="auto"/>
        </w:rPr>
        <w:t>.</w:t>
      </w:r>
      <w:r>
        <w:rPr>
          <w:b/>
          <w:bCs/>
          <w:color w:val="auto"/>
        </w:rPr>
        <w:t xml:space="preserve">3  </w:t>
      </w:r>
      <w:r>
        <w:rPr>
          <w:color w:val="auto"/>
        </w:rPr>
        <w:t>模块</w:t>
      </w:r>
      <w:r>
        <w:rPr>
          <w:rFonts w:hint="eastAsia"/>
          <w:color w:val="auto"/>
        </w:rPr>
        <w:t>单元</w:t>
      </w:r>
      <w:r>
        <w:rPr>
          <w:color w:val="auto"/>
        </w:rPr>
        <w:t>之间采用拉杆连接时，有效连接长度和拧紧扭矩值应满足设计要求，上层模块安装应在连接检验合格后进行</w:t>
      </w:r>
      <w:r>
        <w:rPr>
          <w:rFonts w:hint="eastAsia"/>
          <w:color w:val="auto"/>
        </w:rPr>
        <w:t>，并宜</w:t>
      </w:r>
      <w:r>
        <w:rPr>
          <w:color w:val="auto"/>
        </w:rPr>
        <w:t>保存规范的施工检验影像记录备查。</w:t>
      </w:r>
    </w:p>
    <w:p w14:paraId="10DFD6FF">
      <w:pPr>
        <w:spacing w:line="312" w:lineRule="auto"/>
        <w:ind w:firstLine="440" w:firstLineChars="200"/>
        <w:rPr>
          <w:color w:val="auto"/>
        </w:rPr>
      </w:pPr>
      <w:r>
        <w:rPr>
          <w:color w:val="auto"/>
        </w:rPr>
        <w:t>检查数量：全数检查。</w:t>
      </w:r>
    </w:p>
    <w:p w14:paraId="6270D7F0">
      <w:pPr>
        <w:spacing w:line="312" w:lineRule="auto"/>
        <w:ind w:firstLine="440" w:firstLineChars="200"/>
        <w:rPr>
          <w:color w:val="auto"/>
        </w:rPr>
      </w:pPr>
      <w:r>
        <w:rPr>
          <w:color w:val="auto"/>
        </w:rPr>
        <w:t>检验方法：检查施工方案，尺量，检查扭力扳手标定记录。</w:t>
      </w:r>
    </w:p>
    <w:p w14:paraId="7E4FEEE5">
      <w:pPr>
        <w:spacing w:line="312" w:lineRule="auto"/>
        <w:rPr>
          <w:color w:val="auto"/>
        </w:rPr>
      </w:pPr>
      <w:r>
        <w:rPr>
          <w:b/>
          <w:bCs/>
          <w:color w:val="auto"/>
        </w:rPr>
        <w:t>11</w:t>
      </w:r>
      <w:r>
        <w:rPr>
          <w:rFonts w:ascii="宋体" w:hAnsi="宋体"/>
          <w:b/>
          <w:bCs/>
          <w:color w:val="auto"/>
        </w:rPr>
        <w:t>.</w:t>
      </w:r>
      <w:r>
        <w:rPr>
          <w:b/>
          <w:bCs/>
          <w:color w:val="auto"/>
        </w:rPr>
        <w:t>3</w:t>
      </w:r>
      <w:r>
        <w:rPr>
          <w:rFonts w:ascii="宋体" w:hAnsi="宋体"/>
          <w:b/>
          <w:bCs/>
          <w:color w:val="auto"/>
        </w:rPr>
        <w:t>.</w:t>
      </w:r>
      <w:r>
        <w:rPr>
          <w:b/>
          <w:bCs/>
          <w:color w:val="auto"/>
        </w:rPr>
        <w:t xml:space="preserve">4  </w:t>
      </w:r>
      <w:r>
        <w:rPr>
          <w:rFonts w:hint="eastAsia"/>
          <w:color w:val="auto"/>
        </w:rPr>
        <w:t>堆叠框架结构的接缝防水施工应按设计要求制定专项验收方案，防水材料的性能及接缝防水施工质量验收应符合现行国家标准《装配式混凝土建筑技术标准》</w:t>
      </w:r>
      <w:r>
        <w:rPr>
          <w:color w:val="auto"/>
        </w:rPr>
        <w:t>GB/T 51231</w:t>
      </w:r>
      <w:r>
        <w:rPr>
          <w:rFonts w:hint="eastAsia"/>
          <w:color w:val="auto"/>
        </w:rPr>
        <w:t>的有关规定。</w:t>
      </w:r>
    </w:p>
    <w:p w14:paraId="5F30CE17">
      <w:pPr>
        <w:pStyle w:val="5"/>
        <w:rPr>
          <w:rFonts w:ascii="仿宋" w:hAnsi="仿宋" w:eastAsia="仿宋" w:cs="仿宋"/>
          <w:color w:val="auto"/>
        </w:rPr>
      </w:pPr>
      <w:bookmarkStart w:id="458" w:name="OLE_LINK5"/>
      <w:bookmarkStart w:id="459" w:name="_Toc185003060"/>
      <w:bookmarkStart w:id="460" w:name="_Toc185003315"/>
      <w:r>
        <w:rPr>
          <w:rFonts w:hint="eastAsia" w:ascii="仿宋" w:hAnsi="仿宋" w:eastAsia="仿宋" w:cs="仿宋"/>
          <w:color w:val="auto"/>
        </w:rPr>
        <w:t>（</w:t>
      </w:r>
      <w:r>
        <w:rPr>
          <w:rFonts w:ascii="仿宋" w:hAnsi="仿宋" w:eastAsia="仿宋" w:cs="仿宋"/>
          <w:color w:val="auto"/>
        </w:rPr>
        <w:t>Ⅱ</w:t>
      </w:r>
      <w:r>
        <w:rPr>
          <w:rFonts w:hint="eastAsia" w:ascii="仿宋" w:hAnsi="仿宋" w:eastAsia="仿宋" w:cs="仿宋"/>
          <w:color w:val="auto"/>
        </w:rPr>
        <w:t>）</w:t>
      </w:r>
      <w:bookmarkEnd w:id="458"/>
      <w:r>
        <w:rPr>
          <w:rFonts w:ascii="仿宋" w:hAnsi="仿宋" w:eastAsia="仿宋" w:cs="仿宋"/>
          <w:color w:val="auto"/>
        </w:rPr>
        <w:t xml:space="preserve">  </w:t>
      </w:r>
      <w:r>
        <w:rPr>
          <w:rFonts w:hint="eastAsia" w:ascii="仿宋" w:hAnsi="仿宋" w:eastAsia="仿宋" w:cs="仿宋"/>
          <w:color w:val="auto"/>
        </w:rPr>
        <w:t>模块化剪力墙及模块化现浇结构</w:t>
      </w:r>
      <w:bookmarkEnd w:id="459"/>
      <w:bookmarkEnd w:id="460"/>
    </w:p>
    <w:p w14:paraId="4A51A649">
      <w:pPr>
        <w:spacing w:line="312" w:lineRule="auto"/>
        <w:rPr>
          <w:bCs/>
          <w:color w:val="auto"/>
        </w:rPr>
      </w:pPr>
      <w:r>
        <w:rPr>
          <w:rFonts w:hint="eastAsia"/>
          <w:b/>
          <w:bCs/>
          <w:color w:val="auto"/>
        </w:rPr>
        <w:t>1</w:t>
      </w:r>
      <w:r>
        <w:rPr>
          <w:b/>
          <w:bCs/>
          <w:color w:val="auto"/>
        </w:rPr>
        <w:t>1</w:t>
      </w:r>
      <w:r>
        <w:rPr>
          <w:rFonts w:ascii="宋体" w:hAnsi="宋体"/>
          <w:b/>
          <w:bCs/>
          <w:color w:val="auto"/>
        </w:rPr>
        <w:t>.</w:t>
      </w:r>
      <w:r>
        <w:rPr>
          <w:b/>
          <w:bCs/>
          <w:color w:val="auto"/>
        </w:rPr>
        <w:t>3</w:t>
      </w:r>
      <w:r>
        <w:rPr>
          <w:rFonts w:ascii="宋体" w:hAnsi="宋体"/>
          <w:b/>
          <w:bCs/>
          <w:color w:val="auto"/>
        </w:rPr>
        <w:t>.</w:t>
      </w:r>
      <w:r>
        <w:rPr>
          <w:b/>
          <w:bCs/>
          <w:color w:val="auto"/>
        </w:rPr>
        <w:t>5</w:t>
      </w:r>
      <w:r>
        <w:rPr>
          <w:rFonts w:hint="eastAsia"/>
          <w:b/>
          <w:bCs/>
          <w:color w:val="auto"/>
        </w:rPr>
        <w:t xml:space="preserve"> </w:t>
      </w:r>
      <w:r>
        <w:rPr>
          <w:b/>
          <w:bCs/>
          <w:color w:val="auto"/>
        </w:rPr>
        <w:t xml:space="preserve"> </w:t>
      </w:r>
      <w:r>
        <w:rPr>
          <w:rFonts w:hint="eastAsia"/>
          <w:bCs/>
          <w:color w:val="auto"/>
        </w:rPr>
        <w:t>模块化叠合剪力墙及模块化现浇结构连接节点及叠合构件浇筑混凝土前，应进行隐蔽工程验收。隐蔽工程验收应包括下列主要内容：</w:t>
      </w:r>
    </w:p>
    <w:p w14:paraId="73CE9DBA">
      <w:pPr>
        <w:spacing w:line="312" w:lineRule="auto"/>
        <w:ind w:firstLine="440" w:firstLineChars="200"/>
        <w:rPr>
          <w:bCs/>
          <w:color w:val="auto"/>
        </w:rPr>
      </w:pPr>
      <w:r>
        <w:rPr>
          <w:rFonts w:hint="eastAsia"/>
          <w:b/>
          <w:bCs/>
          <w:color w:val="auto"/>
        </w:rPr>
        <w:t>1</w:t>
      </w:r>
      <w:r>
        <w:rPr>
          <w:b/>
          <w:bCs/>
          <w:color w:val="auto"/>
        </w:rPr>
        <w:t xml:space="preserve">  </w:t>
      </w:r>
      <w:r>
        <w:rPr>
          <w:rFonts w:hint="eastAsia"/>
          <w:bCs/>
          <w:color w:val="auto"/>
        </w:rPr>
        <w:t>混凝土粗糙面的质量；</w:t>
      </w:r>
    </w:p>
    <w:p w14:paraId="0C66C45A">
      <w:pPr>
        <w:spacing w:line="312" w:lineRule="auto"/>
        <w:ind w:firstLine="440" w:firstLineChars="200"/>
        <w:rPr>
          <w:bCs/>
          <w:color w:val="auto"/>
        </w:rPr>
      </w:pPr>
      <w:r>
        <w:rPr>
          <w:rFonts w:hint="eastAsia"/>
          <w:b/>
          <w:bCs/>
          <w:color w:val="auto"/>
        </w:rPr>
        <w:t>2</w:t>
      </w:r>
      <w:r>
        <w:rPr>
          <w:b/>
          <w:bCs/>
          <w:color w:val="auto"/>
        </w:rPr>
        <w:t xml:space="preserve">  </w:t>
      </w:r>
      <w:r>
        <w:rPr>
          <w:rFonts w:hint="eastAsia"/>
          <w:bCs/>
          <w:color w:val="auto"/>
        </w:rPr>
        <w:t>钢筋的牌号、规格、数量、位置、间距，箍筋弯钩的弯折角度及平直段长度；</w:t>
      </w:r>
    </w:p>
    <w:p w14:paraId="69791163">
      <w:pPr>
        <w:spacing w:line="312" w:lineRule="auto"/>
        <w:ind w:firstLine="440" w:firstLineChars="200"/>
        <w:rPr>
          <w:bCs/>
          <w:color w:val="auto"/>
        </w:rPr>
      </w:pPr>
      <w:r>
        <w:rPr>
          <w:rFonts w:hint="eastAsia"/>
          <w:b/>
          <w:bCs/>
          <w:color w:val="auto"/>
        </w:rPr>
        <w:t>3</w:t>
      </w:r>
      <w:r>
        <w:rPr>
          <w:b/>
          <w:bCs/>
          <w:color w:val="auto"/>
        </w:rPr>
        <w:t xml:space="preserve">  </w:t>
      </w:r>
      <w:r>
        <w:rPr>
          <w:rFonts w:hint="eastAsia"/>
          <w:bCs/>
          <w:color w:val="auto"/>
        </w:rPr>
        <w:t>钢筋的连接方式、接头位置、接头数量、接头面积百分率、搭接长度、锚固方式及锚固长度；</w:t>
      </w:r>
    </w:p>
    <w:p w14:paraId="1E9F2738">
      <w:pPr>
        <w:spacing w:line="312" w:lineRule="auto"/>
        <w:ind w:firstLine="440" w:firstLineChars="200"/>
        <w:rPr>
          <w:bCs/>
          <w:color w:val="auto"/>
        </w:rPr>
      </w:pPr>
      <w:r>
        <w:rPr>
          <w:rFonts w:hint="eastAsia"/>
          <w:b/>
          <w:bCs/>
          <w:color w:val="auto"/>
        </w:rPr>
        <w:t>4</w:t>
      </w:r>
      <w:r>
        <w:rPr>
          <w:b/>
          <w:bCs/>
          <w:color w:val="auto"/>
        </w:rPr>
        <w:t xml:space="preserve">  </w:t>
      </w:r>
      <w:r>
        <w:rPr>
          <w:rFonts w:hint="eastAsia"/>
          <w:bCs/>
          <w:color w:val="auto"/>
        </w:rPr>
        <w:t>预埋件、预留管线的规格、数量、位置；</w:t>
      </w:r>
    </w:p>
    <w:p w14:paraId="0D1C2F33">
      <w:pPr>
        <w:spacing w:line="312" w:lineRule="auto"/>
        <w:ind w:firstLine="440" w:firstLineChars="200"/>
        <w:rPr>
          <w:bCs/>
          <w:color w:val="auto"/>
        </w:rPr>
      </w:pPr>
      <w:r>
        <w:rPr>
          <w:b/>
          <w:bCs/>
          <w:color w:val="auto"/>
        </w:rPr>
        <w:t xml:space="preserve">5  </w:t>
      </w:r>
      <w:r>
        <w:rPr>
          <w:rFonts w:hint="eastAsia"/>
          <w:bCs/>
          <w:color w:val="auto"/>
        </w:rPr>
        <w:t>其他隐蔽项目。</w:t>
      </w:r>
    </w:p>
    <w:p w14:paraId="78C28868">
      <w:pPr>
        <w:spacing w:line="312" w:lineRule="auto"/>
        <w:rPr>
          <w:bCs/>
          <w:color w:val="auto"/>
        </w:rPr>
      </w:pPr>
      <w:r>
        <w:rPr>
          <w:rFonts w:hint="eastAsia"/>
          <w:b/>
          <w:bCs/>
          <w:color w:val="auto"/>
        </w:rPr>
        <w:t>1</w:t>
      </w:r>
      <w:r>
        <w:rPr>
          <w:b/>
          <w:bCs/>
          <w:color w:val="auto"/>
        </w:rPr>
        <w:t>1</w:t>
      </w:r>
      <w:r>
        <w:rPr>
          <w:rFonts w:ascii="宋体" w:hAnsi="宋体"/>
          <w:b/>
          <w:bCs/>
          <w:color w:val="auto"/>
        </w:rPr>
        <w:t>.</w:t>
      </w:r>
      <w:r>
        <w:rPr>
          <w:b/>
          <w:bCs/>
          <w:color w:val="auto"/>
        </w:rPr>
        <w:t>3</w:t>
      </w:r>
      <w:r>
        <w:rPr>
          <w:rFonts w:ascii="宋体" w:hAnsi="宋体"/>
          <w:b/>
          <w:bCs/>
          <w:color w:val="auto"/>
        </w:rPr>
        <w:t>.</w:t>
      </w:r>
      <w:r>
        <w:rPr>
          <w:b/>
          <w:bCs/>
          <w:color w:val="auto"/>
        </w:rPr>
        <w:t>6</w:t>
      </w:r>
      <w:r>
        <w:rPr>
          <w:rFonts w:hint="eastAsia"/>
          <w:b/>
          <w:bCs/>
          <w:color w:val="auto"/>
        </w:rPr>
        <w:t xml:space="preserve"> </w:t>
      </w:r>
      <w:r>
        <w:rPr>
          <w:b/>
          <w:bCs/>
          <w:color w:val="auto"/>
        </w:rPr>
        <w:t xml:space="preserve"> </w:t>
      </w:r>
      <w:r>
        <w:rPr>
          <w:rFonts w:hint="eastAsia"/>
          <w:bCs/>
          <w:color w:val="auto"/>
        </w:rPr>
        <w:t>现浇结构部分的混凝土强度应按不同强度等级分别检验，检验方法宜采用同条件养护试件方法。</w:t>
      </w:r>
    </w:p>
    <w:p w14:paraId="4B0B5959">
      <w:pPr>
        <w:spacing w:line="312" w:lineRule="auto"/>
        <w:rPr>
          <w:bCs/>
          <w:color w:val="auto"/>
        </w:rPr>
      </w:pPr>
      <w:r>
        <w:rPr>
          <w:b/>
          <w:color w:val="auto"/>
        </w:rPr>
        <w:t>11</w:t>
      </w:r>
      <w:r>
        <w:rPr>
          <w:rFonts w:ascii="宋体" w:hAnsi="宋体"/>
          <w:b/>
          <w:color w:val="auto"/>
        </w:rPr>
        <w:t>.</w:t>
      </w:r>
      <w:r>
        <w:rPr>
          <w:b/>
          <w:color w:val="auto"/>
        </w:rPr>
        <w:t>3</w:t>
      </w:r>
      <w:r>
        <w:rPr>
          <w:rFonts w:ascii="宋体" w:hAnsi="宋体"/>
          <w:b/>
          <w:color w:val="auto"/>
        </w:rPr>
        <w:t>.</w:t>
      </w:r>
      <w:r>
        <w:rPr>
          <w:b/>
          <w:color w:val="auto"/>
        </w:rPr>
        <w:t xml:space="preserve">7  </w:t>
      </w:r>
      <w:r>
        <w:rPr>
          <w:rFonts w:hint="eastAsia"/>
          <w:bCs/>
          <w:color w:val="auto"/>
        </w:rPr>
        <w:t>现浇结构部分的外观质量、位置偏差、尺寸偏差验收应符合现行国家标准</w:t>
      </w:r>
      <w:r>
        <w:rPr>
          <w:rFonts w:hint="eastAsia"/>
          <w:color w:val="auto"/>
        </w:rPr>
        <w:t>《混凝土结构工程施工质量验收规范》GB 50204的有关规定</w:t>
      </w:r>
      <w:r>
        <w:rPr>
          <w:rFonts w:hint="eastAsia"/>
          <w:bCs/>
          <w:color w:val="auto"/>
        </w:rPr>
        <w:t>；当</w:t>
      </w:r>
      <w:r>
        <w:rPr>
          <w:rFonts w:hint="eastAsia"/>
          <w:color w:val="auto"/>
        </w:rPr>
        <w:t>现浇结构使用</w:t>
      </w:r>
      <w:r>
        <w:rPr>
          <w:rFonts w:hint="eastAsia"/>
          <w:bCs/>
          <w:color w:val="auto"/>
        </w:rPr>
        <w:t>梁模、墙模或柱模</w:t>
      </w:r>
      <w:r>
        <w:rPr>
          <w:rFonts w:hint="eastAsia"/>
          <w:color w:val="auto"/>
        </w:rPr>
        <w:t>作为模板进行浇筑时，混凝土应浇筑密实：</w:t>
      </w:r>
    </w:p>
    <w:p w14:paraId="7A8924E6">
      <w:pPr>
        <w:spacing w:line="312" w:lineRule="auto"/>
        <w:ind w:firstLine="440" w:firstLineChars="200"/>
        <w:rPr>
          <w:color w:val="auto"/>
        </w:rPr>
      </w:pPr>
      <w:r>
        <w:rPr>
          <w:rFonts w:hint="eastAsia"/>
          <w:color w:val="auto"/>
        </w:rPr>
        <w:t>检查数量：每</w:t>
      </w:r>
      <w:r>
        <w:rPr>
          <w:color w:val="auto"/>
        </w:rPr>
        <w:t>1000</w:t>
      </w:r>
      <w:r>
        <w:rPr>
          <w:rFonts w:hint="eastAsia"/>
          <w:color w:val="auto"/>
        </w:rPr>
        <w:t>平方米建筑面积检测</w:t>
      </w:r>
      <w:r>
        <w:rPr>
          <w:color w:val="auto"/>
        </w:rPr>
        <w:t>1</w:t>
      </w:r>
      <w:r>
        <w:rPr>
          <w:rFonts w:hint="eastAsia"/>
          <w:color w:val="auto"/>
        </w:rPr>
        <w:t>个构件，每层不少于</w:t>
      </w:r>
      <w:r>
        <w:rPr>
          <w:color w:val="auto"/>
        </w:rPr>
        <w:t>3</w:t>
      </w:r>
      <w:r>
        <w:rPr>
          <w:rFonts w:hint="eastAsia"/>
          <w:color w:val="auto"/>
        </w:rPr>
        <w:t>个构件。</w:t>
      </w:r>
    </w:p>
    <w:p w14:paraId="6C17AA81">
      <w:pPr>
        <w:spacing w:line="312" w:lineRule="auto"/>
        <w:ind w:firstLine="440" w:firstLineChars="200"/>
        <w:rPr>
          <w:color w:val="auto"/>
        </w:rPr>
      </w:pPr>
      <w:r>
        <w:rPr>
          <w:rFonts w:hint="eastAsia"/>
          <w:color w:val="auto"/>
        </w:rPr>
        <w:t>检验方法：超声法、阵列超声成像法。</w:t>
      </w:r>
    </w:p>
    <w:p w14:paraId="5A877161">
      <w:pPr>
        <w:spacing w:line="312" w:lineRule="auto"/>
        <w:rPr>
          <w:bCs/>
          <w:color w:val="auto"/>
        </w:rPr>
      </w:pPr>
      <w:r>
        <w:rPr>
          <w:rFonts w:hint="eastAsia"/>
          <w:b/>
          <w:bCs/>
          <w:color w:val="auto"/>
        </w:rPr>
        <w:t>1</w:t>
      </w:r>
      <w:r>
        <w:rPr>
          <w:b/>
          <w:bCs/>
          <w:color w:val="auto"/>
        </w:rPr>
        <w:t>1</w:t>
      </w:r>
      <w:r>
        <w:rPr>
          <w:rFonts w:ascii="宋体" w:hAnsi="宋体"/>
          <w:b/>
          <w:bCs/>
          <w:color w:val="auto"/>
        </w:rPr>
        <w:t>.</w:t>
      </w:r>
      <w:r>
        <w:rPr>
          <w:b/>
          <w:bCs/>
          <w:color w:val="auto"/>
        </w:rPr>
        <w:t>3</w:t>
      </w:r>
      <w:r>
        <w:rPr>
          <w:rFonts w:ascii="宋体" w:hAnsi="宋体"/>
          <w:b/>
          <w:bCs/>
          <w:color w:val="auto"/>
        </w:rPr>
        <w:t>.</w:t>
      </w:r>
      <w:r>
        <w:rPr>
          <w:b/>
          <w:bCs/>
          <w:color w:val="auto"/>
        </w:rPr>
        <w:t>8</w:t>
      </w:r>
      <w:r>
        <w:rPr>
          <w:rFonts w:hint="eastAsia"/>
          <w:b/>
          <w:bCs/>
          <w:color w:val="auto"/>
        </w:rPr>
        <w:t xml:space="preserve"> </w:t>
      </w:r>
      <w:r>
        <w:rPr>
          <w:b/>
          <w:bCs/>
          <w:color w:val="auto"/>
        </w:rPr>
        <w:t xml:space="preserve"> </w:t>
      </w:r>
      <w:r>
        <w:rPr>
          <w:rFonts w:hint="eastAsia"/>
          <w:bCs/>
          <w:color w:val="auto"/>
        </w:rPr>
        <w:t>现浇结构部分的钢筋保护层厚度检验应符合下列规定：</w:t>
      </w:r>
    </w:p>
    <w:p w14:paraId="4D1C7B5A">
      <w:pPr>
        <w:spacing w:line="312" w:lineRule="auto"/>
        <w:ind w:firstLine="440" w:firstLineChars="200"/>
        <w:rPr>
          <w:bCs/>
          <w:color w:val="auto"/>
        </w:rPr>
      </w:pPr>
      <w:r>
        <w:rPr>
          <w:rFonts w:hint="eastAsia"/>
          <w:b/>
          <w:bCs/>
          <w:color w:val="auto"/>
        </w:rPr>
        <w:t>1</w:t>
      </w:r>
      <w:r>
        <w:rPr>
          <w:bCs/>
          <w:color w:val="auto"/>
        </w:rPr>
        <w:t xml:space="preserve">  </w:t>
      </w:r>
      <w:r>
        <w:rPr>
          <w:rFonts w:hint="eastAsia"/>
          <w:bCs/>
          <w:color w:val="auto"/>
        </w:rPr>
        <w:t>现浇结构中的梁、剪力墙和柱等构件使用梁模、墙模或柱模作为模板进行浇筑时，可不检验钢筋保护层厚度；</w:t>
      </w:r>
    </w:p>
    <w:p w14:paraId="16A78011">
      <w:pPr>
        <w:spacing w:line="312" w:lineRule="auto"/>
        <w:ind w:firstLine="440" w:firstLineChars="200"/>
        <w:rPr>
          <w:bCs/>
          <w:color w:val="auto"/>
        </w:rPr>
      </w:pPr>
      <w:r>
        <w:rPr>
          <w:rFonts w:hint="eastAsia"/>
          <w:b/>
          <w:bCs/>
          <w:color w:val="auto"/>
        </w:rPr>
        <w:t>2</w:t>
      </w:r>
      <w:r>
        <w:rPr>
          <w:bCs/>
          <w:color w:val="auto"/>
        </w:rPr>
        <w:t xml:space="preserve">  </w:t>
      </w:r>
      <w:r>
        <w:rPr>
          <w:rFonts w:hint="eastAsia"/>
          <w:bCs/>
          <w:color w:val="auto"/>
        </w:rPr>
        <w:t>现浇结构中的梁、剪力墙和柱等构件使用其他模板进行浇筑时，其钢筋保护层厚度检验应符合《混凝土结构工程施工质量验收规范》G</w:t>
      </w:r>
      <w:r>
        <w:rPr>
          <w:bCs/>
          <w:color w:val="auto"/>
        </w:rPr>
        <w:t>B 50204</w:t>
      </w:r>
      <w:r>
        <w:rPr>
          <w:rFonts w:hint="eastAsia"/>
          <w:bCs/>
          <w:color w:val="auto"/>
        </w:rPr>
        <w:t>中的有关规定。</w:t>
      </w:r>
    </w:p>
    <w:p w14:paraId="605EC580">
      <w:pPr>
        <w:spacing w:line="312" w:lineRule="auto"/>
        <w:rPr>
          <w:bCs/>
          <w:color w:val="auto"/>
        </w:rPr>
      </w:pPr>
      <w:r>
        <w:rPr>
          <w:rFonts w:hint="eastAsia"/>
          <w:b/>
          <w:bCs/>
          <w:color w:val="auto"/>
        </w:rPr>
        <w:t>1</w:t>
      </w:r>
      <w:r>
        <w:rPr>
          <w:b/>
          <w:bCs/>
          <w:color w:val="auto"/>
        </w:rPr>
        <w:t>1</w:t>
      </w:r>
      <w:r>
        <w:rPr>
          <w:rFonts w:ascii="宋体" w:hAnsi="宋体"/>
          <w:b/>
          <w:bCs/>
          <w:color w:val="auto"/>
        </w:rPr>
        <w:t>.</w:t>
      </w:r>
      <w:r>
        <w:rPr>
          <w:b/>
          <w:bCs/>
          <w:color w:val="auto"/>
        </w:rPr>
        <w:t>3</w:t>
      </w:r>
      <w:r>
        <w:rPr>
          <w:rFonts w:ascii="宋体" w:hAnsi="宋体"/>
          <w:b/>
          <w:bCs/>
          <w:color w:val="auto"/>
        </w:rPr>
        <w:t>.</w:t>
      </w:r>
      <w:r>
        <w:rPr>
          <w:b/>
          <w:bCs/>
          <w:color w:val="auto"/>
        </w:rPr>
        <w:t>9</w:t>
      </w:r>
      <w:r>
        <w:rPr>
          <w:rFonts w:hint="eastAsia"/>
          <w:b/>
          <w:bCs/>
          <w:color w:val="auto"/>
        </w:rPr>
        <w:t xml:space="preserve"> </w:t>
      </w:r>
      <w:r>
        <w:rPr>
          <w:b/>
          <w:bCs/>
          <w:color w:val="auto"/>
        </w:rPr>
        <w:t xml:space="preserve"> </w:t>
      </w:r>
      <w:r>
        <w:rPr>
          <w:rFonts w:hint="eastAsia"/>
          <w:bCs/>
          <w:color w:val="auto"/>
        </w:rPr>
        <w:t>模块化叠合剪力墙及模块化现浇结构接缝的施工质量及防水性能应符合设计要求和国家、地方现行有关标准的规定。</w:t>
      </w:r>
    </w:p>
    <w:p w14:paraId="65803235">
      <w:pPr>
        <w:pStyle w:val="3"/>
        <w:rPr>
          <w:b/>
          <w:bCs w:val="0"/>
          <w:color w:val="auto"/>
        </w:rPr>
      </w:pPr>
      <w:bookmarkStart w:id="461" w:name="_Toc185003316"/>
      <w:bookmarkStart w:id="462" w:name="_Toc185003061"/>
      <w:bookmarkStart w:id="463" w:name="_Toc17722"/>
      <w:r>
        <w:rPr>
          <w:b/>
          <w:bCs w:val="0"/>
          <w:color w:val="auto"/>
        </w:rPr>
        <w:t>11</w:t>
      </w:r>
      <w:r>
        <w:rPr>
          <w:rFonts w:hint="eastAsia"/>
          <w:b/>
          <w:bCs w:val="0"/>
          <w:color w:val="auto"/>
        </w:rPr>
        <w:t>.</w:t>
      </w:r>
      <w:r>
        <w:rPr>
          <w:b/>
          <w:bCs w:val="0"/>
          <w:color w:val="auto"/>
        </w:rPr>
        <w:t>4</w:t>
      </w:r>
      <w:r>
        <w:rPr>
          <w:rFonts w:hint="eastAsia"/>
          <w:b/>
          <w:bCs w:val="0"/>
          <w:color w:val="auto"/>
        </w:rPr>
        <w:t xml:space="preserve">  设备管线安装</w:t>
      </w:r>
      <w:bookmarkEnd w:id="461"/>
      <w:bookmarkEnd w:id="462"/>
      <w:bookmarkEnd w:id="463"/>
    </w:p>
    <w:p w14:paraId="3230E15A">
      <w:pPr>
        <w:spacing w:line="312" w:lineRule="auto"/>
        <w:rPr>
          <w:color w:val="auto"/>
        </w:rPr>
      </w:pPr>
      <w:r>
        <w:rPr>
          <w:b/>
          <w:bCs/>
          <w:color w:val="auto"/>
        </w:rPr>
        <w:t>11</w:t>
      </w:r>
      <w:r>
        <w:rPr>
          <w:rFonts w:ascii="宋体" w:hAnsi="宋体"/>
          <w:b/>
          <w:bCs/>
          <w:color w:val="auto"/>
        </w:rPr>
        <w:t>.</w:t>
      </w:r>
      <w:r>
        <w:rPr>
          <w:b/>
          <w:bCs/>
          <w:color w:val="auto"/>
        </w:rPr>
        <w:t>4</w:t>
      </w:r>
      <w:r>
        <w:rPr>
          <w:rFonts w:ascii="宋体" w:hAnsi="宋体"/>
          <w:b/>
          <w:bCs/>
          <w:color w:val="auto"/>
        </w:rPr>
        <w:t>.</w:t>
      </w:r>
      <w:r>
        <w:rPr>
          <w:b/>
          <w:bCs/>
          <w:color w:val="auto"/>
        </w:rPr>
        <w:t xml:space="preserve">1  </w:t>
      </w:r>
      <w:r>
        <w:rPr>
          <w:rFonts w:hint="eastAsia"/>
          <w:color w:val="auto"/>
        </w:rPr>
        <w:t>模块单元设备管线之间的连接构造应符合设计要求。</w:t>
      </w:r>
    </w:p>
    <w:p w14:paraId="13F6AE99">
      <w:pPr>
        <w:spacing w:line="312" w:lineRule="auto"/>
        <w:ind w:firstLine="440" w:firstLineChars="200"/>
        <w:rPr>
          <w:color w:val="auto"/>
        </w:rPr>
      </w:pPr>
      <w:r>
        <w:rPr>
          <w:rFonts w:hint="eastAsia"/>
          <w:color w:val="auto"/>
        </w:rPr>
        <w:t>检查数量：全数检查。</w:t>
      </w:r>
    </w:p>
    <w:p w14:paraId="3CF1B570">
      <w:pPr>
        <w:spacing w:line="312" w:lineRule="auto"/>
        <w:ind w:firstLine="440" w:firstLineChars="200"/>
        <w:rPr>
          <w:color w:val="auto"/>
        </w:rPr>
      </w:pPr>
      <w:r>
        <w:rPr>
          <w:rFonts w:hint="eastAsia"/>
          <w:color w:val="auto"/>
        </w:rPr>
        <w:t>检验方法：观察，量测。</w:t>
      </w:r>
    </w:p>
    <w:p w14:paraId="4C258ED8">
      <w:pPr>
        <w:widowControl/>
        <w:spacing w:line="312" w:lineRule="auto"/>
        <w:jc w:val="left"/>
        <w:rPr>
          <w:color w:val="auto"/>
          <w:szCs w:val="24"/>
        </w:rPr>
      </w:pPr>
      <w:r>
        <w:rPr>
          <w:b/>
          <w:bCs/>
          <w:color w:val="auto"/>
        </w:rPr>
        <w:t>11</w:t>
      </w:r>
      <w:r>
        <w:rPr>
          <w:rFonts w:ascii="宋体" w:hAnsi="宋体"/>
          <w:b/>
          <w:bCs/>
          <w:color w:val="auto"/>
        </w:rPr>
        <w:t>.</w:t>
      </w:r>
      <w:r>
        <w:rPr>
          <w:b/>
          <w:bCs/>
          <w:color w:val="auto"/>
        </w:rPr>
        <w:t>4</w:t>
      </w:r>
      <w:r>
        <w:rPr>
          <w:rFonts w:ascii="宋体" w:hAnsi="宋体"/>
          <w:b/>
          <w:bCs/>
          <w:color w:val="auto"/>
        </w:rPr>
        <w:t>.</w:t>
      </w:r>
      <w:r>
        <w:rPr>
          <w:b/>
          <w:bCs/>
          <w:color w:val="auto"/>
        </w:rPr>
        <w:t xml:space="preserve">2  </w:t>
      </w:r>
      <w:r>
        <w:rPr>
          <w:rFonts w:hint="eastAsia"/>
          <w:color w:val="auto"/>
          <w:szCs w:val="24"/>
        </w:rPr>
        <w:t>排水管道安装完成后，应检测立管的垂直度及水平管的坡度，并应符合现行国家标准《建筑给水排水及采暖工程施工质量验收规范》GB 50242的有关规定。</w:t>
      </w:r>
    </w:p>
    <w:p w14:paraId="1A7A3903">
      <w:pPr>
        <w:widowControl/>
        <w:spacing w:line="312" w:lineRule="auto"/>
        <w:jc w:val="left"/>
        <w:rPr>
          <w:color w:val="auto"/>
          <w:szCs w:val="24"/>
        </w:rPr>
      </w:pPr>
      <w:r>
        <w:rPr>
          <w:b/>
          <w:bCs/>
          <w:color w:val="auto"/>
        </w:rPr>
        <w:t>11</w:t>
      </w:r>
      <w:r>
        <w:rPr>
          <w:rFonts w:ascii="宋体" w:hAnsi="宋体"/>
          <w:b/>
          <w:bCs/>
          <w:color w:val="auto"/>
        </w:rPr>
        <w:t>.</w:t>
      </w:r>
      <w:r>
        <w:rPr>
          <w:b/>
          <w:bCs/>
          <w:color w:val="auto"/>
        </w:rPr>
        <w:t>4</w:t>
      </w:r>
      <w:r>
        <w:rPr>
          <w:rFonts w:ascii="宋体" w:hAnsi="宋体"/>
          <w:b/>
          <w:bCs/>
          <w:color w:val="auto"/>
        </w:rPr>
        <w:t>.</w:t>
      </w:r>
      <w:r>
        <w:rPr>
          <w:b/>
          <w:bCs/>
          <w:color w:val="auto"/>
        </w:rPr>
        <w:t xml:space="preserve">3 </w:t>
      </w:r>
      <w:r>
        <w:rPr>
          <w:rFonts w:hint="eastAsia"/>
          <w:color w:val="auto"/>
          <w:szCs w:val="24"/>
        </w:rPr>
        <w:t xml:space="preserve"> 排水管道安装完成后应进行整个排水系统的灌水及通球试验；给水管道应进行整个系统的严密性及强度试验，试验结果应满足设计要求。</w:t>
      </w:r>
    </w:p>
    <w:p w14:paraId="164D6C27">
      <w:pPr>
        <w:spacing w:line="312" w:lineRule="auto"/>
        <w:rPr>
          <w:color w:val="auto"/>
          <w:szCs w:val="24"/>
        </w:rPr>
      </w:pPr>
      <w:r>
        <w:rPr>
          <w:b/>
          <w:bCs/>
          <w:color w:val="auto"/>
          <w:szCs w:val="24"/>
        </w:rPr>
        <w:t>11</w:t>
      </w:r>
      <w:r>
        <w:rPr>
          <w:rFonts w:ascii="宋体" w:hAnsi="宋体"/>
          <w:b/>
          <w:bCs/>
          <w:color w:val="auto"/>
          <w:szCs w:val="24"/>
        </w:rPr>
        <w:t>.</w:t>
      </w:r>
      <w:r>
        <w:rPr>
          <w:b/>
          <w:bCs/>
          <w:color w:val="auto"/>
          <w:szCs w:val="24"/>
        </w:rPr>
        <w:t>4</w:t>
      </w:r>
      <w:r>
        <w:rPr>
          <w:rFonts w:ascii="宋体" w:hAnsi="宋体"/>
          <w:b/>
          <w:bCs/>
          <w:color w:val="auto"/>
          <w:szCs w:val="24"/>
        </w:rPr>
        <w:t>.</w:t>
      </w:r>
      <w:r>
        <w:rPr>
          <w:b/>
          <w:bCs/>
          <w:color w:val="auto"/>
          <w:szCs w:val="24"/>
        </w:rPr>
        <w:t xml:space="preserve">4  </w:t>
      </w:r>
      <w:r>
        <w:rPr>
          <w:rFonts w:hint="eastAsia"/>
          <w:color w:val="auto"/>
          <w:szCs w:val="24"/>
        </w:rPr>
        <w:t>线路敷设完毕后应进行绝缘电阻测试及通电测试，其测试电压及绝缘电阻值应符合现行国家标准《建筑电气工程施工质量验收规范》</w:t>
      </w:r>
      <w:r>
        <w:rPr>
          <w:color w:val="auto"/>
          <w:szCs w:val="24"/>
        </w:rPr>
        <w:t>GB 50303</w:t>
      </w:r>
      <w:r>
        <w:rPr>
          <w:rFonts w:hint="eastAsia"/>
          <w:color w:val="auto"/>
          <w:szCs w:val="24"/>
        </w:rPr>
        <w:t>的有关规定。</w:t>
      </w:r>
    </w:p>
    <w:p w14:paraId="1D35C543">
      <w:pPr>
        <w:rPr>
          <w:color w:val="auto"/>
        </w:rPr>
      </w:pPr>
    </w:p>
    <w:p w14:paraId="621D50AE">
      <w:pPr>
        <w:pStyle w:val="2"/>
        <w:rPr>
          <w:bCs/>
          <w:color w:val="auto"/>
        </w:rPr>
      </w:pPr>
      <w:bookmarkStart w:id="464" w:name="_Toc7303"/>
      <w:bookmarkStart w:id="465" w:name="_Toc20806"/>
      <w:bookmarkStart w:id="466" w:name="_Toc24026"/>
      <w:bookmarkStart w:id="467" w:name="_Toc23052"/>
      <w:bookmarkStart w:id="468" w:name="_Toc13689"/>
      <w:bookmarkStart w:id="469" w:name="_Toc89"/>
      <w:bookmarkStart w:id="470" w:name="_Toc202535509"/>
      <w:bookmarkStart w:id="471" w:name="_Toc7085"/>
      <w:bookmarkStart w:id="472" w:name="_Toc448"/>
      <w:bookmarkStart w:id="473" w:name="_Toc355"/>
      <w:bookmarkStart w:id="474" w:name="_Toc12282"/>
      <w:bookmarkStart w:id="475" w:name="_Toc27413"/>
      <w:bookmarkStart w:id="476" w:name="_Toc24117"/>
      <w:r>
        <w:rPr>
          <w:b/>
          <w:bCs/>
          <w:color w:val="auto"/>
        </w:rPr>
        <w:t>12</w:t>
      </w:r>
      <w:r>
        <w:rPr>
          <w:rFonts w:hint="eastAsia"/>
          <w:color w:val="auto"/>
        </w:rPr>
        <w:t xml:space="preserve">  </w:t>
      </w:r>
      <w:r>
        <w:rPr>
          <w:rFonts w:hint="eastAsia"/>
          <w:bCs/>
          <w:color w:val="auto"/>
        </w:rPr>
        <w:t>智能建造与运维</w:t>
      </w:r>
      <w:bookmarkEnd w:id="464"/>
      <w:bookmarkEnd w:id="465"/>
      <w:bookmarkEnd w:id="466"/>
      <w:bookmarkEnd w:id="467"/>
      <w:bookmarkEnd w:id="468"/>
      <w:bookmarkEnd w:id="469"/>
      <w:bookmarkEnd w:id="470"/>
      <w:bookmarkEnd w:id="471"/>
      <w:bookmarkEnd w:id="472"/>
      <w:bookmarkEnd w:id="473"/>
    </w:p>
    <w:p w14:paraId="5F022BDE">
      <w:pPr>
        <w:pStyle w:val="3"/>
        <w:rPr>
          <w:color w:val="auto"/>
        </w:rPr>
      </w:pPr>
      <w:bookmarkStart w:id="477" w:name="_Toc10749"/>
      <w:bookmarkStart w:id="478" w:name="_Toc21107"/>
      <w:bookmarkStart w:id="479" w:name="_Toc202535510"/>
      <w:bookmarkStart w:id="480" w:name="_Toc32134"/>
      <w:bookmarkStart w:id="481" w:name="_Toc9551"/>
      <w:bookmarkStart w:id="482" w:name="_Toc26867"/>
      <w:bookmarkStart w:id="483" w:name="_Toc6206"/>
      <w:bookmarkStart w:id="484" w:name="_Toc29022"/>
      <w:bookmarkStart w:id="485" w:name="_Toc30448"/>
      <w:bookmarkStart w:id="486" w:name="_Toc17164"/>
      <w:r>
        <w:rPr>
          <w:b/>
          <w:bCs w:val="0"/>
          <w:color w:val="auto"/>
        </w:rPr>
        <w:t>12</w:t>
      </w:r>
      <w:r>
        <w:rPr>
          <w:rFonts w:hint="eastAsia"/>
          <w:b/>
          <w:bCs w:val="0"/>
          <w:color w:val="auto"/>
        </w:rPr>
        <w:t>.</w:t>
      </w:r>
      <w:r>
        <w:rPr>
          <w:b/>
          <w:bCs w:val="0"/>
          <w:color w:val="auto"/>
        </w:rPr>
        <w:t>1</w:t>
      </w:r>
      <w:r>
        <w:rPr>
          <w:rFonts w:hint="eastAsia"/>
          <w:color w:val="auto"/>
        </w:rPr>
        <w:t xml:space="preserve">  一般规定</w:t>
      </w:r>
      <w:bookmarkEnd w:id="477"/>
      <w:bookmarkEnd w:id="478"/>
      <w:bookmarkEnd w:id="479"/>
      <w:bookmarkEnd w:id="480"/>
      <w:bookmarkEnd w:id="481"/>
      <w:bookmarkEnd w:id="482"/>
      <w:bookmarkEnd w:id="483"/>
      <w:bookmarkEnd w:id="484"/>
      <w:bookmarkEnd w:id="485"/>
      <w:bookmarkEnd w:id="486"/>
    </w:p>
    <w:p w14:paraId="5E2250AC">
      <w:pPr>
        <w:numPr>
          <w:ilvl w:val="0"/>
          <w:numId w:val="39"/>
        </w:numPr>
        <w:spacing w:line="312" w:lineRule="auto"/>
        <w:rPr>
          <w:color w:val="auto"/>
        </w:rPr>
      </w:pPr>
      <w:r>
        <w:rPr>
          <w:rFonts w:hint="eastAsia"/>
          <w:color w:val="auto"/>
        </w:rPr>
        <w:t>模块化建筑宜融入建筑信息模型（BIM）、数字孪生、物联网、大数据、人工智能（AI）等数字技术，促进模块化建筑工程建设主要流程、工艺的数字化改造和关键要素资源的数字化表达，形成协调统一的数据体系。</w:t>
      </w:r>
    </w:p>
    <w:p w14:paraId="02EE0725">
      <w:pPr>
        <w:numPr>
          <w:ilvl w:val="0"/>
          <w:numId w:val="39"/>
        </w:numPr>
        <w:spacing w:line="312" w:lineRule="auto"/>
        <w:rPr>
          <w:color w:val="auto"/>
        </w:rPr>
      </w:pPr>
      <w:r>
        <w:rPr>
          <w:rFonts w:hint="eastAsia"/>
          <w:color w:val="auto"/>
        </w:rPr>
        <w:t>模块化建筑的建造宜采用信息化管理平台，并宜实现设计、生产、运输、施工安装及运维全过程数字化管理。</w:t>
      </w:r>
    </w:p>
    <w:p w14:paraId="06EF903E">
      <w:pPr>
        <w:pStyle w:val="33"/>
        <w:ind w:firstLine="441"/>
        <w:rPr>
          <w:color w:val="auto"/>
        </w:rPr>
      </w:pPr>
      <w:r>
        <w:rPr>
          <w:rFonts w:hint="eastAsia" w:ascii="楷体" w:hAnsi="楷体" w:cs="楷体"/>
          <w:color w:val="auto"/>
          <w:szCs w:val="21"/>
        </w:rPr>
        <w:t>【条文说明】信息化管理</w:t>
      </w:r>
      <w:r>
        <w:rPr>
          <w:rFonts w:hint="eastAsia"/>
          <w:color w:val="auto"/>
        </w:rPr>
        <w:t>平台宜由EPC单位统一建设管理，模块化建筑宜采用数字化、信息化的技术手段，实现工厂智能化生产，现场智能化施工以及建筑工程的全过程数字化管理。</w:t>
      </w:r>
    </w:p>
    <w:p w14:paraId="52A0D3C3">
      <w:pPr>
        <w:numPr>
          <w:ilvl w:val="0"/>
          <w:numId w:val="39"/>
        </w:numPr>
        <w:spacing w:line="312" w:lineRule="auto"/>
        <w:rPr>
          <w:color w:val="auto"/>
        </w:rPr>
      </w:pPr>
      <w:r>
        <w:rPr>
          <w:rFonts w:hint="eastAsia"/>
          <w:color w:val="auto"/>
        </w:rPr>
        <w:t>信息化管理平台的数据应长期保存，并应具备可追溯性，设计、生产、施工、运维等各子系统数据应互联互通，数据存储方式宜采用区块链技术实现。</w:t>
      </w:r>
    </w:p>
    <w:p w14:paraId="786D774C">
      <w:pPr>
        <w:pStyle w:val="33"/>
        <w:ind w:firstLine="441"/>
        <w:rPr>
          <w:color w:val="auto"/>
        </w:rPr>
      </w:pPr>
      <w:r>
        <w:rPr>
          <w:rFonts w:hint="eastAsia" w:ascii="楷体" w:hAnsi="楷体" w:cs="楷体"/>
          <w:color w:val="auto"/>
          <w:szCs w:val="21"/>
        </w:rPr>
        <w:t>【条文说明】</w:t>
      </w:r>
      <w:r>
        <w:rPr>
          <w:rFonts w:hint="eastAsia"/>
          <w:color w:val="auto"/>
        </w:rPr>
        <w:t>信息化管理平台作为智能建造的实现工具，应能实现数字化交付和数据追溯，且不仅能适应当前业务需求，也能在未来的使用环境下扩展业务需求。</w:t>
      </w:r>
    </w:p>
    <w:p w14:paraId="08A93F29">
      <w:pPr>
        <w:numPr>
          <w:ilvl w:val="0"/>
          <w:numId w:val="39"/>
        </w:numPr>
        <w:spacing w:line="312" w:lineRule="auto"/>
        <w:rPr>
          <w:color w:val="auto"/>
        </w:rPr>
      </w:pPr>
      <w:r>
        <w:rPr>
          <w:rFonts w:hint="eastAsia"/>
          <w:color w:val="auto"/>
        </w:rPr>
        <w:t>智能建造和工业化建筑协会在主管部门的指导下开发模块化建筑生产监管系统，模块化建筑生产过程中涉及质量安全、检验检测（含9.6章节中出厂检验及资料交付）等数据应及时上传至的监管系统。</w:t>
      </w:r>
    </w:p>
    <w:p w14:paraId="0D7D6143">
      <w:pPr>
        <w:pStyle w:val="33"/>
        <w:ind w:firstLine="441"/>
        <w:rPr>
          <w:color w:val="auto"/>
        </w:rPr>
      </w:pPr>
      <w:r>
        <w:rPr>
          <w:rFonts w:hint="eastAsia" w:ascii="楷体" w:hAnsi="楷体" w:cs="楷体"/>
          <w:color w:val="auto"/>
          <w:szCs w:val="21"/>
        </w:rPr>
        <w:t>【条文说明】</w:t>
      </w:r>
      <w:r>
        <w:rPr>
          <w:rFonts w:hint="eastAsia"/>
          <w:color w:val="auto"/>
        </w:rPr>
        <w:t>主管部门认可的监管系统作为模块化建筑质量安全生产的监管平台，采集各模块化建筑全过程生产数据，实现数字化智能监管。</w:t>
      </w:r>
    </w:p>
    <w:p w14:paraId="0C9C221E">
      <w:pPr>
        <w:numPr>
          <w:ilvl w:val="0"/>
          <w:numId w:val="39"/>
        </w:numPr>
        <w:spacing w:line="312" w:lineRule="auto"/>
        <w:rPr>
          <w:color w:val="auto"/>
        </w:rPr>
      </w:pPr>
      <w:r>
        <w:rPr>
          <w:color w:val="auto"/>
        </w:rPr>
        <w:t>模块单元出厂合格证</w:t>
      </w:r>
      <w:r>
        <w:rPr>
          <w:rFonts w:hint="eastAsia"/>
          <w:color w:val="auto"/>
        </w:rPr>
        <w:t>应在模块化建筑生产监管系统出具，带防伪标识和唯一编码，作为工程竣工验收的重要参考。</w:t>
      </w:r>
      <w:r>
        <w:rPr>
          <w:color w:val="auto"/>
        </w:rPr>
        <w:t>模块单元出厂合格证</w:t>
      </w:r>
      <w:r>
        <w:rPr>
          <w:rFonts w:hint="eastAsia"/>
          <w:color w:val="auto"/>
        </w:rPr>
        <w:t>防伪标识和唯一编码在模块化生产企业将生产数据上传后自动获得。</w:t>
      </w:r>
    </w:p>
    <w:p w14:paraId="77C7A021">
      <w:pPr>
        <w:pStyle w:val="33"/>
        <w:ind w:firstLine="441"/>
        <w:rPr>
          <w:color w:val="auto"/>
        </w:rPr>
      </w:pPr>
      <w:r>
        <w:rPr>
          <w:rFonts w:hint="eastAsia" w:ascii="楷体" w:hAnsi="楷体" w:cs="楷体"/>
          <w:color w:val="auto"/>
          <w:szCs w:val="21"/>
        </w:rPr>
        <w:t>【条文说明】</w:t>
      </w:r>
      <w:r>
        <w:rPr>
          <w:rFonts w:hint="eastAsia"/>
          <w:color w:val="auto"/>
        </w:rPr>
        <w:t>信息化管理平台作为智能建造的实现工具，应能实现数字化交付和数据追溯，且不仅能适应当前业务需求，也能在未来的使用环境下扩展业务需求。</w:t>
      </w:r>
    </w:p>
    <w:p w14:paraId="4C654DE4">
      <w:pPr>
        <w:numPr>
          <w:ilvl w:val="0"/>
          <w:numId w:val="39"/>
        </w:numPr>
        <w:spacing w:line="312" w:lineRule="auto"/>
        <w:rPr>
          <w:color w:val="auto"/>
        </w:rPr>
      </w:pPr>
      <w:r>
        <w:rPr>
          <w:rFonts w:hint="eastAsia"/>
          <w:color w:val="auto"/>
        </w:rPr>
        <w:t>鼓励模块化单元生产企业采用自动化检验检测技术、AI人工智能辅助识别质量隐患，提高质量管控水平。</w:t>
      </w:r>
    </w:p>
    <w:p w14:paraId="4E287BAC">
      <w:pPr>
        <w:pStyle w:val="33"/>
        <w:ind w:firstLine="441"/>
        <w:rPr>
          <w:color w:val="auto"/>
        </w:rPr>
      </w:pPr>
    </w:p>
    <w:p w14:paraId="632C9ED8">
      <w:pPr>
        <w:pStyle w:val="3"/>
        <w:rPr>
          <w:color w:val="auto"/>
        </w:rPr>
      </w:pPr>
      <w:bookmarkStart w:id="487" w:name="_Toc26218"/>
      <w:bookmarkStart w:id="488" w:name="_Toc22639"/>
      <w:bookmarkStart w:id="489" w:name="_Toc12981"/>
      <w:bookmarkStart w:id="490" w:name="_Toc16682"/>
      <w:bookmarkStart w:id="491" w:name="_Toc501"/>
      <w:bookmarkStart w:id="492" w:name="_Toc20098"/>
      <w:bookmarkStart w:id="493" w:name="_Toc202535511"/>
      <w:bookmarkStart w:id="494" w:name="_Toc18063"/>
      <w:r>
        <w:rPr>
          <w:b/>
          <w:bCs w:val="0"/>
          <w:color w:val="auto"/>
        </w:rPr>
        <w:t>12</w:t>
      </w:r>
      <w:r>
        <w:rPr>
          <w:rFonts w:hint="eastAsia"/>
          <w:b/>
          <w:bCs w:val="0"/>
          <w:color w:val="auto"/>
        </w:rPr>
        <w:t>.</w:t>
      </w:r>
      <w:r>
        <w:rPr>
          <w:b/>
          <w:bCs w:val="0"/>
          <w:color w:val="auto"/>
        </w:rPr>
        <w:t>2</w:t>
      </w:r>
      <w:r>
        <w:rPr>
          <w:rFonts w:hint="eastAsia"/>
          <w:color w:val="auto"/>
        </w:rPr>
        <w:t xml:space="preserve">  </w:t>
      </w:r>
      <w:bookmarkEnd w:id="487"/>
      <w:r>
        <w:rPr>
          <w:rFonts w:hint="eastAsia"/>
          <w:color w:val="auto"/>
        </w:rPr>
        <w:t>数字设计</w:t>
      </w:r>
      <w:bookmarkEnd w:id="488"/>
      <w:bookmarkEnd w:id="489"/>
      <w:bookmarkEnd w:id="490"/>
      <w:bookmarkEnd w:id="491"/>
      <w:bookmarkEnd w:id="492"/>
      <w:bookmarkEnd w:id="493"/>
      <w:bookmarkEnd w:id="494"/>
    </w:p>
    <w:p w14:paraId="7220BA60">
      <w:pPr>
        <w:tabs>
          <w:tab w:val="left" w:pos="0"/>
        </w:tabs>
        <w:spacing w:line="312" w:lineRule="auto"/>
        <w:rPr>
          <w:color w:val="auto"/>
        </w:rPr>
      </w:pPr>
      <w:r>
        <w:rPr>
          <w:b/>
          <w:bCs/>
          <w:color w:val="auto"/>
          <w:szCs w:val="21"/>
        </w:rPr>
        <w:t xml:space="preserve">12. 2. 1 </w:t>
      </w:r>
      <w:r>
        <w:rPr>
          <w:rFonts w:hint="eastAsia"/>
          <w:b/>
          <w:bCs/>
          <w:color w:val="auto"/>
          <w:szCs w:val="21"/>
        </w:rPr>
        <w:t xml:space="preserve"> </w:t>
      </w:r>
      <w:r>
        <w:rPr>
          <w:rFonts w:hint="eastAsia"/>
          <w:color w:val="auto"/>
        </w:rPr>
        <w:t>模块化建筑宜</w:t>
      </w:r>
      <w:r>
        <w:rPr>
          <w:color w:val="auto"/>
        </w:rPr>
        <w:t>采用智能协同设计平台，明确参与数字设计的人员分工、操作权限和管理制度，保障工程建设项目各参与方的数据共享、互联互通，并对协同设计资源进行全过程管理，实现全过程、全专业协同设计。</w:t>
      </w:r>
    </w:p>
    <w:p w14:paraId="0DA52EF7">
      <w:pPr>
        <w:tabs>
          <w:tab w:val="left" w:pos="0"/>
        </w:tabs>
        <w:spacing w:line="312" w:lineRule="auto"/>
        <w:rPr>
          <w:color w:val="auto"/>
        </w:rPr>
      </w:pPr>
      <w:r>
        <w:rPr>
          <w:b/>
          <w:bCs/>
          <w:color w:val="auto"/>
          <w:szCs w:val="21"/>
        </w:rPr>
        <w:t xml:space="preserve">12. 2. </w:t>
      </w:r>
      <w:r>
        <w:rPr>
          <w:rFonts w:hint="eastAsia"/>
          <w:b/>
          <w:bCs/>
          <w:color w:val="auto"/>
          <w:szCs w:val="21"/>
        </w:rPr>
        <w:t>2</w:t>
      </w:r>
      <w:r>
        <w:rPr>
          <w:b/>
          <w:bCs/>
          <w:color w:val="auto"/>
          <w:szCs w:val="21"/>
        </w:rPr>
        <w:t xml:space="preserve"> </w:t>
      </w:r>
      <w:r>
        <w:rPr>
          <w:rFonts w:hint="eastAsia"/>
          <w:b/>
          <w:bCs/>
          <w:color w:val="auto"/>
          <w:szCs w:val="21"/>
        </w:rPr>
        <w:t xml:space="preserve"> </w:t>
      </w:r>
      <w:r>
        <w:rPr>
          <w:rFonts w:hint="eastAsia"/>
          <w:color w:val="auto"/>
        </w:rPr>
        <w:t>模块化建筑应采用建筑信息模型技术进行方案设计、施工图设计及深化设计，并宜采用正向设计技术。</w:t>
      </w:r>
    </w:p>
    <w:p w14:paraId="13611660">
      <w:pPr>
        <w:pStyle w:val="33"/>
        <w:ind w:firstLine="441"/>
        <w:rPr>
          <w:color w:val="auto"/>
        </w:rPr>
      </w:pPr>
      <w:r>
        <w:rPr>
          <w:rFonts w:hint="eastAsia" w:ascii="楷体" w:hAnsi="楷体" w:cs="楷体"/>
          <w:color w:val="auto"/>
          <w:szCs w:val="21"/>
        </w:rPr>
        <w:t>【条文说明】</w:t>
      </w:r>
      <w:r>
        <w:rPr>
          <w:rFonts w:hint="eastAsia"/>
          <w:color w:val="auto"/>
        </w:rPr>
        <w:t>模块化建筑不宜采用建筑信息模型后验证方式进行设计，因为建筑信息模型后验证方式在项目的施工准备阶段开始介入，发现问题不及时，不利于模块的集成化建造。并且随着项目的实施，设计图纸和模型的一致性难以保证。</w:t>
      </w:r>
    </w:p>
    <w:p w14:paraId="46CF3452">
      <w:pPr>
        <w:tabs>
          <w:tab w:val="left" w:pos="0"/>
        </w:tabs>
        <w:spacing w:line="312" w:lineRule="auto"/>
        <w:rPr>
          <w:color w:val="auto"/>
        </w:rPr>
      </w:pPr>
      <w:r>
        <w:rPr>
          <w:b/>
          <w:bCs/>
          <w:color w:val="auto"/>
          <w:szCs w:val="21"/>
        </w:rPr>
        <w:t xml:space="preserve">12. 2. </w:t>
      </w:r>
      <w:r>
        <w:rPr>
          <w:rFonts w:hint="eastAsia"/>
          <w:b/>
          <w:bCs/>
          <w:color w:val="auto"/>
          <w:szCs w:val="21"/>
        </w:rPr>
        <w:t xml:space="preserve">3 </w:t>
      </w:r>
      <w:r>
        <w:rPr>
          <w:b/>
          <w:bCs/>
          <w:color w:val="auto"/>
          <w:szCs w:val="21"/>
        </w:rPr>
        <w:t xml:space="preserve"> </w:t>
      </w:r>
      <w:r>
        <w:rPr>
          <w:rFonts w:hint="eastAsia"/>
          <w:color w:val="auto"/>
        </w:rPr>
        <w:t>模块化建筑的建筑信息模型正向设计应符合下列规定：</w:t>
      </w:r>
    </w:p>
    <w:p w14:paraId="4A1F9649">
      <w:pPr>
        <w:spacing w:line="312" w:lineRule="auto"/>
        <w:ind w:firstLine="440" w:firstLineChars="200"/>
        <w:rPr>
          <w:color w:val="auto"/>
        </w:rPr>
      </w:pPr>
      <w:r>
        <w:rPr>
          <w:rFonts w:hint="eastAsia"/>
          <w:b/>
          <w:color w:val="auto"/>
        </w:rPr>
        <w:t>1</w:t>
      </w:r>
      <w:r>
        <w:rPr>
          <w:color w:val="auto"/>
        </w:rPr>
        <w:t xml:space="preserve">  </w:t>
      </w:r>
      <w:r>
        <w:rPr>
          <w:rFonts w:hint="eastAsia"/>
          <w:color w:val="auto"/>
        </w:rPr>
        <w:t>方案阶段应采用面向制造和装配的设计方法，模块单元的深化设计应与方案设计协同开展；</w:t>
      </w:r>
    </w:p>
    <w:p w14:paraId="542031E6">
      <w:pPr>
        <w:spacing w:line="312" w:lineRule="auto"/>
        <w:ind w:firstLine="440" w:firstLineChars="200"/>
        <w:rPr>
          <w:color w:val="auto"/>
        </w:rPr>
      </w:pPr>
      <w:r>
        <w:rPr>
          <w:rFonts w:hint="eastAsia"/>
          <w:b/>
          <w:color w:val="auto"/>
        </w:rPr>
        <w:t>2</w:t>
      </w:r>
      <w:r>
        <w:rPr>
          <w:color w:val="auto"/>
        </w:rPr>
        <w:t xml:space="preserve">  </w:t>
      </w:r>
      <w:r>
        <w:rPr>
          <w:rFonts w:hint="eastAsia"/>
          <w:color w:val="auto"/>
        </w:rPr>
        <w:t>模块单元的深化设计，应包含结构深化、设备管线深化、装修深化和幕墙深化等。</w:t>
      </w:r>
    </w:p>
    <w:p w14:paraId="534DC641">
      <w:pPr>
        <w:pStyle w:val="33"/>
        <w:ind w:firstLine="441"/>
        <w:rPr>
          <w:color w:val="auto"/>
        </w:rPr>
      </w:pPr>
      <w:r>
        <w:rPr>
          <w:rFonts w:hint="eastAsia" w:ascii="楷体" w:hAnsi="楷体" w:cs="楷体"/>
          <w:color w:val="auto"/>
          <w:szCs w:val="21"/>
        </w:rPr>
        <w:t>【条文说明】</w:t>
      </w:r>
      <w:r>
        <w:rPr>
          <w:rFonts w:hint="eastAsia"/>
          <w:color w:val="auto"/>
        </w:rPr>
        <w:t>模块化建筑采用工厂预制、现场拼装的建造方式，涉及建筑、结构、设备、装修等多专业的配合，故宜将模块单元深化设计、二次机电深化设计、装修深化设计等工作前置，提高协同效率。</w:t>
      </w:r>
    </w:p>
    <w:p w14:paraId="36F42E42">
      <w:pPr>
        <w:tabs>
          <w:tab w:val="left" w:pos="0"/>
        </w:tabs>
        <w:spacing w:line="312" w:lineRule="auto"/>
        <w:rPr>
          <w:color w:val="auto"/>
        </w:rPr>
      </w:pPr>
      <w:r>
        <w:rPr>
          <w:b/>
          <w:bCs/>
          <w:color w:val="auto"/>
          <w:szCs w:val="21"/>
        </w:rPr>
        <w:t xml:space="preserve">12. 2. </w:t>
      </w:r>
      <w:r>
        <w:rPr>
          <w:rFonts w:hint="eastAsia"/>
          <w:b/>
          <w:bCs/>
          <w:color w:val="auto"/>
          <w:szCs w:val="21"/>
        </w:rPr>
        <w:t>4</w:t>
      </w:r>
      <w:r>
        <w:rPr>
          <w:b/>
          <w:bCs/>
          <w:color w:val="auto"/>
          <w:szCs w:val="21"/>
        </w:rPr>
        <w:t xml:space="preserve"> </w:t>
      </w:r>
      <w:r>
        <w:rPr>
          <w:rFonts w:hint="eastAsia"/>
          <w:b/>
          <w:bCs/>
          <w:color w:val="auto"/>
          <w:szCs w:val="21"/>
        </w:rPr>
        <w:t xml:space="preserve"> </w:t>
      </w:r>
      <w:r>
        <w:rPr>
          <w:rFonts w:hint="eastAsia"/>
          <w:color w:val="auto"/>
        </w:rPr>
        <w:t>建筑信息模型的创建应符合下列规定：</w:t>
      </w:r>
    </w:p>
    <w:p w14:paraId="1904E360">
      <w:pPr>
        <w:spacing w:line="312" w:lineRule="auto"/>
        <w:ind w:firstLine="440" w:firstLineChars="200"/>
        <w:rPr>
          <w:color w:val="auto"/>
        </w:rPr>
      </w:pPr>
      <w:r>
        <w:rPr>
          <w:rFonts w:hint="eastAsia"/>
          <w:b/>
          <w:color w:val="auto"/>
        </w:rPr>
        <w:t>1</w:t>
      </w:r>
      <w:r>
        <w:rPr>
          <w:b/>
          <w:color w:val="auto"/>
        </w:rPr>
        <w:t xml:space="preserve">  </w:t>
      </w:r>
      <w:r>
        <w:rPr>
          <w:rFonts w:hint="eastAsia"/>
          <w:color w:val="auto"/>
        </w:rPr>
        <w:t>应根据项目的阶段和专业进行建筑信息模型创建规划，并应编写《建筑信息模型管理规则》，对模型文件采用统一的命名规则，建立模型地图；</w:t>
      </w:r>
    </w:p>
    <w:p w14:paraId="572DA615">
      <w:pPr>
        <w:spacing w:line="312" w:lineRule="auto"/>
        <w:ind w:firstLine="440" w:firstLineChars="200"/>
        <w:rPr>
          <w:color w:val="auto"/>
        </w:rPr>
      </w:pPr>
      <w:r>
        <w:rPr>
          <w:rFonts w:hint="eastAsia"/>
          <w:b/>
          <w:color w:val="auto"/>
        </w:rPr>
        <w:t>2</w:t>
      </w:r>
      <w:r>
        <w:rPr>
          <w:b/>
          <w:color w:val="auto"/>
        </w:rPr>
        <w:t xml:space="preserve">  </w:t>
      </w:r>
      <w:r>
        <w:rPr>
          <w:rFonts w:hint="eastAsia"/>
          <w:color w:val="auto"/>
        </w:rPr>
        <w:t>应针对项目统一制定建筑信息模型的建模标准，并应编写《建筑信息模型建模标准》，确定各阶段建模内容、深度；</w:t>
      </w:r>
    </w:p>
    <w:p w14:paraId="682CD44E">
      <w:pPr>
        <w:pStyle w:val="3"/>
        <w:rPr>
          <w:color w:val="auto"/>
        </w:rPr>
      </w:pPr>
      <w:bookmarkStart w:id="495" w:name="_Toc751"/>
      <w:bookmarkStart w:id="496" w:name="_Toc5290"/>
      <w:bookmarkStart w:id="497" w:name="_Toc27602"/>
      <w:bookmarkStart w:id="498" w:name="_Toc22810"/>
      <w:bookmarkStart w:id="499" w:name="_Toc202535512"/>
      <w:bookmarkStart w:id="500" w:name="_Toc25152"/>
      <w:bookmarkStart w:id="501" w:name="_Toc4257"/>
      <w:r>
        <w:rPr>
          <w:b/>
          <w:bCs w:val="0"/>
          <w:color w:val="auto"/>
        </w:rPr>
        <w:t>12</w:t>
      </w:r>
      <w:r>
        <w:rPr>
          <w:rFonts w:hint="eastAsia"/>
          <w:b/>
          <w:bCs w:val="0"/>
          <w:color w:val="auto"/>
        </w:rPr>
        <w:t>.3</w:t>
      </w:r>
      <w:r>
        <w:rPr>
          <w:rFonts w:hint="eastAsia"/>
          <w:color w:val="auto"/>
        </w:rPr>
        <w:t xml:space="preserve">  智能生产</w:t>
      </w:r>
      <w:bookmarkEnd w:id="495"/>
      <w:bookmarkEnd w:id="496"/>
      <w:bookmarkEnd w:id="497"/>
      <w:bookmarkEnd w:id="498"/>
      <w:bookmarkEnd w:id="499"/>
      <w:bookmarkEnd w:id="500"/>
      <w:bookmarkEnd w:id="501"/>
    </w:p>
    <w:p w14:paraId="6575B93A">
      <w:pPr>
        <w:tabs>
          <w:tab w:val="left" w:pos="0"/>
        </w:tabs>
        <w:spacing w:line="312" w:lineRule="auto"/>
        <w:rPr>
          <w:color w:val="auto"/>
        </w:rPr>
      </w:pPr>
      <w:r>
        <w:rPr>
          <w:b/>
          <w:bCs/>
          <w:color w:val="auto"/>
          <w:szCs w:val="21"/>
        </w:rPr>
        <w:t xml:space="preserve">12. </w:t>
      </w:r>
      <w:r>
        <w:rPr>
          <w:rFonts w:hint="eastAsia"/>
          <w:b/>
          <w:bCs/>
          <w:color w:val="auto"/>
          <w:szCs w:val="21"/>
        </w:rPr>
        <w:t>3</w:t>
      </w:r>
      <w:r>
        <w:rPr>
          <w:b/>
          <w:bCs/>
          <w:color w:val="auto"/>
          <w:szCs w:val="21"/>
        </w:rPr>
        <w:t xml:space="preserve">. </w:t>
      </w:r>
      <w:r>
        <w:rPr>
          <w:rFonts w:hint="eastAsia"/>
          <w:b/>
          <w:bCs/>
          <w:color w:val="auto"/>
          <w:szCs w:val="21"/>
        </w:rPr>
        <w:t>1</w:t>
      </w:r>
      <w:r>
        <w:rPr>
          <w:b/>
          <w:bCs/>
          <w:color w:val="auto"/>
          <w:szCs w:val="21"/>
        </w:rPr>
        <w:t xml:space="preserve"> </w:t>
      </w:r>
      <w:r>
        <w:rPr>
          <w:rFonts w:hint="eastAsia"/>
          <w:b/>
          <w:bCs/>
          <w:color w:val="auto"/>
          <w:szCs w:val="21"/>
        </w:rPr>
        <w:t xml:space="preserve"> </w:t>
      </w:r>
      <w:r>
        <w:rPr>
          <w:rFonts w:hint="eastAsia"/>
          <w:color w:val="auto"/>
        </w:rPr>
        <w:t>智能生产线的运行应具备自动化、数字化、网络化、系统化、集成化和可视化等技术特征。</w:t>
      </w:r>
    </w:p>
    <w:p w14:paraId="5DA65E58">
      <w:pPr>
        <w:tabs>
          <w:tab w:val="left" w:pos="0"/>
        </w:tabs>
        <w:spacing w:line="312" w:lineRule="auto"/>
        <w:rPr>
          <w:color w:val="auto"/>
        </w:rPr>
      </w:pPr>
      <w:r>
        <w:rPr>
          <w:b/>
          <w:bCs/>
          <w:color w:val="auto"/>
          <w:szCs w:val="21"/>
        </w:rPr>
        <w:t xml:space="preserve">12. </w:t>
      </w:r>
      <w:r>
        <w:rPr>
          <w:rFonts w:hint="eastAsia"/>
          <w:b/>
          <w:bCs/>
          <w:color w:val="auto"/>
          <w:szCs w:val="21"/>
        </w:rPr>
        <w:t>3</w:t>
      </w:r>
      <w:r>
        <w:rPr>
          <w:b/>
          <w:bCs/>
          <w:color w:val="auto"/>
          <w:szCs w:val="21"/>
        </w:rPr>
        <w:t xml:space="preserve">. </w:t>
      </w:r>
      <w:r>
        <w:rPr>
          <w:rFonts w:hint="eastAsia"/>
          <w:b/>
          <w:bCs/>
          <w:color w:val="auto"/>
          <w:szCs w:val="21"/>
        </w:rPr>
        <w:t xml:space="preserve">2 </w:t>
      </w:r>
      <w:r>
        <w:rPr>
          <w:b/>
          <w:bCs/>
          <w:color w:val="auto"/>
          <w:szCs w:val="21"/>
        </w:rPr>
        <w:t xml:space="preserve"> </w:t>
      </w:r>
      <w:r>
        <w:rPr>
          <w:rFonts w:hint="eastAsia"/>
          <w:color w:val="auto"/>
        </w:rPr>
        <w:t>应采用信息化技术进行生产计划管理、隐蔽验收、成品检查、入库管理、发货管理。</w:t>
      </w:r>
    </w:p>
    <w:p w14:paraId="6F6CC63C">
      <w:pPr>
        <w:tabs>
          <w:tab w:val="left" w:pos="0"/>
        </w:tabs>
        <w:spacing w:line="312" w:lineRule="auto"/>
        <w:rPr>
          <w:color w:val="auto"/>
        </w:rPr>
      </w:pPr>
      <w:r>
        <w:rPr>
          <w:b/>
          <w:bCs/>
          <w:color w:val="auto"/>
          <w:szCs w:val="21"/>
        </w:rPr>
        <w:t xml:space="preserve">12. </w:t>
      </w:r>
      <w:r>
        <w:rPr>
          <w:rFonts w:hint="eastAsia"/>
          <w:b/>
          <w:bCs/>
          <w:color w:val="auto"/>
          <w:szCs w:val="21"/>
        </w:rPr>
        <w:t>3</w:t>
      </w:r>
      <w:r>
        <w:rPr>
          <w:b/>
          <w:bCs/>
          <w:color w:val="auto"/>
          <w:szCs w:val="21"/>
        </w:rPr>
        <w:t xml:space="preserve">. </w:t>
      </w:r>
      <w:r>
        <w:rPr>
          <w:rFonts w:hint="eastAsia"/>
          <w:b/>
          <w:bCs/>
          <w:color w:val="auto"/>
          <w:szCs w:val="21"/>
        </w:rPr>
        <w:t>3</w:t>
      </w:r>
      <w:r>
        <w:rPr>
          <w:b/>
          <w:bCs/>
          <w:color w:val="auto"/>
          <w:szCs w:val="21"/>
        </w:rPr>
        <w:t xml:space="preserve"> </w:t>
      </w:r>
      <w:r>
        <w:rPr>
          <w:rFonts w:hint="eastAsia"/>
          <w:b/>
          <w:bCs/>
          <w:color w:val="auto"/>
          <w:szCs w:val="21"/>
        </w:rPr>
        <w:t xml:space="preserve"> </w:t>
      </w:r>
      <w:r>
        <w:rPr>
          <w:rFonts w:hint="eastAsia"/>
          <w:color w:val="auto"/>
          <w:szCs w:val="21"/>
        </w:rPr>
        <w:t>应</w:t>
      </w:r>
      <w:r>
        <w:rPr>
          <w:rFonts w:hint="eastAsia"/>
          <w:color w:val="auto"/>
        </w:rPr>
        <w:t>通过条形码、二维码、无线射频等标识技术对部品部件进行分类编码，使部品部件具有可流通、可共享、可附加的数字身份，实现部品部件生产加工、入库、储存、调拨、出库、运输、进场验收等全过程的数字化管理。</w:t>
      </w:r>
    </w:p>
    <w:p w14:paraId="50B6858A">
      <w:pPr>
        <w:tabs>
          <w:tab w:val="left" w:pos="0"/>
        </w:tabs>
        <w:spacing w:line="312" w:lineRule="auto"/>
        <w:rPr>
          <w:color w:val="auto"/>
        </w:rPr>
      </w:pPr>
      <w:r>
        <w:rPr>
          <w:b/>
          <w:bCs/>
          <w:color w:val="auto"/>
          <w:szCs w:val="21"/>
        </w:rPr>
        <w:t xml:space="preserve">12. </w:t>
      </w:r>
      <w:r>
        <w:rPr>
          <w:rFonts w:hint="eastAsia"/>
          <w:b/>
          <w:bCs/>
          <w:color w:val="auto"/>
          <w:szCs w:val="21"/>
        </w:rPr>
        <w:t>3</w:t>
      </w:r>
      <w:r>
        <w:rPr>
          <w:b/>
          <w:bCs/>
          <w:color w:val="auto"/>
          <w:szCs w:val="21"/>
        </w:rPr>
        <w:t xml:space="preserve">. </w:t>
      </w:r>
      <w:r>
        <w:rPr>
          <w:rFonts w:hint="eastAsia"/>
          <w:b/>
          <w:bCs/>
          <w:color w:val="auto"/>
          <w:szCs w:val="21"/>
        </w:rPr>
        <w:t>4</w:t>
      </w:r>
      <w:r>
        <w:rPr>
          <w:b/>
          <w:bCs/>
          <w:color w:val="auto"/>
          <w:szCs w:val="21"/>
        </w:rPr>
        <w:t xml:space="preserve"> </w:t>
      </w:r>
      <w:r>
        <w:rPr>
          <w:rFonts w:hint="eastAsia"/>
          <w:b/>
          <w:bCs/>
          <w:color w:val="auto"/>
          <w:szCs w:val="21"/>
        </w:rPr>
        <w:t xml:space="preserve"> </w:t>
      </w:r>
      <w:r>
        <w:rPr>
          <w:rFonts w:hint="eastAsia"/>
          <w:color w:val="auto"/>
        </w:rPr>
        <w:t>模块单元的运输宜采用智能交通系统进行物流运输管理，并宜实现可视化定位。</w:t>
      </w:r>
    </w:p>
    <w:p w14:paraId="20C3988B">
      <w:pPr>
        <w:pStyle w:val="3"/>
        <w:rPr>
          <w:color w:val="auto"/>
        </w:rPr>
      </w:pPr>
      <w:bookmarkStart w:id="502" w:name="_Toc202535513"/>
      <w:bookmarkStart w:id="503" w:name="_Toc28269"/>
      <w:bookmarkStart w:id="504" w:name="_Toc22555"/>
      <w:bookmarkStart w:id="505" w:name="_Toc2529"/>
      <w:bookmarkStart w:id="506" w:name="_Toc22945"/>
      <w:bookmarkStart w:id="507" w:name="_Toc28067"/>
      <w:bookmarkStart w:id="508" w:name="_Toc8500"/>
      <w:r>
        <w:rPr>
          <w:b/>
          <w:bCs w:val="0"/>
          <w:color w:val="auto"/>
        </w:rPr>
        <w:t>12</w:t>
      </w:r>
      <w:r>
        <w:rPr>
          <w:rFonts w:hint="eastAsia"/>
          <w:b/>
          <w:bCs w:val="0"/>
          <w:color w:val="auto"/>
        </w:rPr>
        <w:t>.4</w:t>
      </w:r>
      <w:r>
        <w:rPr>
          <w:rFonts w:hint="eastAsia"/>
          <w:color w:val="auto"/>
        </w:rPr>
        <w:t xml:space="preserve">  智能施工</w:t>
      </w:r>
      <w:bookmarkEnd w:id="502"/>
      <w:bookmarkEnd w:id="503"/>
      <w:bookmarkEnd w:id="504"/>
      <w:bookmarkEnd w:id="505"/>
      <w:bookmarkEnd w:id="506"/>
      <w:bookmarkEnd w:id="507"/>
      <w:bookmarkEnd w:id="508"/>
    </w:p>
    <w:p w14:paraId="753AEF66">
      <w:pPr>
        <w:tabs>
          <w:tab w:val="left" w:pos="0"/>
        </w:tabs>
        <w:spacing w:line="312" w:lineRule="auto"/>
        <w:rPr>
          <w:color w:val="auto"/>
        </w:rPr>
      </w:pPr>
      <w:r>
        <w:rPr>
          <w:b/>
          <w:bCs/>
          <w:color w:val="auto"/>
          <w:szCs w:val="21"/>
        </w:rPr>
        <w:t xml:space="preserve">12. </w:t>
      </w:r>
      <w:r>
        <w:rPr>
          <w:rFonts w:hint="eastAsia"/>
          <w:b/>
          <w:bCs/>
          <w:color w:val="auto"/>
          <w:szCs w:val="21"/>
        </w:rPr>
        <w:t>4</w:t>
      </w:r>
      <w:r>
        <w:rPr>
          <w:b/>
          <w:bCs/>
          <w:color w:val="auto"/>
          <w:szCs w:val="21"/>
        </w:rPr>
        <w:t xml:space="preserve">. </w:t>
      </w:r>
      <w:r>
        <w:rPr>
          <w:rFonts w:hint="eastAsia"/>
          <w:b/>
          <w:bCs/>
          <w:color w:val="auto"/>
          <w:szCs w:val="21"/>
        </w:rPr>
        <w:t>1</w:t>
      </w:r>
      <w:r>
        <w:rPr>
          <w:b/>
          <w:bCs/>
          <w:color w:val="auto"/>
          <w:szCs w:val="21"/>
        </w:rPr>
        <w:t xml:space="preserve"> </w:t>
      </w:r>
      <w:r>
        <w:rPr>
          <w:rFonts w:hint="eastAsia"/>
          <w:b/>
          <w:bCs/>
          <w:color w:val="auto"/>
          <w:szCs w:val="21"/>
        </w:rPr>
        <w:t xml:space="preserve"> </w:t>
      </w:r>
      <w:r>
        <w:rPr>
          <w:rFonts w:hint="eastAsia"/>
          <w:color w:val="auto"/>
        </w:rPr>
        <w:t>模块化建筑宜运用BIM、大数据、云计算、物联网、移动通讯、AI、区块链等新技术，开展施工模拟分析、施工组织设计等工作，加强施工过程管理，提高施工数字化和智能化水平。</w:t>
      </w:r>
    </w:p>
    <w:p w14:paraId="34ED84D7">
      <w:pPr>
        <w:tabs>
          <w:tab w:val="left" w:pos="0"/>
        </w:tabs>
        <w:spacing w:line="312" w:lineRule="auto"/>
        <w:rPr>
          <w:color w:val="auto"/>
        </w:rPr>
      </w:pPr>
      <w:r>
        <w:rPr>
          <w:b/>
          <w:bCs/>
          <w:color w:val="auto"/>
          <w:szCs w:val="21"/>
        </w:rPr>
        <w:t xml:space="preserve">12. </w:t>
      </w:r>
      <w:r>
        <w:rPr>
          <w:rFonts w:hint="eastAsia"/>
          <w:b/>
          <w:bCs/>
          <w:color w:val="auto"/>
          <w:szCs w:val="21"/>
        </w:rPr>
        <w:t>4</w:t>
      </w:r>
      <w:r>
        <w:rPr>
          <w:b/>
          <w:bCs/>
          <w:color w:val="auto"/>
          <w:szCs w:val="21"/>
        </w:rPr>
        <w:t xml:space="preserve">. </w:t>
      </w:r>
      <w:r>
        <w:rPr>
          <w:rFonts w:hint="eastAsia"/>
          <w:b/>
          <w:bCs/>
          <w:color w:val="auto"/>
          <w:szCs w:val="21"/>
        </w:rPr>
        <w:t>2</w:t>
      </w:r>
      <w:r>
        <w:rPr>
          <w:b/>
          <w:bCs/>
          <w:color w:val="auto"/>
          <w:szCs w:val="21"/>
        </w:rPr>
        <w:t xml:space="preserve"> </w:t>
      </w:r>
      <w:r>
        <w:rPr>
          <w:rFonts w:hint="eastAsia"/>
          <w:b/>
          <w:bCs/>
          <w:color w:val="auto"/>
          <w:szCs w:val="21"/>
        </w:rPr>
        <w:t xml:space="preserve"> </w:t>
      </w:r>
      <w:r>
        <w:rPr>
          <w:rFonts w:hint="eastAsia"/>
          <w:bCs/>
          <w:color w:val="auto"/>
        </w:rPr>
        <w:t>模块化建筑</w:t>
      </w:r>
      <w:r>
        <w:rPr>
          <w:rFonts w:hint="eastAsia"/>
          <w:color w:val="auto"/>
        </w:rPr>
        <w:t>的施工宜采用信息化技术进行施工进度管理。</w:t>
      </w:r>
    </w:p>
    <w:p w14:paraId="2A4528AB">
      <w:pPr>
        <w:tabs>
          <w:tab w:val="left" w:pos="0"/>
        </w:tabs>
        <w:spacing w:line="312" w:lineRule="auto"/>
        <w:rPr>
          <w:color w:val="auto"/>
        </w:rPr>
      </w:pPr>
      <w:r>
        <w:rPr>
          <w:b/>
          <w:bCs/>
          <w:color w:val="auto"/>
          <w:szCs w:val="21"/>
        </w:rPr>
        <w:t xml:space="preserve">12. </w:t>
      </w:r>
      <w:r>
        <w:rPr>
          <w:rFonts w:hint="eastAsia"/>
          <w:b/>
          <w:bCs/>
          <w:color w:val="auto"/>
          <w:szCs w:val="21"/>
        </w:rPr>
        <w:t>4.</w:t>
      </w:r>
      <w:r>
        <w:rPr>
          <w:b/>
          <w:bCs/>
          <w:color w:val="auto"/>
          <w:szCs w:val="21"/>
        </w:rPr>
        <w:t xml:space="preserve"> </w:t>
      </w:r>
      <w:r>
        <w:rPr>
          <w:rFonts w:hint="eastAsia"/>
          <w:b/>
          <w:bCs/>
          <w:color w:val="auto"/>
          <w:szCs w:val="21"/>
        </w:rPr>
        <w:t>3</w:t>
      </w:r>
      <w:r>
        <w:rPr>
          <w:b/>
          <w:bCs/>
          <w:color w:val="auto"/>
          <w:szCs w:val="21"/>
        </w:rPr>
        <w:t xml:space="preserve"> </w:t>
      </w:r>
      <w:r>
        <w:rPr>
          <w:rFonts w:hint="eastAsia"/>
          <w:b/>
          <w:bCs/>
          <w:color w:val="auto"/>
          <w:szCs w:val="21"/>
        </w:rPr>
        <w:t xml:space="preserve"> </w:t>
      </w:r>
      <w:r>
        <w:rPr>
          <w:rFonts w:hint="eastAsia"/>
          <w:color w:val="auto"/>
        </w:rPr>
        <w:t>模块化建筑的施工宜采用BIM软件进行数字化交付。</w:t>
      </w:r>
    </w:p>
    <w:p w14:paraId="60A610A0">
      <w:pPr>
        <w:pStyle w:val="33"/>
        <w:ind w:firstLineChars="0"/>
        <w:rPr>
          <w:rFonts w:ascii="楷体" w:hAnsi="楷体" w:cs="楷体"/>
          <w:color w:val="auto"/>
          <w:szCs w:val="21"/>
        </w:rPr>
      </w:pPr>
      <w:r>
        <w:rPr>
          <w:rFonts w:hint="eastAsia" w:ascii="楷体" w:hAnsi="楷体" w:cs="楷体"/>
          <w:color w:val="auto"/>
          <w:szCs w:val="21"/>
        </w:rPr>
        <w:t>【条文说明】数字化交付包括模型单元分类、几何信息、属性信息、属性值及信息来源等，模型的数据格式、模型架构及精细度应满足建设单位的归档及运维要求，确保模型数据安全可控。</w:t>
      </w:r>
    </w:p>
    <w:p w14:paraId="7EC5DBE1">
      <w:pPr>
        <w:tabs>
          <w:tab w:val="left" w:pos="0"/>
        </w:tabs>
        <w:spacing w:line="312" w:lineRule="auto"/>
        <w:rPr>
          <w:color w:val="auto"/>
        </w:rPr>
      </w:pPr>
      <w:r>
        <w:rPr>
          <w:b/>
          <w:bCs/>
          <w:color w:val="auto"/>
          <w:szCs w:val="21"/>
        </w:rPr>
        <w:t xml:space="preserve">12. </w:t>
      </w:r>
      <w:r>
        <w:rPr>
          <w:rFonts w:hint="eastAsia"/>
          <w:b/>
          <w:bCs/>
          <w:color w:val="auto"/>
          <w:szCs w:val="21"/>
        </w:rPr>
        <w:t>4</w:t>
      </w:r>
      <w:r>
        <w:rPr>
          <w:b/>
          <w:bCs/>
          <w:color w:val="auto"/>
          <w:szCs w:val="21"/>
        </w:rPr>
        <w:t xml:space="preserve">. </w:t>
      </w:r>
      <w:r>
        <w:rPr>
          <w:rFonts w:hint="eastAsia"/>
          <w:b/>
          <w:bCs/>
          <w:color w:val="auto"/>
          <w:szCs w:val="21"/>
        </w:rPr>
        <w:t>4</w:t>
      </w:r>
      <w:r>
        <w:rPr>
          <w:b/>
          <w:bCs/>
          <w:color w:val="auto"/>
          <w:szCs w:val="21"/>
        </w:rPr>
        <w:t xml:space="preserve"> </w:t>
      </w:r>
      <w:r>
        <w:rPr>
          <w:rFonts w:hint="eastAsia"/>
          <w:b/>
          <w:bCs/>
          <w:color w:val="auto"/>
          <w:szCs w:val="21"/>
        </w:rPr>
        <w:t xml:space="preserve"> </w:t>
      </w:r>
      <w:r>
        <w:rPr>
          <w:rFonts w:hint="eastAsia"/>
          <w:color w:val="auto"/>
        </w:rPr>
        <w:t>模块化建筑的施工宜采用人工智能技术进行安全行为识别。</w:t>
      </w:r>
    </w:p>
    <w:p w14:paraId="6284C1E3">
      <w:pPr>
        <w:tabs>
          <w:tab w:val="left" w:pos="0"/>
        </w:tabs>
        <w:spacing w:line="312" w:lineRule="auto"/>
        <w:rPr>
          <w:color w:val="auto"/>
        </w:rPr>
      </w:pPr>
      <w:r>
        <w:rPr>
          <w:b/>
          <w:bCs/>
          <w:color w:val="auto"/>
          <w:szCs w:val="21"/>
        </w:rPr>
        <w:t xml:space="preserve">12. </w:t>
      </w:r>
      <w:r>
        <w:rPr>
          <w:rFonts w:hint="eastAsia"/>
          <w:b/>
          <w:bCs/>
          <w:color w:val="auto"/>
          <w:szCs w:val="21"/>
        </w:rPr>
        <w:t>4</w:t>
      </w:r>
      <w:r>
        <w:rPr>
          <w:b/>
          <w:bCs/>
          <w:color w:val="auto"/>
          <w:szCs w:val="21"/>
        </w:rPr>
        <w:t xml:space="preserve">. </w:t>
      </w:r>
      <w:r>
        <w:rPr>
          <w:rFonts w:hint="eastAsia"/>
          <w:b/>
          <w:bCs/>
          <w:color w:val="auto"/>
          <w:szCs w:val="21"/>
        </w:rPr>
        <w:t>5</w:t>
      </w:r>
      <w:r>
        <w:rPr>
          <w:b/>
          <w:bCs/>
          <w:color w:val="auto"/>
          <w:szCs w:val="21"/>
        </w:rPr>
        <w:t xml:space="preserve"> </w:t>
      </w:r>
      <w:r>
        <w:rPr>
          <w:rFonts w:hint="eastAsia"/>
          <w:b/>
          <w:bCs/>
          <w:color w:val="auto"/>
          <w:szCs w:val="21"/>
        </w:rPr>
        <w:t xml:space="preserve"> </w:t>
      </w:r>
      <w:r>
        <w:rPr>
          <w:rFonts w:hint="eastAsia"/>
          <w:color w:val="auto"/>
        </w:rPr>
        <w:t>模块化建筑宜采用实测实量机器人、智能回弹仪等智能检测工具对主体结构工程进行质量检测，实现自动化数据收集、分析、预警、流转、归档。</w:t>
      </w:r>
    </w:p>
    <w:p w14:paraId="601AA4D7">
      <w:pPr>
        <w:pStyle w:val="3"/>
        <w:rPr>
          <w:color w:val="auto"/>
        </w:rPr>
      </w:pPr>
      <w:bookmarkStart w:id="509" w:name="_Toc202535514"/>
      <w:bookmarkStart w:id="510" w:name="_Toc27301"/>
      <w:bookmarkStart w:id="511" w:name="_Toc4925"/>
      <w:bookmarkStart w:id="512" w:name="_Toc12242"/>
      <w:bookmarkStart w:id="513" w:name="_Toc31572"/>
      <w:bookmarkStart w:id="514" w:name="_Toc10488"/>
      <w:bookmarkStart w:id="515" w:name="_Toc14966"/>
      <w:r>
        <w:rPr>
          <w:b/>
          <w:bCs w:val="0"/>
          <w:color w:val="auto"/>
        </w:rPr>
        <w:t>12</w:t>
      </w:r>
      <w:r>
        <w:rPr>
          <w:rFonts w:hint="eastAsia"/>
          <w:b/>
          <w:bCs w:val="0"/>
          <w:color w:val="auto"/>
        </w:rPr>
        <w:t>.5</w:t>
      </w:r>
      <w:r>
        <w:rPr>
          <w:rFonts w:hint="eastAsia"/>
          <w:color w:val="auto"/>
        </w:rPr>
        <w:t xml:space="preserve">  智慧运维</w:t>
      </w:r>
      <w:bookmarkEnd w:id="509"/>
      <w:bookmarkEnd w:id="510"/>
      <w:bookmarkEnd w:id="511"/>
      <w:bookmarkEnd w:id="512"/>
      <w:bookmarkEnd w:id="513"/>
      <w:bookmarkEnd w:id="514"/>
      <w:bookmarkEnd w:id="515"/>
    </w:p>
    <w:p w14:paraId="5AE23A71">
      <w:pPr>
        <w:tabs>
          <w:tab w:val="left" w:pos="0"/>
        </w:tabs>
        <w:spacing w:line="312" w:lineRule="auto"/>
        <w:rPr>
          <w:color w:val="auto"/>
        </w:rPr>
      </w:pPr>
      <w:r>
        <w:rPr>
          <w:b/>
          <w:bCs/>
          <w:color w:val="auto"/>
          <w:szCs w:val="21"/>
        </w:rPr>
        <w:t xml:space="preserve">12. </w:t>
      </w:r>
      <w:r>
        <w:rPr>
          <w:rFonts w:hint="eastAsia"/>
          <w:b/>
          <w:bCs/>
          <w:color w:val="auto"/>
          <w:szCs w:val="21"/>
        </w:rPr>
        <w:t>5</w:t>
      </w:r>
      <w:r>
        <w:rPr>
          <w:b/>
          <w:bCs/>
          <w:color w:val="auto"/>
          <w:szCs w:val="21"/>
        </w:rPr>
        <w:t xml:space="preserve">. 1 </w:t>
      </w:r>
      <w:r>
        <w:rPr>
          <w:rFonts w:hint="eastAsia"/>
          <w:b/>
          <w:bCs/>
          <w:color w:val="auto"/>
          <w:szCs w:val="21"/>
        </w:rPr>
        <w:t xml:space="preserve"> </w:t>
      </w:r>
      <w:r>
        <w:rPr>
          <w:rFonts w:hint="eastAsia"/>
          <w:color w:val="auto"/>
          <w:szCs w:val="21"/>
        </w:rPr>
        <w:t>模块化建筑应通过数字化平台、基于标准数据格式，实现产业链各阶段数据、资料、模型的完整交付。</w:t>
      </w:r>
    </w:p>
    <w:p w14:paraId="189C1274">
      <w:pPr>
        <w:tabs>
          <w:tab w:val="left" w:pos="0"/>
        </w:tabs>
        <w:spacing w:line="312" w:lineRule="auto"/>
        <w:rPr>
          <w:color w:val="auto"/>
          <w:szCs w:val="21"/>
        </w:rPr>
      </w:pPr>
      <w:r>
        <w:rPr>
          <w:b/>
          <w:bCs/>
          <w:color w:val="auto"/>
          <w:szCs w:val="21"/>
        </w:rPr>
        <w:t xml:space="preserve">12. </w:t>
      </w:r>
      <w:r>
        <w:rPr>
          <w:rFonts w:hint="eastAsia"/>
          <w:b/>
          <w:bCs/>
          <w:color w:val="auto"/>
          <w:szCs w:val="21"/>
        </w:rPr>
        <w:t>5</w:t>
      </w:r>
      <w:r>
        <w:rPr>
          <w:b/>
          <w:bCs/>
          <w:color w:val="auto"/>
          <w:szCs w:val="21"/>
        </w:rPr>
        <w:t xml:space="preserve">. </w:t>
      </w:r>
      <w:r>
        <w:rPr>
          <w:rFonts w:hint="eastAsia"/>
          <w:b/>
          <w:bCs/>
          <w:color w:val="auto"/>
          <w:szCs w:val="21"/>
        </w:rPr>
        <w:t>2</w:t>
      </w:r>
      <w:r>
        <w:rPr>
          <w:b/>
          <w:bCs/>
          <w:color w:val="auto"/>
          <w:szCs w:val="21"/>
        </w:rPr>
        <w:t xml:space="preserve"> </w:t>
      </w:r>
      <w:r>
        <w:rPr>
          <w:rFonts w:hint="eastAsia"/>
          <w:b/>
          <w:bCs/>
          <w:color w:val="auto"/>
          <w:szCs w:val="21"/>
        </w:rPr>
        <w:t xml:space="preserve"> </w:t>
      </w:r>
      <w:r>
        <w:rPr>
          <w:rFonts w:hint="eastAsia"/>
          <w:color w:val="auto"/>
          <w:szCs w:val="21"/>
        </w:rPr>
        <w:t>模块化建筑宜建立智慧运维平台。</w:t>
      </w:r>
    </w:p>
    <w:p w14:paraId="0A170906">
      <w:pPr>
        <w:pStyle w:val="33"/>
        <w:ind w:firstLineChars="0"/>
        <w:rPr>
          <w:rFonts w:ascii="楷体" w:hAnsi="楷体" w:cs="楷体"/>
          <w:color w:val="auto"/>
          <w:szCs w:val="21"/>
        </w:rPr>
      </w:pPr>
      <w:r>
        <w:rPr>
          <w:rFonts w:hint="eastAsia" w:ascii="楷体" w:hAnsi="楷体" w:cs="楷体"/>
          <w:color w:val="auto"/>
          <w:szCs w:val="21"/>
        </w:rPr>
        <w:t>【条文说明】智慧运维平台可自动采集项目人员、设备、能耗等关键要素数据，提供人员管理、设备监控、能耗监测等管理能力，用于建筑结构健康监测、建筑功能运行维护、安全风险应急管理等，实现数据承载、风险感知、辅助决策和末端设备的自动控制。</w:t>
      </w:r>
    </w:p>
    <w:p w14:paraId="78866A47">
      <w:pPr>
        <w:spacing w:line="312" w:lineRule="auto"/>
        <w:rPr>
          <w:color w:val="auto"/>
        </w:rPr>
      </w:pPr>
      <w:r>
        <w:rPr>
          <w:b/>
          <w:bCs/>
          <w:color w:val="auto"/>
          <w:szCs w:val="21"/>
        </w:rPr>
        <w:t xml:space="preserve">12. </w:t>
      </w:r>
      <w:r>
        <w:rPr>
          <w:rFonts w:hint="eastAsia"/>
          <w:b/>
          <w:bCs/>
          <w:color w:val="auto"/>
          <w:szCs w:val="21"/>
        </w:rPr>
        <w:t>5</w:t>
      </w:r>
      <w:r>
        <w:rPr>
          <w:b/>
          <w:bCs/>
          <w:color w:val="auto"/>
          <w:szCs w:val="21"/>
        </w:rPr>
        <w:t xml:space="preserve">. </w:t>
      </w:r>
      <w:r>
        <w:rPr>
          <w:rFonts w:hint="eastAsia"/>
          <w:b/>
          <w:bCs/>
          <w:color w:val="auto"/>
          <w:szCs w:val="21"/>
        </w:rPr>
        <w:t>3</w:t>
      </w:r>
      <w:r>
        <w:rPr>
          <w:b/>
          <w:bCs/>
          <w:color w:val="auto"/>
          <w:szCs w:val="21"/>
        </w:rPr>
        <w:t xml:space="preserve"> </w:t>
      </w:r>
      <w:r>
        <w:rPr>
          <w:rFonts w:hint="eastAsia"/>
          <w:b/>
          <w:bCs/>
          <w:color w:val="auto"/>
          <w:szCs w:val="21"/>
        </w:rPr>
        <w:t xml:space="preserve"> </w:t>
      </w:r>
      <w:r>
        <w:rPr>
          <w:rFonts w:hint="eastAsia"/>
          <w:color w:val="auto"/>
          <w:szCs w:val="21"/>
        </w:rPr>
        <w:t>模块化建筑</w:t>
      </w:r>
      <w:r>
        <w:rPr>
          <w:rFonts w:hint="eastAsia"/>
          <w:color w:val="auto"/>
        </w:rPr>
        <w:t>宜利用三维图形引擎等技术，实现系统和设备的可视化效果展示等基本功能，支持用户、工程师、运维管理人员等通过终端进行远程访问和查看。</w:t>
      </w:r>
    </w:p>
    <w:p w14:paraId="2BB3DB6B">
      <w:pPr>
        <w:tabs>
          <w:tab w:val="left" w:pos="0"/>
        </w:tabs>
        <w:spacing w:line="312" w:lineRule="auto"/>
        <w:rPr>
          <w:color w:val="auto"/>
        </w:rPr>
      </w:pPr>
      <w:r>
        <w:rPr>
          <w:rFonts w:hint="eastAsia"/>
          <w:b/>
          <w:bCs/>
          <w:color w:val="auto"/>
        </w:rPr>
        <w:t>12. 5. 4</w:t>
      </w:r>
      <w:r>
        <w:rPr>
          <w:rFonts w:hint="eastAsia"/>
          <w:color w:val="auto"/>
        </w:rPr>
        <w:t xml:space="preserve">  当模块化框架结构体系满足可拆卸条件时，宜根据模块单元主体结构与其他构件的关系制定专项拆除方案。</w:t>
      </w:r>
    </w:p>
    <w:p w14:paraId="7EFF9867">
      <w:pPr>
        <w:pStyle w:val="33"/>
        <w:ind w:firstLine="441"/>
        <w:rPr>
          <w:color w:val="auto"/>
        </w:rPr>
      </w:pPr>
      <w:r>
        <w:rPr>
          <w:rFonts w:hint="eastAsia" w:ascii="楷体" w:hAnsi="楷体" w:cs="楷体"/>
          <w:color w:val="auto"/>
          <w:szCs w:val="21"/>
        </w:rPr>
        <w:t>【条文说明】</w:t>
      </w:r>
      <w:r>
        <w:rPr>
          <w:rFonts w:hint="eastAsia"/>
          <w:color w:val="auto"/>
        </w:rPr>
        <w:t>对模块化框架结构房屋的模块单元进行拆除时，可通过制定专项拆除方案，防止模块和其他构件在拆除过程中的损坏，从而实现对模块及其他构件的回收和再利用。拆除方案宜满足以下要求：</w:t>
      </w:r>
    </w:p>
    <w:p w14:paraId="35C676DF">
      <w:pPr>
        <w:pStyle w:val="33"/>
        <w:ind w:firstLine="441"/>
        <w:rPr>
          <w:color w:val="auto"/>
        </w:rPr>
      </w:pPr>
      <w:r>
        <w:rPr>
          <w:rFonts w:hint="eastAsia"/>
          <w:color w:val="auto"/>
        </w:rPr>
        <w:t>（1）拆除作业开始前应进行现场踏勘，确认现场场地及周边道路交通情况、地上地下管线情况、水电供应情况、模块单元堆放场地情况，确保拆除方案合理、科学、可实施。</w:t>
      </w:r>
    </w:p>
    <w:p w14:paraId="58B10805">
      <w:pPr>
        <w:pStyle w:val="33"/>
        <w:ind w:firstLine="441"/>
        <w:rPr>
          <w:color w:val="auto"/>
        </w:rPr>
      </w:pPr>
      <w:r>
        <w:rPr>
          <w:rFonts w:hint="eastAsia"/>
          <w:color w:val="auto"/>
        </w:rPr>
        <w:t>（2）施工机械、设备、工具和材料进场应依据施工组织方案进行，按照指定地点存放。</w:t>
      </w:r>
    </w:p>
    <w:p w14:paraId="6FC43905">
      <w:pPr>
        <w:pStyle w:val="33"/>
        <w:ind w:firstLine="441"/>
        <w:rPr>
          <w:color w:val="auto"/>
        </w:rPr>
      </w:pPr>
      <w:r>
        <w:rPr>
          <w:rFonts w:hint="eastAsia"/>
          <w:color w:val="auto"/>
        </w:rPr>
        <w:t>（3）应对现场运输道路两侧影响模块单元拆除及运输的树木、路灯等进行清理与排查。运输道路上井盖及现场管沟上方应覆盖钢板，满足车辆通行。</w:t>
      </w:r>
    </w:p>
    <w:p w14:paraId="508F4F43">
      <w:pPr>
        <w:pStyle w:val="33"/>
        <w:ind w:firstLine="441"/>
        <w:rPr>
          <w:color w:val="auto"/>
        </w:rPr>
      </w:pPr>
      <w:r>
        <w:rPr>
          <w:rFonts w:hint="eastAsia"/>
          <w:color w:val="auto"/>
        </w:rPr>
        <w:t>（4）拆除作业前应进行断水、断电和断燃气等工作。当遇到大雨、大雪、大雾或六级及以上风力等影响施工安全的恶劣天气时，不得进行拆除作业。</w:t>
      </w:r>
    </w:p>
    <w:p w14:paraId="49CAA271">
      <w:pPr>
        <w:pStyle w:val="33"/>
        <w:ind w:firstLine="441"/>
        <w:rPr>
          <w:color w:val="auto"/>
        </w:rPr>
      </w:pPr>
      <w:r>
        <w:rPr>
          <w:rFonts w:hint="eastAsia"/>
          <w:color w:val="auto"/>
        </w:rPr>
        <w:t>（5）拆除一般应以模块为基本单元。拆除顺序由顶到底，逐层拆除。</w:t>
      </w:r>
    </w:p>
    <w:p w14:paraId="2F11224C">
      <w:pPr>
        <w:pStyle w:val="33"/>
        <w:ind w:firstLine="441"/>
        <w:rPr>
          <w:color w:val="auto"/>
        </w:rPr>
      </w:pPr>
      <w:r>
        <w:rPr>
          <w:rFonts w:hint="eastAsia"/>
          <w:color w:val="auto"/>
        </w:rPr>
        <w:t>（6）拆除模块单元墙、顶、地拼缝处常规装修时，应按原设计预留拼缝接口，并避免伤及结构层和模块单元内装修。</w:t>
      </w:r>
    </w:p>
    <w:p w14:paraId="550C154D">
      <w:pPr>
        <w:pStyle w:val="33"/>
        <w:ind w:firstLine="441"/>
        <w:rPr>
          <w:color w:val="auto"/>
        </w:rPr>
      </w:pPr>
      <w:r>
        <w:rPr>
          <w:rFonts w:hint="eastAsia"/>
          <w:color w:val="auto"/>
        </w:rPr>
        <w:t>（7）模块单元拆除后应做好编号和标识，存储时应码放整齐并做好成品保护。</w:t>
      </w:r>
    </w:p>
    <w:p w14:paraId="2A5D1991">
      <w:pPr>
        <w:pStyle w:val="33"/>
        <w:ind w:firstLine="441"/>
        <w:rPr>
          <w:color w:val="auto"/>
        </w:rPr>
      </w:pPr>
      <w:r>
        <w:rPr>
          <w:rFonts w:hint="eastAsia"/>
          <w:color w:val="auto"/>
        </w:rPr>
        <w:t>（8）大开口模块单元应按原设计用临时加固件进行加固；门窗和大面积玻璃隔断等不可移动设施应在拆除作业前完成加固防护。</w:t>
      </w:r>
    </w:p>
    <w:p w14:paraId="1C51A854">
      <w:pPr>
        <w:pStyle w:val="33"/>
        <w:ind w:firstLine="441"/>
        <w:rPr>
          <w:color w:val="auto"/>
        </w:rPr>
      </w:pPr>
      <w:r>
        <w:rPr>
          <w:rFonts w:hint="eastAsia"/>
          <w:color w:val="auto"/>
        </w:rPr>
        <w:t>（9）收回的模块单元应及时做好缺失配件记录补充及损坏部件的修补、更换，破损的混凝土结构构件应进行专项评估后再修补入库存储。</w:t>
      </w:r>
    </w:p>
    <w:p w14:paraId="0434151A">
      <w:pPr>
        <w:pStyle w:val="33"/>
        <w:ind w:firstLine="441"/>
        <w:rPr>
          <w:color w:val="auto"/>
        </w:rPr>
      </w:pPr>
      <w:r>
        <w:rPr>
          <w:rFonts w:hint="eastAsia"/>
          <w:color w:val="auto"/>
        </w:rPr>
        <w:t>（10）拆解后的高强螺栓不得再次使用，连接拉杆应进行严格检验和技术评估后方可继续使用。</w:t>
      </w:r>
    </w:p>
    <w:bookmarkEnd w:id="474"/>
    <w:bookmarkEnd w:id="475"/>
    <w:bookmarkEnd w:id="476"/>
    <w:p w14:paraId="0A180FE4">
      <w:pPr>
        <w:rPr>
          <w:color w:val="auto"/>
        </w:rPr>
      </w:pPr>
      <w:bookmarkStart w:id="516" w:name="_Toc31445"/>
      <w:bookmarkStart w:id="517" w:name="_Toc25826"/>
      <w:bookmarkStart w:id="518" w:name="_Toc30422"/>
      <w:bookmarkStart w:id="519" w:name="_Toc16272"/>
      <w:bookmarkStart w:id="520" w:name="_Toc11959"/>
      <w:bookmarkStart w:id="521" w:name="_Toc16547"/>
      <w:bookmarkStart w:id="522" w:name="_Toc19436"/>
      <w:bookmarkStart w:id="523" w:name="_Toc19028"/>
      <w:bookmarkStart w:id="524" w:name="_Toc2974"/>
      <w:bookmarkStart w:id="525" w:name="_Toc1616"/>
      <w:bookmarkStart w:id="526" w:name="_Toc5502"/>
      <w:bookmarkStart w:id="527" w:name="_Toc30162"/>
      <w:bookmarkStart w:id="528" w:name="_Toc28501"/>
      <w:bookmarkStart w:id="529" w:name="_Toc23768"/>
      <w:bookmarkStart w:id="530" w:name="_Toc382"/>
      <w:bookmarkStart w:id="531" w:name="_Toc15130"/>
      <w:bookmarkStart w:id="532" w:name="_Toc16895"/>
      <w:bookmarkStart w:id="533" w:name="_Toc17057"/>
      <w:bookmarkStart w:id="534" w:name="_Toc27005"/>
      <w:bookmarkStart w:id="535" w:name="_Hlk184741094"/>
    </w:p>
    <w:p w14:paraId="37237A97">
      <w:pPr>
        <w:rPr>
          <w:color w:val="auto"/>
        </w:rPr>
        <w:sectPr>
          <w:pgSz w:w="11906" w:h="16838"/>
          <w:pgMar w:top="1610" w:right="1349" w:bottom="1213" w:left="1293" w:header="851" w:footer="992" w:gutter="0"/>
          <w:cols w:space="720" w:num="1"/>
          <w:docGrid w:type="linesAndChars" w:linePitch="333" w:charSpace="2165"/>
        </w:sectPr>
      </w:pPr>
    </w:p>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14:paraId="6A8844E7">
      <w:pPr>
        <w:pStyle w:val="2"/>
        <w:spacing w:beforeLines="100" w:afterLines="100"/>
        <w:rPr>
          <w:color w:val="auto"/>
        </w:rPr>
      </w:pPr>
      <w:bookmarkStart w:id="536" w:name="_Toc3589"/>
      <w:bookmarkStart w:id="537" w:name="_Toc13437"/>
      <w:r>
        <w:rPr>
          <w:color w:val="auto"/>
        </w:rPr>
        <w:t>附录A</w:t>
      </w:r>
      <w:r>
        <w:rPr>
          <w:rFonts w:hint="eastAsia"/>
          <w:color w:val="auto"/>
        </w:rPr>
        <w:t xml:space="preserve">  </w:t>
      </w:r>
      <w:r>
        <w:rPr>
          <w:color w:val="auto"/>
        </w:rPr>
        <w:t>模块单元出厂合格证</w:t>
      </w:r>
      <w:bookmarkEnd w:id="536"/>
      <w:bookmarkEnd w:id="537"/>
    </w:p>
    <w:p w14:paraId="165D23A9">
      <w:pPr>
        <w:jc w:val="center"/>
        <w:rPr>
          <w:rFonts w:eastAsia="黑体"/>
          <w:color w:val="auto"/>
          <w:szCs w:val="21"/>
        </w:rPr>
      </w:pPr>
      <w:r>
        <w:rPr>
          <w:rFonts w:eastAsia="黑体"/>
          <w:color w:val="auto"/>
          <w:spacing w:val="-1"/>
          <w:szCs w:val="21"/>
        </w:rPr>
        <w:t>表A    模块单元出厂合格证（范本）</w:t>
      </w:r>
    </w:p>
    <w:p w14:paraId="41DD8CB1">
      <w:pPr>
        <w:spacing w:line="40" w:lineRule="exact"/>
        <w:rPr>
          <w:color w:val="auto"/>
        </w:rPr>
      </w:pPr>
    </w:p>
    <w:tbl>
      <w:tblPr>
        <w:tblStyle w:val="17"/>
        <w:tblW w:w="14207" w:type="dxa"/>
        <w:jc w:val="center"/>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Layout w:type="fixed"/>
        <w:tblCellMar>
          <w:top w:w="0" w:type="dxa"/>
          <w:left w:w="0" w:type="dxa"/>
          <w:bottom w:w="0" w:type="dxa"/>
          <w:right w:w="0" w:type="dxa"/>
        </w:tblCellMar>
      </w:tblPr>
      <w:tblGrid>
        <w:gridCol w:w="3209"/>
        <w:gridCol w:w="1523"/>
        <w:gridCol w:w="8"/>
        <w:gridCol w:w="1473"/>
        <w:gridCol w:w="2969"/>
        <w:gridCol w:w="283"/>
        <w:gridCol w:w="2172"/>
        <w:gridCol w:w="2570"/>
      </w:tblGrid>
      <w:tr w14:paraId="171DDBE7">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3209" w:type="dxa"/>
            <w:vAlign w:val="center"/>
          </w:tcPr>
          <w:p w14:paraId="1B120B30">
            <w:pPr>
              <w:jc w:val="center"/>
              <w:rPr>
                <w:color w:val="auto"/>
                <w:szCs w:val="21"/>
              </w:rPr>
            </w:pPr>
            <w:r>
              <w:rPr>
                <w:color w:val="auto"/>
                <w:spacing w:val="1"/>
                <w:szCs w:val="21"/>
              </w:rPr>
              <w:t>工程名称</w:t>
            </w:r>
          </w:p>
        </w:tc>
        <w:tc>
          <w:tcPr>
            <w:tcW w:w="10998" w:type="dxa"/>
            <w:gridSpan w:val="7"/>
            <w:vAlign w:val="center"/>
          </w:tcPr>
          <w:p w14:paraId="1B01D8F7">
            <w:pPr>
              <w:jc w:val="center"/>
              <w:rPr>
                <w:color w:val="auto"/>
                <w:szCs w:val="21"/>
              </w:rPr>
            </w:pPr>
          </w:p>
        </w:tc>
      </w:tr>
      <w:tr w14:paraId="36DC529B">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65" w:hRule="atLeast"/>
          <w:jc w:val="center"/>
        </w:trPr>
        <w:tc>
          <w:tcPr>
            <w:tcW w:w="3209" w:type="dxa"/>
            <w:vAlign w:val="center"/>
          </w:tcPr>
          <w:p w14:paraId="73345ED5">
            <w:pPr>
              <w:jc w:val="center"/>
              <w:rPr>
                <w:color w:val="auto"/>
                <w:szCs w:val="21"/>
              </w:rPr>
            </w:pPr>
            <w:r>
              <w:rPr>
                <w:rFonts w:hint="eastAsia"/>
                <w:color w:val="auto"/>
                <w:spacing w:val="1"/>
                <w:szCs w:val="21"/>
              </w:rPr>
              <w:t>生产</w:t>
            </w:r>
            <w:r>
              <w:rPr>
                <w:color w:val="auto"/>
                <w:spacing w:val="1"/>
                <w:szCs w:val="21"/>
              </w:rPr>
              <w:t>日期</w:t>
            </w:r>
          </w:p>
        </w:tc>
        <w:tc>
          <w:tcPr>
            <w:tcW w:w="3004" w:type="dxa"/>
            <w:gridSpan w:val="3"/>
            <w:vAlign w:val="center"/>
          </w:tcPr>
          <w:p w14:paraId="35187A40">
            <w:pPr>
              <w:jc w:val="center"/>
              <w:rPr>
                <w:color w:val="auto"/>
                <w:szCs w:val="21"/>
              </w:rPr>
            </w:pPr>
          </w:p>
        </w:tc>
        <w:tc>
          <w:tcPr>
            <w:tcW w:w="2969" w:type="dxa"/>
            <w:vAlign w:val="center"/>
          </w:tcPr>
          <w:p w14:paraId="70D8D48F">
            <w:pPr>
              <w:jc w:val="center"/>
              <w:rPr>
                <w:color w:val="auto"/>
                <w:szCs w:val="21"/>
              </w:rPr>
            </w:pPr>
            <w:r>
              <w:rPr>
                <w:color w:val="auto"/>
                <w:szCs w:val="21"/>
              </w:rPr>
              <w:t>发货日期</w:t>
            </w:r>
          </w:p>
        </w:tc>
        <w:tc>
          <w:tcPr>
            <w:tcW w:w="5025" w:type="dxa"/>
            <w:gridSpan w:val="3"/>
            <w:vAlign w:val="center"/>
          </w:tcPr>
          <w:p w14:paraId="0AD1E862">
            <w:pPr>
              <w:jc w:val="center"/>
              <w:rPr>
                <w:color w:val="auto"/>
                <w:szCs w:val="21"/>
              </w:rPr>
            </w:pPr>
          </w:p>
        </w:tc>
      </w:tr>
      <w:tr w14:paraId="35D3733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65" w:hRule="atLeast"/>
          <w:jc w:val="center"/>
        </w:trPr>
        <w:tc>
          <w:tcPr>
            <w:tcW w:w="3209" w:type="dxa"/>
            <w:vAlign w:val="center"/>
          </w:tcPr>
          <w:p w14:paraId="55CB36AB">
            <w:pPr>
              <w:jc w:val="center"/>
              <w:rPr>
                <w:color w:val="auto"/>
                <w:szCs w:val="21"/>
              </w:rPr>
            </w:pPr>
            <w:r>
              <w:rPr>
                <w:rFonts w:hint="eastAsia"/>
                <w:color w:val="auto"/>
                <w:spacing w:val="4"/>
                <w:szCs w:val="21"/>
              </w:rPr>
              <w:t>模块单元型号</w:t>
            </w:r>
          </w:p>
        </w:tc>
        <w:tc>
          <w:tcPr>
            <w:tcW w:w="3004" w:type="dxa"/>
            <w:gridSpan w:val="3"/>
            <w:vAlign w:val="center"/>
          </w:tcPr>
          <w:p w14:paraId="686023CE">
            <w:pPr>
              <w:jc w:val="center"/>
              <w:rPr>
                <w:color w:val="auto"/>
                <w:szCs w:val="21"/>
              </w:rPr>
            </w:pPr>
            <w:r>
              <w:rPr>
                <w:rFonts w:hint="eastAsia"/>
                <w:color w:val="auto"/>
                <w:spacing w:val="3"/>
                <w:szCs w:val="21"/>
              </w:rPr>
              <w:t>模具型号</w:t>
            </w:r>
          </w:p>
        </w:tc>
        <w:tc>
          <w:tcPr>
            <w:tcW w:w="2969" w:type="dxa"/>
            <w:vAlign w:val="center"/>
          </w:tcPr>
          <w:p w14:paraId="71DF653F">
            <w:pPr>
              <w:jc w:val="center"/>
              <w:rPr>
                <w:color w:val="auto"/>
                <w:szCs w:val="21"/>
              </w:rPr>
            </w:pPr>
            <w:r>
              <w:rPr>
                <w:rFonts w:hint="eastAsia"/>
                <w:color w:val="auto"/>
                <w:spacing w:val="-3"/>
                <w:szCs w:val="21"/>
              </w:rPr>
              <w:t>模块单元尺寸</w:t>
            </w:r>
          </w:p>
        </w:tc>
        <w:tc>
          <w:tcPr>
            <w:tcW w:w="2455" w:type="dxa"/>
            <w:gridSpan w:val="2"/>
            <w:vAlign w:val="center"/>
          </w:tcPr>
          <w:p w14:paraId="0D84FBA1">
            <w:pPr>
              <w:jc w:val="center"/>
              <w:rPr>
                <w:color w:val="auto"/>
                <w:szCs w:val="21"/>
              </w:rPr>
            </w:pPr>
            <w:r>
              <w:rPr>
                <w:rFonts w:hint="eastAsia"/>
                <w:color w:val="auto"/>
                <w:spacing w:val="1"/>
                <w:szCs w:val="21"/>
              </w:rPr>
              <w:t>数量（件）</w:t>
            </w:r>
          </w:p>
        </w:tc>
        <w:tc>
          <w:tcPr>
            <w:tcW w:w="2570" w:type="dxa"/>
            <w:vAlign w:val="center"/>
          </w:tcPr>
          <w:p w14:paraId="5129F5A1">
            <w:pPr>
              <w:pStyle w:val="34"/>
              <w:jc w:val="center"/>
              <w:rPr>
                <w:rFonts w:eastAsia="宋体"/>
                <w:color w:val="auto"/>
                <w:sz w:val="21"/>
                <w:szCs w:val="21"/>
              </w:rPr>
            </w:pPr>
            <w:r>
              <w:rPr>
                <w:rFonts w:eastAsia="宋体"/>
                <w:color w:val="auto"/>
                <w:spacing w:val="-4"/>
                <w:sz w:val="21"/>
                <w:szCs w:val="21"/>
              </w:rPr>
              <w:t>单重（t）</w:t>
            </w:r>
          </w:p>
        </w:tc>
      </w:tr>
      <w:tr w14:paraId="7DC8678B">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65" w:hRule="atLeast"/>
          <w:jc w:val="center"/>
        </w:trPr>
        <w:tc>
          <w:tcPr>
            <w:tcW w:w="3209" w:type="dxa"/>
            <w:vAlign w:val="center"/>
          </w:tcPr>
          <w:p w14:paraId="181BDDBA">
            <w:pPr>
              <w:jc w:val="center"/>
              <w:rPr>
                <w:color w:val="auto"/>
                <w:szCs w:val="21"/>
              </w:rPr>
            </w:pPr>
          </w:p>
        </w:tc>
        <w:tc>
          <w:tcPr>
            <w:tcW w:w="3004" w:type="dxa"/>
            <w:gridSpan w:val="3"/>
            <w:vAlign w:val="center"/>
          </w:tcPr>
          <w:p w14:paraId="41572A20">
            <w:pPr>
              <w:jc w:val="center"/>
              <w:rPr>
                <w:color w:val="auto"/>
                <w:szCs w:val="21"/>
              </w:rPr>
            </w:pPr>
          </w:p>
        </w:tc>
        <w:tc>
          <w:tcPr>
            <w:tcW w:w="2969" w:type="dxa"/>
            <w:vAlign w:val="center"/>
          </w:tcPr>
          <w:p w14:paraId="760E4B89">
            <w:pPr>
              <w:jc w:val="center"/>
              <w:rPr>
                <w:color w:val="auto"/>
                <w:szCs w:val="21"/>
              </w:rPr>
            </w:pPr>
          </w:p>
        </w:tc>
        <w:tc>
          <w:tcPr>
            <w:tcW w:w="2455" w:type="dxa"/>
            <w:gridSpan w:val="2"/>
            <w:vAlign w:val="center"/>
          </w:tcPr>
          <w:p w14:paraId="40269864">
            <w:pPr>
              <w:jc w:val="center"/>
              <w:rPr>
                <w:color w:val="auto"/>
                <w:szCs w:val="21"/>
              </w:rPr>
            </w:pPr>
          </w:p>
        </w:tc>
        <w:tc>
          <w:tcPr>
            <w:tcW w:w="2570" w:type="dxa"/>
            <w:vAlign w:val="center"/>
          </w:tcPr>
          <w:p w14:paraId="478A26E6">
            <w:pPr>
              <w:jc w:val="center"/>
              <w:rPr>
                <w:color w:val="auto"/>
                <w:szCs w:val="21"/>
              </w:rPr>
            </w:pPr>
          </w:p>
        </w:tc>
      </w:tr>
      <w:tr w14:paraId="2CC2F454">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2655" w:hRule="atLeast"/>
          <w:jc w:val="center"/>
        </w:trPr>
        <w:tc>
          <w:tcPr>
            <w:tcW w:w="14207" w:type="dxa"/>
            <w:gridSpan w:val="8"/>
            <w:tcBorders>
              <w:bottom w:val="single" w:color="auto" w:sz="4" w:space="0"/>
            </w:tcBorders>
          </w:tcPr>
          <w:p w14:paraId="7782D1DB">
            <w:pPr>
              <w:spacing w:before="67" w:line="227" w:lineRule="auto"/>
              <w:ind w:left="239"/>
              <w:rPr>
                <w:color w:val="auto"/>
                <w:spacing w:val="1"/>
                <w:szCs w:val="21"/>
              </w:rPr>
            </w:pPr>
          </w:p>
          <w:p w14:paraId="346E6E85">
            <w:pPr>
              <w:spacing w:before="67" w:line="227" w:lineRule="auto"/>
              <w:ind w:left="239"/>
              <w:rPr>
                <w:color w:val="auto"/>
                <w:spacing w:val="1"/>
                <w:szCs w:val="21"/>
              </w:rPr>
            </w:pPr>
          </w:p>
          <w:p w14:paraId="4F571016">
            <w:pPr>
              <w:spacing w:before="87" w:line="227" w:lineRule="auto"/>
              <w:ind w:left="434"/>
              <w:rPr>
                <w:color w:val="auto"/>
                <w:szCs w:val="21"/>
              </w:rPr>
            </w:pPr>
            <w:r>
              <w:rPr>
                <w:color w:val="auto"/>
                <w:spacing w:val="20"/>
                <w:szCs w:val="21"/>
              </w:rPr>
              <w:t>经检验，</w:t>
            </w:r>
            <w:r>
              <w:rPr>
                <w:rFonts w:hint="eastAsia"/>
                <w:color w:val="auto"/>
                <w:spacing w:val="20"/>
                <w:szCs w:val="21"/>
              </w:rPr>
              <w:t>该批</w:t>
            </w:r>
            <w:r>
              <w:rPr>
                <w:color w:val="auto"/>
                <w:spacing w:val="20"/>
                <w:szCs w:val="21"/>
              </w:rPr>
              <w:t>模块单元符合规定质量要求标准，准予出货。</w:t>
            </w:r>
          </w:p>
        </w:tc>
      </w:tr>
      <w:tr w14:paraId="3C000B4B">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14207" w:type="dxa"/>
            <w:gridSpan w:val="8"/>
            <w:tcBorders>
              <w:top w:val="single" w:color="auto" w:sz="4" w:space="0"/>
              <w:bottom w:val="nil"/>
            </w:tcBorders>
          </w:tcPr>
          <w:p w14:paraId="72C87E5D">
            <w:pPr>
              <w:spacing w:line="336" w:lineRule="auto"/>
              <w:rPr>
                <w:color w:val="auto"/>
                <w:szCs w:val="21"/>
              </w:rPr>
            </w:pPr>
          </w:p>
          <w:p w14:paraId="582A3988">
            <w:pPr>
              <w:spacing w:before="65" w:line="480" w:lineRule="auto"/>
              <w:ind w:right="2580"/>
              <w:rPr>
                <w:color w:val="auto"/>
                <w:szCs w:val="21"/>
              </w:rPr>
            </w:pPr>
          </w:p>
        </w:tc>
      </w:tr>
      <w:tr w14:paraId="192DF305">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4732" w:type="dxa"/>
            <w:gridSpan w:val="2"/>
            <w:tcBorders>
              <w:top w:val="nil"/>
              <w:bottom w:val="nil"/>
              <w:right w:val="nil"/>
            </w:tcBorders>
            <w:vAlign w:val="center"/>
          </w:tcPr>
          <w:p w14:paraId="6A588F6C">
            <w:pPr>
              <w:jc w:val="center"/>
              <w:rPr>
                <w:color w:val="auto"/>
                <w:spacing w:val="16"/>
                <w:szCs w:val="21"/>
              </w:rPr>
            </w:pPr>
          </w:p>
        </w:tc>
        <w:tc>
          <w:tcPr>
            <w:tcW w:w="4733" w:type="dxa"/>
            <w:gridSpan w:val="4"/>
            <w:tcBorders>
              <w:top w:val="nil"/>
              <w:bottom w:val="nil"/>
              <w:right w:val="nil"/>
            </w:tcBorders>
            <w:vAlign w:val="center"/>
          </w:tcPr>
          <w:p w14:paraId="7D0D3771">
            <w:pPr>
              <w:jc w:val="center"/>
              <w:rPr>
                <w:color w:val="auto"/>
                <w:spacing w:val="16"/>
                <w:szCs w:val="21"/>
              </w:rPr>
            </w:pPr>
          </w:p>
        </w:tc>
        <w:tc>
          <w:tcPr>
            <w:tcW w:w="4742" w:type="dxa"/>
            <w:gridSpan w:val="2"/>
            <w:tcBorders>
              <w:top w:val="nil"/>
              <w:left w:val="nil"/>
              <w:bottom w:val="nil"/>
            </w:tcBorders>
            <w:vAlign w:val="center"/>
          </w:tcPr>
          <w:p w14:paraId="7B3EB829">
            <w:pPr>
              <w:rPr>
                <w:color w:val="auto"/>
                <w:spacing w:val="16"/>
                <w:szCs w:val="21"/>
              </w:rPr>
            </w:pPr>
            <w:r>
              <w:rPr>
                <w:color w:val="auto"/>
                <w:spacing w:val="16"/>
                <w:szCs w:val="21"/>
              </w:rPr>
              <w:t>模块</w:t>
            </w:r>
            <w:r>
              <w:rPr>
                <w:rFonts w:hint="eastAsia"/>
                <w:color w:val="auto"/>
                <w:spacing w:val="16"/>
                <w:szCs w:val="21"/>
              </w:rPr>
              <w:t>单元生产</w:t>
            </w:r>
            <w:r>
              <w:rPr>
                <w:color w:val="auto"/>
                <w:spacing w:val="16"/>
                <w:szCs w:val="21"/>
              </w:rPr>
              <w:t>单位名称：</w:t>
            </w:r>
          </w:p>
        </w:tc>
      </w:tr>
      <w:tr w14:paraId="6265F9EB">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4732" w:type="dxa"/>
            <w:gridSpan w:val="2"/>
            <w:tcBorders>
              <w:top w:val="nil"/>
              <w:bottom w:val="single" w:color="auto" w:sz="4" w:space="0"/>
              <w:right w:val="nil"/>
            </w:tcBorders>
            <w:vAlign w:val="center"/>
          </w:tcPr>
          <w:p w14:paraId="2088B776">
            <w:pPr>
              <w:jc w:val="center"/>
              <w:rPr>
                <w:color w:val="auto"/>
                <w:spacing w:val="16"/>
                <w:szCs w:val="21"/>
              </w:rPr>
            </w:pPr>
          </w:p>
        </w:tc>
        <w:tc>
          <w:tcPr>
            <w:tcW w:w="4733" w:type="dxa"/>
            <w:gridSpan w:val="4"/>
            <w:tcBorders>
              <w:top w:val="nil"/>
              <w:bottom w:val="single" w:color="auto" w:sz="4" w:space="0"/>
              <w:right w:val="nil"/>
            </w:tcBorders>
            <w:vAlign w:val="center"/>
          </w:tcPr>
          <w:p w14:paraId="007ADA41">
            <w:pPr>
              <w:jc w:val="center"/>
              <w:rPr>
                <w:color w:val="auto"/>
                <w:spacing w:val="16"/>
                <w:szCs w:val="21"/>
              </w:rPr>
            </w:pPr>
          </w:p>
        </w:tc>
        <w:tc>
          <w:tcPr>
            <w:tcW w:w="4742" w:type="dxa"/>
            <w:gridSpan w:val="2"/>
            <w:tcBorders>
              <w:top w:val="nil"/>
              <w:left w:val="nil"/>
              <w:bottom w:val="single" w:color="auto" w:sz="4" w:space="0"/>
            </w:tcBorders>
            <w:vAlign w:val="center"/>
          </w:tcPr>
          <w:p w14:paraId="20BE3A28">
            <w:pPr>
              <w:rPr>
                <w:color w:val="auto"/>
                <w:spacing w:val="16"/>
                <w:szCs w:val="21"/>
              </w:rPr>
            </w:pPr>
            <w:r>
              <w:rPr>
                <w:color w:val="auto"/>
                <w:spacing w:val="16"/>
                <w:szCs w:val="21"/>
              </w:rPr>
              <w:t>质量部（章）：</w:t>
            </w:r>
          </w:p>
        </w:tc>
      </w:tr>
      <w:tr w14:paraId="15EEEF43">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759" w:hRule="atLeast"/>
          <w:jc w:val="center"/>
        </w:trPr>
        <w:tc>
          <w:tcPr>
            <w:tcW w:w="4740" w:type="dxa"/>
            <w:gridSpan w:val="3"/>
            <w:tcBorders>
              <w:top w:val="single" w:color="auto" w:sz="4" w:space="0"/>
            </w:tcBorders>
          </w:tcPr>
          <w:p w14:paraId="275DAEC3">
            <w:pPr>
              <w:spacing w:before="282" w:line="229" w:lineRule="auto"/>
              <w:ind w:left="222"/>
              <w:rPr>
                <w:color w:val="auto"/>
                <w:szCs w:val="21"/>
              </w:rPr>
            </w:pPr>
            <w:r>
              <w:rPr>
                <w:color w:val="auto"/>
                <w:spacing w:val="7"/>
                <w:szCs w:val="21"/>
              </w:rPr>
              <w:t>批准：</w:t>
            </w:r>
          </w:p>
        </w:tc>
        <w:tc>
          <w:tcPr>
            <w:tcW w:w="4725" w:type="dxa"/>
            <w:gridSpan w:val="3"/>
            <w:tcBorders>
              <w:top w:val="single" w:color="auto" w:sz="4" w:space="0"/>
            </w:tcBorders>
          </w:tcPr>
          <w:p w14:paraId="6EA6925E">
            <w:pPr>
              <w:spacing w:before="282" w:line="228" w:lineRule="auto"/>
              <w:ind w:left="225"/>
              <w:rPr>
                <w:color w:val="auto"/>
                <w:szCs w:val="21"/>
              </w:rPr>
            </w:pPr>
            <w:r>
              <w:rPr>
                <w:color w:val="auto"/>
                <w:spacing w:val="3"/>
                <w:szCs w:val="21"/>
              </w:rPr>
              <w:t>审核：</w:t>
            </w:r>
          </w:p>
        </w:tc>
        <w:tc>
          <w:tcPr>
            <w:tcW w:w="4742" w:type="dxa"/>
            <w:gridSpan w:val="2"/>
            <w:tcBorders>
              <w:top w:val="single" w:color="auto" w:sz="4" w:space="0"/>
            </w:tcBorders>
          </w:tcPr>
          <w:p w14:paraId="0C499604">
            <w:pPr>
              <w:spacing w:before="281" w:line="228" w:lineRule="auto"/>
              <w:ind w:left="223"/>
              <w:rPr>
                <w:color w:val="auto"/>
                <w:szCs w:val="21"/>
              </w:rPr>
            </w:pPr>
            <w:r>
              <w:rPr>
                <w:color w:val="auto"/>
                <w:spacing w:val="6"/>
                <w:szCs w:val="21"/>
              </w:rPr>
              <w:t>编制：</w:t>
            </w:r>
          </w:p>
        </w:tc>
      </w:tr>
    </w:tbl>
    <w:p w14:paraId="0C0B2B79">
      <w:pPr>
        <w:pStyle w:val="7"/>
        <w:rPr>
          <w:color w:val="auto"/>
        </w:rPr>
      </w:pPr>
    </w:p>
    <w:p w14:paraId="78067FED">
      <w:pPr>
        <w:rPr>
          <w:color w:val="auto"/>
        </w:rPr>
        <w:sectPr>
          <w:footerReference r:id="rId6" w:type="default"/>
          <w:pgSz w:w="16839" w:h="11906" w:orient="landscape"/>
          <w:pgMar w:top="1012" w:right="1501" w:bottom="1145" w:left="1103" w:header="0" w:footer="958" w:gutter="0"/>
          <w:cols w:space="720" w:num="1"/>
        </w:sectPr>
      </w:pPr>
    </w:p>
    <w:p w14:paraId="0E47EDA3">
      <w:pPr>
        <w:pStyle w:val="2"/>
        <w:spacing w:beforeLines="50" w:afterLines="50"/>
        <w:rPr>
          <w:color w:val="auto"/>
        </w:rPr>
      </w:pPr>
      <w:bookmarkStart w:id="538" w:name="_Toc24456"/>
      <w:bookmarkStart w:id="539" w:name="_Toc19236"/>
      <w:bookmarkStart w:id="540" w:name="_Toc8452"/>
      <w:r>
        <w:rPr>
          <w:rFonts w:hint="eastAsia"/>
          <w:color w:val="auto"/>
        </w:rPr>
        <w:t>附录B  模块单元</w:t>
      </w:r>
      <w:bookmarkEnd w:id="538"/>
      <w:r>
        <w:rPr>
          <w:rFonts w:hint="eastAsia"/>
          <w:color w:val="auto"/>
        </w:rPr>
        <w:t>产品质量验收记录</w:t>
      </w:r>
      <w:bookmarkEnd w:id="539"/>
      <w:bookmarkEnd w:id="540"/>
    </w:p>
    <w:p w14:paraId="26D89B36">
      <w:pPr>
        <w:jc w:val="center"/>
        <w:rPr>
          <w:rFonts w:eastAsia="黑体"/>
          <w:color w:val="auto"/>
          <w:spacing w:val="-1"/>
          <w:szCs w:val="21"/>
        </w:rPr>
      </w:pPr>
      <w:r>
        <w:rPr>
          <w:rFonts w:eastAsia="黑体"/>
          <w:color w:val="auto"/>
          <w:spacing w:val="-1"/>
          <w:szCs w:val="21"/>
        </w:rPr>
        <w:t>表</w:t>
      </w:r>
      <w:r>
        <w:rPr>
          <w:rFonts w:hint="eastAsia" w:eastAsia="黑体"/>
          <w:color w:val="auto"/>
          <w:spacing w:val="-1"/>
          <w:szCs w:val="21"/>
        </w:rPr>
        <w:t>B</w:t>
      </w:r>
      <w:r>
        <w:rPr>
          <w:rFonts w:eastAsia="黑体"/>
          <w:color w:val="auto"/>
          <w:spacing w:val="-1"/>
          <w:szCs w:val="21"/>
        </w:rPr>
        <w:t>.</w:t>
      </w:r>
      <w:r>
        <w:rPr>
          <w:rFonts w:hint="eastAsia" w:eastAsia="黑体"/>
          <w:color w:val="auto"/>
          <w:spacing w:val="-1"/>
          <w:szCs w:val="21"/>
        </w:rPr>
        <w:t>1</w:t>
      </w:r>
      <w:r>
        <w:rPr>
          <w:rFonts w:eastAsia="黑体"/>
          <w:color w:val="auto"/>
          <w:spacing w:val="-1"/>
          <w:szCs w:val="21"/>
        </w:rPr>
        <w:t xml:space="preserve">  模块单元模具质量验收记录表</w:t>
      </w:r>
    </w:p>
    <w:tbl>
      <w:tblPr>
        <w:tblStyle w:val="17"/>
        <w:tblW w:w="97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46"/>
        <w:gridCol w:w="861"/>
        <w:gridCol w:w="1584"/>
        <w:gridCol w:w="1455"/>
        <w:gridCol w:w="942"/>
        <w:gridCol w:w="563"/>
        <w:gridCol w:w="962"/>
        <w:gridCol w:w="976"/>
        <w:gridCol w:w="1872"/>
      </w:tblGrid>
      <w:tr w14:paraId="013048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2991" w:type="dxa"/>
            <w:gridSpan w:val="3"/>
            <w:vAlign w:val="center"/>
          </w:tcPr>
          <w:p w14:paraId="08E1A9B4">
            <w:pPr>
              <w:adjustRightInd w:val="0"/>
              <w:snapToGrid w:val="0"/>
              <w:jc w:val="center"/>
              <w:rPr>
                <w:color w:val="auto"/>
                <w:szCs w:val="21"/>
              </w:rPr>
            </w:pPr>
            <w:r>
              <w:rPr>
                <w:color w:val="auto"/>
                <w:spacing w:val="3"/>
                <w:szCs w:val="21"/>
              </w:rPr>
              <w:t>工程名称</w:t>
            </w:r>
          </w:p>
        </w:tc>
        <w:tc>
          <w:tcPr>
            <w:tcW w:w="6770" w:type="dxa"/>
            <w:gridSpan w:val="6"/>
            <w:vAlign w:val="center"/>
          </w:tcPr>
          <w:p w14:paraId="0132A471">
            <w:pPr>
              <w:pStyle w:val="34"/>
              <w:adjustRightInd w:val="0"/>
              <w:snapToGrid w:val="0"/>
              <w:jc w:val="center"/>
              <w:rPr>
                <w:rFonts w:eastAsia="宋体"/>
                <w:color w:val="auto"/>
                <w:sz w:val="21"/>
                <w:szCs w:val="21"/>
              </w:rPr>
            </w:pPr>
          </w:p>
        </w:tc>
      </w:tr>
      <w:tr w14:paraId="63DBC7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2991" w:type="dxa"/>
            <w:gridSpan w:val="3"/>
            <w:vAlign w:val="center"/>
          </w:tcPr>
          <w:p w14:paraId="644DE2FC">
            <w:pPr>
              <w:adjustRightInd w:val="0"/>
              <w:snapToGrid w:val="0"/>
              <w:jc w:val="center"/>
              <w:rPr>
                <w:color w:val="auto"/>
                <w:szCs w:val="21"/>
              </w:rPr>
            </w:pPr>
            <w:r>
              <w:rPr>
                <w:color w:val="auto"/>
                <w:spacing w:val="4"/>
                <w:szCs w:val="21"/>
              </w:rPr>
              <w:t>模块</w:t>
            </w:r>
            <w:r>
              <w:rPr>
                <w:rFonts w:hint="eastAsia"/>
                <w:color w:val="auto"/>
                <w:spacing w:val="4"/>
                <w:szCs w:val="21"/>
              </w:rPr>
              <w:t>单元型号</w:t>
            </w:r>
          </w:p>
        </w:tc>
        <w:tc>
          <w:tcPr>
            <w:tcW w:w="2960" w:type="dxa"/>
            <w:gridSpan w:val="3"/>
            <w:vAlign w:val="center"/>
          </w:tcPr>
          <w:p w14:paraId="198F3518">
            <w:pPr>
              <w:pStyle w:val="34"/>
              <w:adjustRightInd w:val="0"/>
              <w:snapToGrid w:val="0"/>
              <w:jc w:val="center"/>
              <w:rPr>
                <w:rFonts w:eastAsia="宋体"/>
                <w:color w:val="auto"/>
                <w:sz w:val="21"/>
                <w:szCs w:val="21"/>
              </w:rPr>
            </w:pPr>
          </w:p>
        </w:tc>
        <w:tc>
          <w:tcPr>
            <w:tcW w:w="962" w:type="dxa"/>
            <w:vAlign w:val="center"/>
          </w:tcPr>
          <w:p w14:paraId="6AD48869">
            <w:pPr>
              <w:adjustRightInd w:val="0"/>
              <w:snapToGrid w:val="0"/>
              <w:jc w:val="center"/>
              <w:rPr>
                <w:color w:val="auto"/>
                <w:szCs w:val="21"/>
              </w:rPr>
            </w:pPr>
            <w:r>
              <w:rPr>
                <w:color w:val="auto"/>
                <w:spacing w:val="3"/>
                <w:szCs w:val="21"/>
              </w:rPr>
              <w:t>产品</w:t>
            </w:r>
            <w:r>
              <w:rPr>
                <w:rFonts w:hint="eastAsia"/>
                <w:color w:val="auto"/>
                <w:spacing w:val="3"/>
                <w:szCs w:val="21"/>
              </w:rPr>
              <w:t>型号</w:t>
            </w:r>
          </w:p>
        </w:tc>
        <w:tc>
          <w:tcPr>
            <w:tcW w:w="2848" w:type="dxa"/>
            <w:gridSpan w:val="2"/>
            <w:vAlign w:val="center"/>
          </w:tcPr>
          <w:p w14:paraId="6C1F9CAB">
            <w:pPr>
              <w:pStyle w:val="34"/>
              <w:adjustRightInd w:val="0"/>
              <w:snapToGrid w:val="0"/>
              <w:jc w:val="center"/>
              <w:rPr>
                <w:rFonts w:eastAsia="宋体"/>
                <w:color w:val="auto"/>
                <w:sz w:val="21"/>
                <w:szCs w:val="21"/>
              </w:rPr>
            </w:pPr>
          </w:p>
        </w:tc>
      </w:tr>
      <w:tr w14:paraId="167391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2991" w:type="dxa"/>
            <w:gridSpan w:val="3"/>
            <w:vAlign w:val="center"/>
          </w:tcPr>
          <w:p w14:paraId="01996330">
            <w:pPr>
              <w:adjustRightInd w:val="0"/>
              <w:snapToGrid w:val="0"/>
              <w:jc w:val="center"/>
              <w:rPr>
                <w:color w:val="auto"/>
                <w:szCs w:val="21"/>
              </w:rPr>
            </w:pPr>
            <w:r>
              <w:rPr>
                <w:rFonts w:hint="eastAsia"/>
                <w:color w:val="auto"/>
                <w:spacing w:val="3"/>
                <w:szCs w:val="21"/>
              </w:rPr>
              <w:t>生产</w:t>
            </w:r>
            <w:r>
              <w:rPr>
                <w:color w:val="auto"/>
                <w:spacing w:val="3"/>
                <w:szCs w:val="21"/>
              </w:rPr>
              <w:t>批次</w:t>
            </w:r>
          </w:p>
        </w:tc>
        <w:tc>
          <w:tcPr>
            <w:tcW w:w="2960" w:type="dxa"/>
            <w:gridSpan w:val="3"/>
            <w:vAlign w:val="center"/>
          </w:tcPr>
          <w:p w14:paraId="5C236C3D">
            <w:pPr>
              <w:pStyle w:val="34"/>
              <w:adjustRightInd w:val="0"/>
              <w:snapToGrid w:val="0"/>
              <w:jc w:val="center"/>
              <w:rPr>
                <w:rFonts w:eastAsia="宋体"/>
                <w:color w:val="auto"/>
                <w:sz w:val="21"/>
                <w:szCs w:val="21"/>
              </w:rPr>
            </w:pPr>
          </w:p>
        </w:tc>
        <w:tc>
          <w:tcPr>
            <w:tcW w:w="962" w:type="dxa"/>
            <w:vAlign w:val="center"/>
          </w:tcPr>
          <w:p w14:paraId="376B729B">
            <w:pPr>
              <w:adjustRightInd w:val="0"/>
              <w:snapToGrid w:val="0"/>
              <w:jc w:val="center"/>
              <w:rPr>
                <w:color w:val="auto"/>
                <w:szCs w:val="21"/>
              </w:rPr>
            </w:pPr>
            <w:r>
              <w:rPr>
                <w:color w:val="auto"/>
                <w:spacing w:val="3"/>
                <w:szCs w:val="21"/>
              </w:rPr>
              <w:t>检查日期</w:t>
            </w:r>
          </w:p>
        </w:tc>
        <w:tc>
          <w:tcPr>
            <w:tcW w:w="2848" w:type="dxa"/>
            <w:gridSpan w:val="2"/>
            <w:vAlign w:val="center"/>
          </w:tcPr>
          <w:p w14:paraId="0CD3F0AC">
            <w:pPr>
              <w:pStyle w:val="34"/>
              <w:adjustRightInd w:val="0"/>
              <w:snapToGrid w:val="0"/>
              <w:jc w:val="center"/>
              <w:rPr>
                <w:rFonts w:eastAsia="宋体"/>
                <w:color w:val="auto"/>
                <w:sz w:val="21"/>
                <w:szCs w:val="21"/>
              </w:rPr>
            </w:pPr>
          </w:p>
        </w:tc>
      </w:tr>
      <w:tr w14:paraId="70548A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4446" w:type="dxa"/>
            <w:gridSpan w:val="4"/>
            <w:vMerge w:val="restart"/>
            <w:vAlign w:val="center"/>
          </w:tcPr>
          <w:p w14:paraId="3556CDF5">
            <w:pPr>
              <w:adjustRightInd w:val="0"/>
              <w:snapToGrid w:val="0"/>
              <w:jc w:val="center"/>
              <w:rPr>
                <w:color w:val="auto"/>
                <w:szCs w:val="21"/>
              </w:rPr>
            </w:pPr>
            <w:r>
              <w:rPr>
                <w:color w:val="auto"/>
                <w:spacing w:val="4"/>
                <w:szCs w:val="21"/>
              </w:rPr>
              <w:t>检查项目及内容</w:t>
            </w:r>
          </w:p>
        </w:tc>
        <w:tc>
          <w:tcPr>
            <w:tcW w:w="942" w:type="dxa"/>
            <w:vMerge w:val="restart"/>
            <w:vAlign w:val="center"/>
          </w:tcPr>
          <w:p w14:paraId="7F230439">
            <w:pPr>
              <w:adjustRightInd w:val="0"/>
              <w:snapToGrid w:val="0"/>
              <w:jc w:val="center"/>
              <w:rPr>
                <w:color w:val="auto"/>
                <w:szCs w:val="21"/>
              </w:rPr>
            </w:pPr>
            <w:r>
              <w:rPr>
                <w:color w:val="auto"/>
                <w:spacing w:val="3"/>
                <w:szCs w:val="21"/>
              </w:rPr>
              <w:t>设计要求及规范规定</w:t>
            </w:r>
          </w:p>
        </w:tc>
        <w:tc>
          <w:tcPr>
            <w:tcW w:w="4373" w:type="dxa"/>
            <w:gridSpan w:val="4"/>
            <w:vAlign w:val="center"/>
          </w:tcPr>
          <w:p w14:paraId="0985C85A">
            <w:pPr>
              <w:adjustRightInd w:val="0"/>
              <w:snapToGrid w:val="0"/>
              <w:jc w:val="center"/>
              <w:rPr>
                <w:color w:val="auto"/>
                <w:szCs w:val="21"/>
              </w:rPr>
            </w:pPr>
            <w:r>
              <w:rPr>
                <w:color w:val="auto"/>
                <w:spacing w:val="2"/>
                <w:szCs w:val="21"/>
              </w:rPr>
              <w:t>检查</w:t>
            </w:r>
          </w:p>
        </w:tc>
      </w:tr>
      <w:tr w14:paraId="55B79E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4446" w:type="dxa"/>
            <w:gridSpan w:val="4"/>
            <w:vMerge w:val="continue"/>
            <w:vAlign w:val="center"/>
          </w:tcPr>
          <w:p w14:paraId="776D7575">
            <w:pPr>
              <w:pStyle w:val="34"/>
              <w:adjustRightInd w:val="0"/>
              <w:snapToGrid w:val="0"/>
              <w:jc w:val="center"/>
              <w:rPr>
                <w:rFonts w:eastAsia="宋体"/>
                <w:color w:val="auto"/>
                <w:sz w:val="21"/>
                <w:szCs w:val="21"/>
              </w:rPr>
            </w:pPr>
          </w:p>
        </w:tc>
        <w:tc>
          <w:tcPr>
            <w:tcW w:w="942" w:type="dxa"/>
            <w:vMerge w:val="continue"/>
            <w:vAlign w:val="center"/>
          </w:tcPr>
          <w:p w14:paraId="57331B3B">
            <w:pPr>
              <w:pStyle w:val="34"/>
              <w:adjustRightInd w:val="0"/>
              <w:snapToGrid w:val="0"/>
              <w:jc w:val="center"/>
              <w:rPr>
                <w:rFonts w:eastAsia="宋体"/>
                <w:color w:val="auto"/>
                <w:sz w:val="21"/>
                <w:szCs w:val="21"/>
              </w:rPr>
            </w:pPr>
          </w:p>
        </w:tc>
        <w:tc>
          <w:tcPr>
            <w:tcW w:w="563" w:type="dxa"/>
            <w:vAlign w:val="center"/>
          </w:tcPr>
          <w:p w14:paraId="2C1297F0">
            <w:pPr>
              <w:adjustRightInd w:val="0"/>
              <w:snapToGrid w:val="0"/>
              <w:jc w:val="center"/>
              <w:rPr>
                <w:color w:val="auto"/>
                <w:szCs w:val="21"/>
              </w:rPr>
            </w:pPr>
            <w:r>
              <w:rPr>
                <w:color w:val="auto"/>
                <w:spacing w:val="2"/>
                <w:szCs w:val="21"/>
              </w:rPr>
              <w:t>合格</w:t>
            </w:r>
          </w:p>
        </w:tc>
        <w:tc>
          <w:tcPr>
            <w:tcW w:w="962" w:type="dxa"/>
            <w:vAlign w:val="center"/>
          </w:tcPr>
          <w:p w14:paraId="5A6DFBEB">
            <w:pPr>
              <w:adjustRightInd w:val="0"/>
              <w:snapToGrid w:val="0"/>
              <w:jc w:val="center"/>
              <w:rPr>
                <w:color w:val="auto"/>
                <w:szCs w:val="21"/>
              </w:rPr>
            </w:pPr>
            <w:r>
              <w:rPr>
                <w:color w:val="auto"/>
                <w:spacing w:val="2"/>
                <w:szCs w:val="21"/>
              </w:rPr>
              <w:t>不合格</w:t>
            </w:r>
          </w:p>
        </w:tc>
        <w:tc>
          <w:tcPr>
            <w:tcW w:w="976" w:type="dxa"/>
            <w:vAlign w:val="center"/>
          </w:tcPr>
          <w:p w14:paraId="662474EE">
            <w:pPr>
              <w:adjustRightInd w:val="0"/>
              <w:snapToGrid w:val="0"/>
              <w:jc w:val="center"/>
              <w:rPr>
                <w:color w:val="auto"/>
                <w:spacing w:val="3"/>
                <w:szCs w:val="21"/>
              </w:rPr>
            </w:pPr>
            <w:r>
              <w:rPr>
                <w:color w:val="auto"/>
                <w:spacing w:val="3"/>
                <w:szCs w:val="21"/>
              </w:rPr>
              <w:t>质量</w:t>
            </w:r>
          </w:p>
          <w:p w14:paraId="6217E413">
            <w:pPr>
              <w:adjustRightInd w:val="0"/>
              <w:snapToGrid w:val="0"/>
              <w:jc w:val="center"/>
              <w:rPr>
                <w:color w:val="auto"/>
                <w:szCs w:val="21"/>
              </w:rPr>
            </w:pPr>
            <w:r>
              <w:rPr>
                <w:color w:val="auto"/>
                <w:spacing w:val="3"/>
                <w:szCs w:val="21"/>
              </w:rPr>
              <w:t>检查员</w:t>
            </w:r>
          </w:p>
        </w:tc>
        <w:tc>
          <w:tcPr>
            <w:tcW w:w="1872" w:type="dxa"/>
            <w:vAlign w:val="center"/>
          </w:tcPr>
          <w:p w14:paraId="43319F22">
            <w:pPr>
              <w:adjustRightInd w:val="0"/>
              <w:snapToGrid w:val="0"/>
              <w:jc w:val="center"/>
              <w:rPr>
                <w:color w:val="auto"/>
                <w:szCs w:val="21"/>
              </w:rPr>
            </w:pPr>
            <w:r>
              <w:rPr>
                <w:color w:val="auto"/>
                <w:spacing w:val="3"/>
                <w:szCs w:val="21"/>
              </w:rPr>
              <w:t>质量复核人</w:t>
            </w:r>
          </w:p>
        </w:tc>
      </w:tr>
      <w:tr w14:paraId="134959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restart"/>
            <w:vAlign w:val="center"/>
          </w:tcPr>
          <w:p w14:paraId="466FC0A3">
            <w:pPr>
              <w:adjustRightInd w:val="0"/>
              <w:snapToGrid w:val="0"/>
              <w:jc w:val="center"/>
              <w:rPr>
                <w:color w:val="auto"/>
                <w:szCs w:val="21"/>
              </w:rPr>
            </w:pPr>
            <w:r>
              <w:rPr>
                <w:color w:val="auto"/>
                <w:szCs w:val="21"/>
              </w:rPr>
              <w:t>1</w:t>
            </w:r>
          </w:p>
        </w:tc>
        <w:tc>
          <w:tcPr>
            <w:tcW w:w="9215" w:type="dxa"/>
            <w:gridSpan w:val="8"/>
            <w:vAlign w:val="center"/>
          </w:tcPr>
          <w:p w14:paraId="70A1CA31">
            <w:pPr>
              <w:adjustRightInd w:val="0"/>
              <w:snapToGrid w:val="0"/>
              <w:jc w:val="center"/>
              <w:rPr>
                <w:color w:val="auto"/>
                <w:szCs w:val="21"/>
              </w:rPr>
            </w:pPr>
            <w:r>
              <w:rPr>
                <w:color w:val="auto"/>
                <w:spacing w:val="4"/>
                <w:szCs w:val="21"/>
              </w:rPr>
              <w:t>模具尺寸（mm）</w:t>
            </w:r>
          </w:p>
        </w:tc>
      </w:tr>
      <w:tr w14:paraId="0851ED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1C875C0E">
            <w:pPr>
              <w:pStyle w:val="34"/>
              <w:adjustRightInd w:val="0"/>
              <w:snapToGrid w:val="0"/>
              <w:jc w:val="center"/>
              <w:rPr>
                <w:rFonts w:eastAsia="宋体"/>
                <w:color w:val="auto"/>
                <w:sz w:val="21"/>
                <w:szCs w:val="21"/>
              </w:rPr>
            </w:pPr>
          </w:p>
        </w:tc>
        <w:tc>
          <w:tcPr>
            <w:tcW w:w="861" w:type="dxa"/>
            <w:vMerge w:val="restart"/>
            <w:vAlign w:val="center"/>
          </w:tcPr>
          <w:p w14:paraId="77EBC22B">
            <w:pPr>
              <w:adjustRightInd w:val="0"/>
              <w:snapToGrid w:val="0"/>
              <w:jc w:val="center"/>
              <w:rPr>
                <w:color w:val="auto"/>
                <w:spacing w:val="2"/>
                <w:szCs w:val="21"/>
              </w:rPr>
            </w:pPr>
            <w:r>
              <w:rPr>
                <w:color w:val="auto"/>
                <w:spacing w:val="2"/>
                <w:szCs w:val="21"/>
              </w:rPr>
              <w:t>主控</w:t>
            </w:r>
          </w:p>
          <w:p w14:paraId="76DEC34C">
            <w:pPr>
              <w:adjustRightInd w:val="0"/>
              <w:snapToGrid w:val="0"/>
              <w:jc w:val="center"/>
              <w:rPr>
                <w:color w:val="auto"/>
                <w:szCs w:val="21"/>
              </w:rPr>
            </w:pPr>
            <w:r>
              <w:rPr>
                <w:color w:val="auto"/>
                <w:spacing w:val="2"/>
                <w:szCs w:val="21"/>
              </w:rPr>
              <w:t>项目</w:t>
            </w:r>
          </w:p>
        </w:tc>
        <w:tc>
          <w:tcPr>
            <w:tcW w:w="3039" w:type="dxa"/>
            <w:gridSpan w:val="2"/>
            <w:vAlign w:val="center"/>
          </w:tcPr>
          <w:p w14:paraId="38FCA8AB">
            <w:pPr>
              <w:adjustRightInd w:val="0"/>
              <w:snapToGrid w:val="0"/>
              <w:jc w:val="center"/>
              <w:rPr>
                <w:color w:val="auto"/>
                <w:szCs w:val="21"/>
              </w:rPr>
            </w:pPr>
            <w:r>
              <w:rPr>
                <w:color w:val="auto"/>
                <w:spacing w:val="3"/>
                <w:szCs w:val="21"/>
              </w:rPr>
              <w:t>模板支撑材料、规格、尺寸</w:t>
            </w:r>
          </w:p>
        </w:tc>
        <w:tc>
          <w:tcPr>
            <w:tcW w:w="942" w:type="dxa"/>
            <w:vAlign w:val="center"/>
          </w:tcPr>
          <w:p w14:paraId="5FF04C23">
            <w:pPr>
              <w:adjustRightInd w:val="0"/>
              <w:snapToGrid w:val="0"/>
              <w:jc w:val="center"/>
              <w:rPr>
                <w:color w:val="auto"/>
                <w:spacing w:val="2"/>
                <w:szCs w:val="21"/>
              </w:rPr>
            </w:pPr>
            <w:r>
              <w:rPr>
                <w:color w:val="auto"/>
                <w:spacing w:val="2"/>
                <w:szCs w:val="21"/>
              </w:rPr>
              <w:t>模具</w:t>
            </w:r>
          </w:p>
          <w:p w14:paraId="02A6DE59">
            <w:pPr>
              <w:adjustRightInd w:val="0"/>
              <w:snapToGrid w:val="0"/>
              <w:jc w:val="center"/>
              <w:rPr>
                <w:color w:val="auto"/>
                <w:szCs w:val="21"/>
              </w:rPr>
            </w:pPr>
            <w:r>
              <w:rPr>
                <w:color w:val="auto"/>
                <w:spacing w:val="2"/>
                <w:szCs w:val="21"/>
              </w:rPr>
              <w:t>方案</w:t>
            </w:r>
          </w:p>
        </w:tc>
        <w:tc>
          <w:tcPr>
            <w:tcW w:w="563" w:type="dxa"/>
            <w:vAlign w:val="center"/>
          </w:tcPr>
          <w:p w14:paraId="6A25E3AC">
            <w:pPr>
              <w:pStyle w:val="34"/>
              <w:adjustRightInd w:val="0"/>
              <w:snapToGrid w:val="0"/>
              <w:jc w:val="center"/>
              <w:rPr>
                <w:rFonts w:eastAsia="宋体"/>
                <w:color w:val="auto"/>
                <w:sz w:val="21"/>
                <w:szCs w:val="21"/>
              </w:rPr>
            </w:pPr>
          </w:p>
        </w:tc>
        <w:tc>
          <w:tcPr>
            <w:tcW w:w="962" w:type="dxa"/>
            <w:vAlign w:val="center"/>
          </w:tcPr>
          <w:p w14:paraId="481AB2DD">
            <w:pPr>
              <w:pStyle w:val="34"/>
              <w:adjustRightInd w:val="0"/>
              <w:snapToGrid w:val="0"/>
              <w:jc w:val="center"/>
              <w:rPr>
                <w:rFonts w:eastAsia="宋体"/>
                <w:color w:val="auto"/>
                <w:sz w:val="21"/>
                <w:szCs w:val="21"/>
              </w:rPr>
            </w:pPr>
          </w:p>
        </w:tc>
        <w:tc>
          <w:tcPr>
            <w:tcW w:w="976" w:type="dxa"/>
            <w:vAlign w:val="center"/>
          </w:tcPr>
          <w:p w14:paraId="34F1B175">
            <w:pPr>
              <w:pStyle w:val="34"/>
              <w:adjustRightInd w:val="0"/>
              <w:snapToGrid w:val="0"/>
              <w:jc w:val="center"/>
              <w:rPr>
                <w:rFonts w:eastAsia="宋体"/>
                <w:color w:val="auto"/>
                <w:sz w:val="21"/>
                <w:szCs w:val="21"/>
              </w:rPr>
            </w:pPr>
          </w:p>
        </w:tc>
        <w:tc>
          <w:tcPr>
            <w:tcW w:w="1872" w:type="dxa"/>
            <w:vMerge w:val="restart"/>
            <w:vAlign w:val="center"/>
          </w:tcPr>
          <w:p w14:paraId="150AB615">
            <w:pPr>
              <w:pStyle w:val="34"/>
              <w:adjustRightInd w:val="0"/>
              <w:snapToGrid w:val="0"/>
              <w:jc w:val="center"/>
              <w:rPr>
                <w:rFonts w:eastAsia="宋体"/>
                <w:color w:val="auto"/>
                <w:sz w:val="21"/>
                <w:szCs w:val="21"/>
              </w:rPr>
            </w:pPr>
          </w:p>
        </w:tc>
      </w:tr>
      <w:tr w14:paraId="0B87FA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14AD7A3C">
            <w:pPr>
              <w:pStyle w:val="34"/>
              <w:adjustRightInd w:val="0"/>
              <w:snapToGrid w:val="0"/>
              <w:jc w:val="center"/>
              <w:rPr>
                <w:rFonts w:eastAsia="宋体"/>
                <w:color w:val="auto"/>
                <w:sz w:val="21"/>
                <w:szCs w:val="21"/>
              </w:rPr>
            </w:pPr>
          </w:p>
        </w:tc>
        <w:tc>
          <w:tcPr>
            <w:tcW w:w="861" w:type="dxa"/>
            <w:vMerge w:val="continue"/>
            <w:vAlign w:val="center"/>
          </w:tcPr>
          <w:p w14:paraId="12F4D578">
            <w:pPr>
              <w:pStyle w:val="34"/>
              <w:adjustRightInd w:val="0"/>
              <w:snapToGrid w:val="0"/>
              <w:jc w:val="center"/>
              <w:rPr>
                <w:rFonts w:eastAsia="宋体"/>
                <w:color w:val="auto"/>
                <w:sz w:val="21"/>
                <w:szCs w:val="21"/>
              </w:rPr>
            </w:pPr>
          </w:p>
        </w:tc>
        <w:tc>
          <w:tcPr>
            <w:tcW w:w="3039" w:type="dxa"/>
            <w:gridSpan w:val="2"/>
            <w:vAlign w:val="center"/>
          </w:tcPr>
          <w:p w14:paraId="24492FD7">
            <w:pPr>
              <w:adjustRightInd w:val="0"/>
              <w:snapToGrid w:val="0"/>
              <w:jc w:val="center"/>
              <w:rPr>
                <w:color w:val="auto"/>
                <w:szCs w:val="21"/>
              </w:rPr>
            </w:pPr>
            <w:r>
              <w:rPr>
                <w:color w:val="auto"/>
                <w:spacing w:val="3"/>
                <w:szCs w:val="21"/>
              </w:rPr>
              <w:t>模板及支架安装质量</w:t>
            </w:r>
          </w:p>
        </w:tc>
        <w:tc>
          <w:tcPr>
            <w:tcW w:w="942" w:type="dxa"/>
            <w:vAlign w:val="center"/>
          </w:tcPr>
          <w:p w14:paraId="7919BAFC">
            <w:pPr>
              <w:adjustRightInd w:val="0"/>
              <w:snapToGrid w:val="0"/>
              <w:jc w:val="center"/>
              <w:rPr>
                <w:color w:val="auto"/>
                <w:spacing w:val="2"/>
                <w:szCs w:val="21"/>
              </w:rPr>
            </w:pPr>
            <w:r>
              <w:rPr>
                <w:color w:val="auto"/>
                <w:spacing w:val="2"/>
                <w:szCs w:val="21"/>
              </w:rPr>
              <w:t>模具</w:t>
            </w:r>
          </w:p>
          <w:p w14:paraId="7B3561F2">
            <w:pPr>
              <w:adjustRightInd w:val="0"/>
              <w:snapToGrid w:val="0"/>
              <w:jc w:val="center"/>
              <w:rPr>
                <w:color w:val="auto"/>
                <w:szCs w:val="21"/>
              </w:rPr>
            </w:pPr>
            <w:r>
              <w:rPr>
                <w:color w:val="auto"/>
                <w:spacing w:val="2"/>
                <w:szCs w:val="21"/>
              </w:rPr>
              <w:t>方案</w:t>
            </w:r>
          </w:p>
        </w:tc>
        <w:tc>
          <w:tcPr>
            <w:tcW w:w="563" w:type="dxa"/>
            <w:vAlign w:val="center"/>
          </w:tcPr>
          <w:p w14:paraId="24354844">
            <w:pPr>
              <w:pStyle w:val="34"/>
              <w:adjustRightInd w:val="0"/>
              <w:snapToGrid w:val="0"/>
              <w:jc w:val="center"/>
              <w:rPr>
                <w:rFonts w:eastAsia="宋体"/>
                <w:color w:val="auto"/>
                <w:sz w:val="21"/>
                <w:szCs w:val="21"/>
              </w:rPr>
            </w:pPr>
          </w:p>
        </w:tc>
        <w:tc>
          <w:tcPr>
            <w:tcW w:w="962" w:type="dxa"/>
            <w:vAlign w:val="center"/>
          </w:tcPr>
          <w:p w14:paraId="75C12FD4">
            <w:pPr>
              <w:pStyle w:val="34"/>
              <w:adjustRightInd w:val="0"/>
              <w:snapToGrid w:val="0"/>
              <w:jc w:val="center"/>
              <w:rPr>
                <w:rFonts w:eastAsia="宋体"/>
                <w:color w:val="auto"/>
                <w:sz w:val="21"/>
                <w:szCs w:val="21"/>
              </w:rPr>
            </w:pPr>
          </w:p>
        </w:tc>
        <w:tc>
          <w:tcPr>
            <w:tcW w:w="976" w:type="dxa"/>
            <w:vAlign w:val="center"/>
          </w:tcPr>
          <w:p w14:paraId="2C76B938">
            <w:pPr>
              <w:pStyle w:val="34"/>
              <w:adjustRightInd w:val="0"/>
              <w:snapToGrid w:val="0"/>
              <w:jc w:val="center"/>
              <w:rPr>
                <w:rFonts w:eastAsia="宋体"/>
                <w:color w:val="auto"/>
                <w:sz w:val="21"/>
                <w:szCs w:val="21"/>
              </w:rPr>
            </w:pPr>
          </w:p>
        </w:tc>
        <w:tc>
          <w:tcPr>
            <w:tcW w:w="1872" w:type="dxa"/>
            <w:vMerge w:val="continue"/>
            <w:vAlign w:val="center"/>
          </w:tcPr>
          <w:p w14:paraId="3CD5BA54">
            <w:pPr>
              <w:pStyle w:val="34"/>
              <w:adjustRightInd w:val="0"/>
              <w:snapToGrid w:val="0"/>
              <w:jc w:val="center"/>
              <w:rPr>
                <w:rFonts w:eastAsia="宋体"/>
                <w:color w:val="auto"/>
                <w:sz w:val="21"/>
                <w:szCs w:val="21"/>
              </w:rPr>
            </w:pPr>
          </w:p>
        </w:tc>
      </w:tr>
      <w:tr w14:paraId="59C981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62853BD8">
            <w:pPr>
              <w:pStyle w:val="34"/>
              <w:adjustRightInd w:val="0"/>
              <w:snapToGrid w:val="0"/>
              <w:jc w:val="center"/>
              <w:rPr>
                <w:rFonts w:eastAsia="宋体"/>
                <w:color w:val="auto"/>
                <w:sz w:val="21"/>
                <w:szCs w:val="21"/>
              </w:rPr>
            </w:pPr>
          </w:p>
        </w:tc>
        <w:tc>
          <w:tcPr>
            <w:tcW w:w="861" w:type="dxa"/>
            <w:vMerge w:val="restart"/>
            <w:vAlign w:val="center"/>
          </w:tcPr>
          <w:p w14:paraId="54EF1B3C">
            <w:pPr>
              <w:adjustRightInd w:val="0"/>
              <w:snapToGrid w:val="0"/>
              <w:jc w:val="center"/>
              <w:rPr>
                <w:color w:val="auto"/>
                <w:spacing w:val="2"/>
                <w:szCs w:val="21"/>
              </w:rPr>
            </w:pPr>
            <w:r>
              <w:rPr>
                <w:color w:val="auto"/>
                <w:spacing w:val="2"/>
                <w:szCs w:val="21"/>
              </w:rPr>
              <w:t>一般</w:t>
            </w:r>
          </w:p>
          <w:p w14:paraId="60842B33">
            <w:pPr>
              <w:adjustRightInd w:val="0"/>
              <w:snapToGrid w:val="0"/>
              <w:jc w:val="center"/>
              <w:rPr>
                <w:color w:val="auto"/>
                <w:szCs w:val="21"/>
              </w:rPr>
            </w:pPr>
            <w:r>
              <w:rPr>
                <w:color w:val="auto"/>
                <w:spacing w:val="2"/>
                <w:szCs w:val="21"/>
              </w:rPr>
              <w:t>项目</w:t>
            </w:r>
          </w:p>
        </w:tc>
        <w:tc>
          <w:tcPr>
            <w:tcW w:w="1584" w:type="dxa"/>
            <w:vMerge w:val="restart"/>
            <w:vAlign w:val="center"/>
          </w:tcPr>
          <w:p w14:paraId="2232ABD1">
            <w:pPr>
              <w:adjustRightInd w:val="0"/>
              <w:snapToGrid w:val="0"/>
              <w:jc w:val="center"/>
              <w:rPr>
                <w:color w:val="auto"/>
                <w:szCs w:val="21"/>
              </w:rPr>
            </w:pPr>
            <w:r>
              <w:rPr>
                <w:color w:val="auto"/>
                <w:szCs w:val="21"/>
              </w:rPr>
              <w:t>长度</w:t>
            </w:r>
          </w:p>
        </w:tc>
        <w:tc>
          <w:tcPr>
            <w:tcW w:w="1455" w:type="dxa"/>
            <w:vAlign w:val="center"/>
          </w:tcPr>
          <w:p w14:paraId="040F1A66">
            <w:pPr>
              <w:adjustRightInd w:val="0"/>
              <w:snapToGrid w:val="0"/>
              <w:jc w:val="center"/>
              <w:rPr>
                <w:color w:val="auto"/>
                <w:szCs w:val="21"/>
              </w:rPr>
            </w:pPr>
            <w:r>
              <w:rPr>
                <w:color w:val="auto"/>
                <w:spacing w:val="-6"/>
                <w:szCs w:val="21"/>
              </w:rPr>
              <w:t>≤6m</w:t>
            </w:r>
          </w:p>
        </w:tc>
        <w:tc>
          <w:tcPr>
            <w:tcW w:w="942" w:type="dxa"/>
            <w:vAlign w:val="center"/>
          </w:tcPr>
          <w:p w14:paraId="7BBEDC43">
            <w:pPr>
              <w:adjustRightInd w:val="0"/>
              <w:snapToGrid w:val="0"/>
              <w:jc w:val="center"/>
              <w:rPr>
                <w:color w:val="auto"/>
                <w:szCs w:val="21"/>
              </w:rPr>
            </w:pPr>
            <w:r>
              <w:rPr>
                <w:rFonts w:hint="eastAsia"/>
                <w:color w:val="auto"/>
                <w:spacing w:val="-2"/>
                <w:szCs w:val="21"/>
              </w:rPr>
              <w:t>0</w:t>
            </w:r>
            <w:r>
              <w:rPr>
                <w:color w:val="auto"/>
                <w:spacing w:val="-2"/>
                <w:szCs w:val="21"/>
              </w:rPr>
              <w:t>，-</w:t>
            </w:r>
            <w:r>
              <w:rPr>
                <w:rFonts w:hint="eastAsia"/>
                <w:color w:val="auto"/>
                <w:spacing w:val="-2"/>
                <w:szCs w:val="21"/>
              </w:rPr>
              <w:t>3</w:t>
            </w:r>
          </w:p>
        </w:tc>
        <w:tc>
          <w:tcPr>
            <w:tcW w:w="563" w:type="dxa"/>
            <w:vAlign w:val="center"/>
          </w:tcPr>
          <w:p w14:paraId="1AEC0972">
            <w:pPr>
              <w:pStyle w:val="34"/>
              <w:adjustRightInd w:val="0"/>
              <w:snapToGrid w:val="0"/>
              <w:jc w:val="center"/>
              <w:rPr>
                <w:rFonts w:eastAsia="宋体"/>
                <w:color w:val="auto"/>
                <w:sz w:val="21"/>
                <w:szCs w:val="21"/>
              </w:rPr>
            </w:pPr>
          </w:p>
        </w:tc>
        <w:tc>
          <w:tcPr>
            <w:tcW w:w="962" w:type="dxa"/>
            <w:vAlign w:val="center"/>
          </w:tcPr>
          <w:p w14:paraId="6256D8D0">
            <w:pPr>
              <w:pStyle w:val="34"/>
              <w:adjustRightInd w:val="0"/>
              <w:snapToGrid w:val="0"/>
              <w:jc w:val="center"/>
              <w:rPr>
                <w:rFonts w:eastAsia="宋体"/>
                <w:color w:val="auto"/>
                <w:sz w:val="21"/>
                <w:szCs w:val="21"/>
              </w:rPr>
            </w:pPr>
          </w:p>
        </w:tc>
        <w:tc>
          <w:tcPr>
            <w:tcW w:w="976" w:type="dxa"/>
            <w:vAlign w:val="center"/>
          </w:tcPr>
          <w:p w14:paraId="64EF3500">
            <w:pPr>
              <w:pStyle w:val="34"/>
              <w:adjustRightInd w:val="0"/>
              <w:snapToGrid w:val="0"/>
              <w:jc w:val="center"/>
              <w:rPr>
                <w:rFonts w:eastAsia="宋体"/>
                <w:color w:val="auto"/>
                <w:sz w:val="21"/>
                <w:szCs w:val="21"/>
              </w:rPr>
            </w:pPr>
          </w:p>
        </w:tc>
        <w:tc>
          <w:tcPr>
            <w:tcW w:w="1872" w:type="dxa"/>
            <w:vMerge w:val="continue"/>
            <w:vAlign w:val="center"/>
          </w:tcPr>
          <w:p w14:paraId="5DAACD5B">
            <w:pPr>
              <w:pStyle w:val="34"/>
              <w:adjustRightInd w:val="0"/>
              <w:snapToGrid w:val="0"/>
              <w:jc w:val="center"/>
              <w:rPr>
                <w:rFonts w:eastAsia="宋体"/>
                <w:color w:val="auto"/>
                <w:sz w:val="21"/>
                <w:szCs w:val="21"/>
              </w:rPr>
            </w:pPr>
          </w:p>
        </w:tc>
      </w:tr>
      <w:tr w14:paraId="042DA4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4854E29F">
            <w:pPr>
              <w:pStyle w:val="34"/>
              <w:adjustRightInd w:val="0"/>
              <w:snapToGrid w:val="0"/>
              <w:jc w:val="center"/>
              <w:rPr>
                <w:rFonts w:eastAsia="宋体"/>
                <w:color w:val="auto"/>
                <w:sz w:val="21"/>
                <w:szCs w:val="21"/>
              </w:rPr>
            </w:pPr>
          </w:p>
        </w:tc>
        <w:tc>
          <w:tcPr>
            <w:tcW w:w="861" w:type="dxa"/>
            <w:vMerge w:val="continue"/>
            <w:vAlign w:val="center"/>
          </w:tcPr>
          <w:p w14:paraId="3A5376C6">
            <w:pPr>
              <w:pStyle w:val="34"/>
              <w:adjustRightInd w:val="0"/>
              <w:snapToGrid w:val="0"/>
              <w:jc w:val="center"/>
              <w:rPr>
                <w:rFonts w:eastAsia="宋体"/>
                <w:color w:val="auto"/>
                <w:sz w:val="21"/>
                <w:szCs w:val="21"/>
              </w:rPr>
            </w:pPr>
          </w:p>
        </w:tc>
        <w:tc>
          <w:tcPr>
            <w:tcW w:w="1584" w:type="dxa"/>
            <w:vMerge w:val="continue"/>
            <w:vAlign w:val="center"/>
          </w:tcPr>
          <w:p w14:paraId="6AF07BBF">
            <w:pPr>
              <w:pStyle w:val="34"/>
              <w:adjustRightInd w:val="0"/>
              <w:snapToGrid w:val="0"/>
              <w:jc w:val="center"/>
              <w:rPr>
                <w:rFonts w:eastAsia="宋体"/>
                <w:color w:val="auto"/>
                <w:sz w:val="21"/>
                <w:szCs w:val="21"/>
              </w:rPr>
            </w:pPr>
          </w:p>
        </w:tc>
        <w:tc>
          <w:tcPr>
            <w:tcW w:w="1455" w:type="dxa"/>
            <w:vAlign w:val="center"/>
          </w:tcPr>
          <w:p w14:paraId="44B0C379">
            <w:pPr>
              <w:adjustRightInd w:val="0"/>
              <w:snapToGrid w:val="0"/>
              <w:jc w:val="center"/>
              <w:rPr>
                <w:color w:val="auto"/>
                <w:szCs w:val="21"/>
              </w:rPr>
            </w:pPr>
            <w:r>
              <w:rPr>
                <w:color w:val="auto"/>
                <w:spacing w:val="1"/>
                <w:szCs w:val="21"/>
              </w:rPr>
              <w:t>&gt;6m且≤12m</w:t>
            </w:r>
          </w:p>
        </w:tc>
        <w:tc>
          <w:tcPr>
            <w:tcW w:w="942" w:type="dxa"/>
            <w:vAlign w:val="center"/>
          </w:tcPr>
          <w:p w14:paraId="6A8C861C">
            <w:pPr>
              <w:adjustRightInd w:val="0"/>
              <w:snapToGrid w:val="0"/>
              <w:jc w:val="center"/>
              <w:rPr>
                <w:color w:val="auto"/>
                <w:szCs w:val="21"/>
              </w:rPr>
            </w:pPr>
            <w:r>
              <w:rPr>
                <w:rFonts w:hint="eastAsia"/>
                <w:color w:val="auto"/>
                <w:spacing w:val="-4"/>
                <w:position w:val="2"/>
                <w:szCs w:val="21"/>
              </w:rPr>
              <w:t>0</w:t>
            </w:r>
            <w:r>
              <w:rPr>
                <w:color w:val="auto"/>
                <w:spacing w:val="-2"/>
                <w:szCs w:val="21"/>
              </w:rPr>
              <w:t>，</w:t>
            </w:r>
            <w:r>
              <w:rPr>
                <w:rFonts w:hint="eastAsia"/>
                <w:color w:val="auto"/>
                <w:spacing w:val="-2"/>
                <w:szCs w:val="21"/>
              </w:rPr>
              <w:t>-</w:t>
            </w:r>
            <w:r>
              <w:rPr>
                <w:rFonts w:hint="eastAsia"/>
                <w:color w:val="auto"/>
                <w:spacing w:val="-4"/>
                <w:position w:val="2"/>
                <w:szCs w:val="21"/>
              </w:rPr>
              <w:t>5</w:t>
            </w:r>
          </w:p>
        </w:tc>
        <w:tc>
          <w:tcPr>
            <w:tcW w:w="563" w:type="dxa"/>
            <w:vAlign w:val="center"/>
          </w:tcPr>
          <w:p w14:paraId="1E44288B">
            <w:pPr>
              <w:pStyle w:val="34"/>
              <w:adjustRightInd w:val="0"/>
              <w:snapToGrid w:val="0"/>
              <w:jc w:val="center"/>
              <w:rPr>
                <w:rFonts w:eastAsia="宋体"/>
                <w:color w:val="auto"/>
                <w:sz w:val="21"/>
                <w:szCs w:val="21"/>
              </w:rPr>
            </w:pPr>
          </w:p>
        </w:tc>
        <w:tc>
          <w:tcPr>
            <w:tcW w:w="962" w:type="dxa"/>
            <w:vAlign w:val="center"/>
          </w:tcPr>
          <w:p w14:paraId="15A94CF9">
            <w:pPr>
              <w:pStyle w:val="34"/>
              <w:adjustRightInd w:val="0"/>
              <w:snapToGrid w:val="0"/>
              <w:jc w:val="center"/>
              <w:rPr>
                <w:rFonts w:eastAsia="宋体"/>
                <w:color w:val="auto"/>
                <w:sz w:val="21"/>
                <w:szCs w:val="21"/>
              </w:rPr>
            </w:pPr>
          </w:p>
        </w:tc>
        <w:tc>
          <w:tcPr>
            <w:tcW w:w="976" w:type="dxa"/>
            <w:vAlign w:val="center"/>
          </w:tcPr>
          <w:p w14:paraId="1DEEEC82">
            <w:pPr>
              <w:pStyle w:val="34"/>
              <w:adjustRightInd w:val="0"/>
              <w:snapToGrid w:val="0"/>
              <w:jc w:val="center"/>
              <w:rPr>
                <w:rFonts w:eastAsia="宋体"/>
                <w:color w:val="auto"/>
                <w:sz w:val="21"/>
                <w:szCs w:val="21"/>
              </w:rPr>
            </w:pPr>
          </w:p>
        </w:tc>
        <w:tc>
          <w:tcPr>
            <w:tcW w:w="1872" w:type="dxa"/>
            <w:vMerge w:val="continue"/>
            <w:vAlign w:val="center"/>
          </w:tcPr>
          <w:p w14:paraId="5167A266">
            <w:pPr>
              <w:pStyle w:val="34"/>
              <w:adjustRightInd w:val="0"/>
              <w:snapToGrid w:val="0"/>
              <w:jc w:val="center"/>
              <w:rPr>
                <w:rFonts w:eastAsia="宋体"/>
                <w:color w:val="auto"/>
                <w:sz w:val="21"/>
                <w:szCs w:val="21"/>
              </w:rPr>
            </w:pPr>
          </w:p>
        </w:tc>
      </w:tr>
      <w:tr w14:paraId="5AB8CA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shd w:val="clear" w:color="auto" w:fill="auto"/>
            <w:vAlign w:val="center"/>
          </w:tcPr>
          <w:p w14:paraId="47A26437">
            <w:pPr>
              <w:pStyle w:val="34"/>
              <w:adjustRightInd w:val="0"/>
              <w:snapToGrid w:val="0"/>
              <w:jc w:val="center"/>
              <w:rPr>
                <w:rFonts w:eastAsia="宋体"/>
                <w:color w:val="auto"/>
                <w:sz w:val="21"/>
                <w:szCs w:val="21"/>
              </w:rPr>
            </w:pPr>
          </w:p>
        </w:tc>
        <w:tc>
          <w:tcPr>
            <w:tcW w:w="861" w:type="dxa"/>
            <w:vMerge w:val="continue"/>
            <w:shd w:val="clear" w:color="auto" w:fill="auto"/>
            <w:vAlign w:val="center"/>
          </w:tcPr>
          <w:p w14:paraId="27AEE492">
            <w:pPr>
              <w:pStyle w:val="34"/>
              <w:adjustRightInd w:val="0"/>
              <w:snapToGrid w:val="0"/>
              <w:jc w:val="center"/>
              <w:rPr>
                <w:rFonts w:eastAsia="宋体"/>
                <w:color w:val="auto"/>
                <w:sz w:val="21"/>
                <w:szCs w:val="21"/>
              </w:rPr>
            </w:pPr>
          </w:p>
        </w:tc>
        <w:tc>
          <w:tcPr>
            <w:tcW w:w="1584" w:type="dxa"/>
            <w:shd w:val="clear" w:color="auto" w:fill="FFFFFF"/>
            <w:vAlign w:val="center"/>
          </w:tcPr>
          <w:p w14:paraId="610C919C">
            <w:pPr>
              <w:adjustRightInd w:val="0"/>
              <w:snapToGrid w:val="0"/>
              <w:jc w:val="center"/>
              <w:rPr>
                <w:color w:val="auto"/>
                <w:szCs w:val="21"/>
              </w:rPr>
            </w:pPr>
            <w:r>
              <w:rPr>
                <w:color w:val="auto"/>
                <w:spacing w:val="-3"/>
                <w:szCs w:val="21"/>
              </w:rPr>
              <w:t>宽度</w:t>
            </w:r>
          </w:p>
        </w:tc>
        <w:tc>
          <w:tcPr>
            <w:tcW w:w="1455" w:type="dxa"/>
            <w:vAlign w:val="center"/>
          </w:tcPr>
          <w:p w14:paraId="1E6DA88C">
            <w:pPr>
              <w:adjustRightInd w:val="0"/>
              <w:snapToGrid w:val="0"/>
              <w:jc w:val="center"/>
              <w:rPr>
                <w:color w:val="auto"/>
                <w:szCs w:val="21"/>
              </w:rPr>
            </w:pPr>
            <w:r>
              <w:rPr>
                <w:color w:val="auto"/>
                <w:spacing w:val="-6"/>
                <w:szCs w:val="21"/>
              </w:rPr>
              <w:t>≤6m</w:t>
            </w:r>
          </w:p>
        </w:tc>
        <w:tc>
          <w:tcPr>
            <w:tcW w:w="942" w:type="dxa"/>
            <w:vAlign w:val="center"/>
          </w:tcPr>
          <w:p w14:paraId="61617458">
            <w:pPr>
              <w:adjustRightInd w:val="0"/>
              <w:snapToGrid w:val="0"/>
              <w:jc w:val="center"/>
              <w:rPr>
                <w:color w:val="auto"/>
                <w:szCs w:val="21"/>
              </w:rPr>
            </w:pPr>
            <w:r>
              <w:rPr>
                <w:rFonts w:hint="eastAsia"/>
                <w:color w:val="auto"/>
                <w:spacing w:val="-2"/>
                <w:szCs w:val="21"/>
              </w:rPr>
              <w:t>0</w:t>
            </w:r>
            <w:r>
              <w:rPr>
                <w:color w:val="auto"/>
                <w:spacing w:val="-2"/>
                <w:szCs w:val="21"/>
              </w:rPr>
              <w:t>，-</w:t>
            </w:r>
            <w:r>
              <w:rPr>
                <w:rFonts w:hint="eastAsia"/>
                <w:color w:val="auto"/>
                <w:spacing w:val="-2"/>
                <w:szCs w:val="21"/>
              </w:rPr>
              <w:t>3</w:t>
            </w:r>
          </w:p>
        </w:tc>
        <w:tc>
          <w:tcPr>
            <w:tcW w:w="563" w:type="dxa"/>
            <w:vAlign w:val="center"/>
          </w:tcPr>
          <w:p w14:paraId="1FFE73AC">
            <w:pPr>
              <w:pStyle w:val="34"/>
              <w:adjustRightInd w:val="0"/>
              <w:snapToGrid w:val="0"/>
              <w:jc w:val="center"/>
              <w:rPr>
                <w:rFonts w:eastAsia="宋体"/>
                <w:color w:val="auto"/>
                <w:sz w:val="21"/>
                <w:szCs w:val="21"/>
              </w:rPr>
            </w:pPr>
          </w:p>
        </w:tc>
        <w:tc>
          <w:tcPr>
            <w:tcW w:w="962" w:type="dxa"/>
            <w:vAlign w:val="center"/>
          </w:tcPr>
          <w:p w14:paraId="758F5525">
            <w:pPr>
              <w:pStyle w:val="34"/>
              <w:adjustRightInd w:val="0"/>
              <w:snapToGrid w:val="0"/>
              <w:jc w:val="center"/>
              <w:rPr>
                <w:rFonts w:eastAsia="宋体"/>
                <w:color w:val="auto"/>
                <w:sz w:val="21"/>
                <w:szCs w:val="21"/>
              </w:rPr>
            </w:pPr>
          </w:p>
        </w:tc>
        <w:tc>
          <w:tcPr>
            <w:tcW w:w="976" w:type="dxa"/>
            <w:vAlign w:val="center"/>
          </w:tcPr>
          <w:p w14:paraId="28B3199F">
            <w:pPr>
              <w:pStyle w:val="34"/>
              <w:adjustRightInd w:val="0"/>
              <w:snapToGrid w:val="0"/>
              <w:jc w:val="center"/>
              <w:rPr>
                <w:rFonts w:eastAsia="宋体"/>
                <w:color w:val="auto"/>
                <w:sz w:val="21"/>
                <w:szCs w:val="21"/>
              </w:rPr>
            </w:pPr>
          </w:p>
        </w:tc>
        <w:tc>
          <w:tcPr>
            <w:tcW w:w="1872" w:type="dxa"/>
            <w:vMerge w:val="continue"/>
            <w:vAlign w:val="center"/>
          </w:tcPr>
          <w:p w14:paraId="49570429">
            <w:pPr>
              <w:pStyle w:val="34"/>
              <w:adjustRightInd w:val="0"/>
              <w:snapToGrid w:val="0"/>
              <w:jc w:val="center"/>
              <w:rPr>
                <w:rFonts w:eastAsia="宋体"/>
                <w:color w:val="auto"/>
                <w:sz w:val="21"/>
                <w:szCs w:val="21"/>
              </w:rPr>
            </w:pPr>
          </w:p>
        </w:tc>
      </w:tr>
      <w:tr w14:paraId="38CEC5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shd w:val="clear" w:color="auto" w:fill="auto"/>
            <w:vAlign w:val="center"/>
          </w:tcPr>
          <w:p w14:paraId="2036316B">
            <w:pPr>
              <w:pStyle w:val="34"/>
              <w:adjustRightInd w:val="0"/>
              <w:snapToGrid w:val="0"/>
              <w:jc w:val="center"/>
              <w:rPr>
                <w:rFonts w:eastAsia="宋体"/>
                <w:color w:val="auto"/>
                <w:sz w:val="21"/>
                <w:szCs w:val="21"/>
              </w:rPr>
            </w:pPr>
          </w:p>
        </w:tc>
        <w:tc>
          <w:tcPr>
            <w:tcW w:w="861" w:type="dxa"/>
            <w:vMerge w:val="continue"/>
            <w:shd w:val="clear" w:color="auto" w:fill="auto"/>
            <w:vAlign w:val="center"/>
          </w:tcPr>
          <w:p w14:paraId="04EA961B">
            <w:pPr>
              <w:pStyle w:val="34"/>
              <w:adjustRightInd w:val="0"/>
              <w:snapToGrid w:val="0"/>
              <w:jc w:val="center"/>
              <w:rPr>
                <w:rFonts w:eastAsia="宋体"/>
                <w:color w:val="auto"/>
                <w:sz w:val="21"/>
                <w:szCs w:val="21"/>
              </w:rPr>
            </w:pPr>
          </w:p>
        </w:tc>
        <w:tc>
          <w:tcPr>
            <w:tcW w:w="1584" w:type="dxa"/>
            <w:shd w:val="clear" w:color="auto" w:fill="FFFFFF"/>
            <w:vAlign w:val="center"/>
          </w:tcPr>
          <w:p w14:paraId="1960DD3E">
            <w:pPr>
              <w:adjustRightInd w:val="0"/>
              <w:snapToGrid w:val="0"/>
              <w:jc w:val="center"/>
              <w:rPr>
                <w:color w:val="auto"/>
                <w:szCs w:val="21"/>
              </w:rPr>
            </w:pPr>
            <w:r>
              <w:rPr>
                <w:color w:val="auto"/>
                <w:spacing w:val="-1"/>
                <w:szCs w:val="21"/>
              </w:rPr>
              <w:t>高度</w:t>
            </w:r>
          </w:p>
        </w:tc>
        <w:tc>
          <w:tcPr>
            <w:tcW w:w="1455" w:type="dxa"/>
            <w:vAlign w:val="center"/>
          </w:tcPr>
          <w:p w14:paraId="17C49FD8">
            <w:pPr>
              <w:adjustRightInd w:val="0"/>
              <w:snapToGrid w:val="0"/>
              <w:jc w:val="center"/>
              <w:rPr>
                <w:color w:val="auto"/>
                <w:szCs w:val="21"/>
              </w:rPr>
            </w:pPr>
            <w:r>
              <w:rPr>
                <w:color w:val="auto"/>
                <w:spacing w:val="-6"/>
                <w:szCs w:val="21"/>
              </w:rPr>
              <w:t>≤6m</w:t>
            </w:r>
          </w:p>
        </w:tc>
        <w:tc>
          <w:tcPr>
            <w:tcW w:w="942" w:type="dxa"/>
            <w:vAlign w:val="center"/>
          </w:tcPr>
          <w:p w14:paraId="15CDE36E">
            <w:pPr>
              <w:adjustRightInd w:val="0"/>
              <w:snapToGrid w:val="0"/>
              <w:jc w:val="center"/>
              <w:rPr>
                <w:color w:val="auto"/>
                <w:szCs w:val="21"/>
              </w:rPr>
            </w:pPr>
            <w:r>
              <w:rPr>
                <w:rFonts w:hint="eastAsia"/>
                <w:color w:val="auto"/>
                <w:spacing w:val="-2"/>
                <w:szCs w:val="21"/>
              </w:rPr>
              <w:t>0</w:t>
            </w:r>
            <w:r>
              <w:rPr>
                <w:color w:val="auto"/>
                <w:spacing w:val="-2"/>
                <w:szCs w:val="21"/>
              </w:rPr>
              <w:t>，-</w:t>
            </w:r>
            <w:r>
              <w:rPr>
                <w:rFonts w:hint="eastAsia"/>
                <w:color w:val="auto"/>
                <w:spacing w:val="-2"/>
                <w:szCs w:val="21"/>
              </w:rPr>
              <w:t>3</w:t>
            </w:r>
          </w:p>
        </w:tc>
        <w:tc>
          <w:tcPr>
            <w:tcW w:w="563" w:type="dxa"/>
            <w:vAlign w:val="center"/>
          </w:tcPr>
          <w:p w14:paraId="58C9FF3B">
            <w:pPr>
              <w:pStyle w:val="34"/>
              <w:adjustRightInd w:val="0"/>
              <w:snapToGrid w:val="0"/>
              <w:jc w:val="center"/>
              <w:rPr>
                <w:rFonts w:eastAsia="宋体"/>
                <w:color w:val="auto"/>
                <w:sz w:val="21"/>
                <w:szCs w:val="21"/>
              </w:rPr>
            </w:pPr>
          </w:p>
        </w:tc>
        <w:tc>
          <w:tcPr>
            <w:tcW w:w="962" w:type="dxa"/>
            <w:vAlign w:val="center"/>
          </w:tcPr>
          <w:p w14:paraId="20F7DDBB">
            <w:pPr>
              <w:pStyle w:val="34"/>
              <w:adjustRightInd w:val="0"/>
              <w:snapToGrid w:val="0"/>
              <w:jc w:val="center"/>
              <w:rPr>
                <w:rFonts w:eastAsia="宋体"/>
                <w:color w:val="auto"/>
                <w:sz w:val="21"/>
                <w:szCs w:val="21"/>
              </w:rPr>
            </w:pPr>
          </w:p>
        </w:tc>
        <w:tc>
          <w:tcPr>
            <w:tcW w:w="976" w:type="dxa"/>
            <w:vAlign w:val="center"/>
          </w:tcPr>
          <w:p w14:paraId="28AC4203">
            <w:pPr>
              <w:pStyle w:val="34"/>
              <w:adjustRightInd w:val="0"/>
              <w:snapToGrid w:val="0"/>
              <w:jc w:val="center"/>
              <w:rPr>
                <w:rFonts w:eastAsia="宋体"/>
                <w:color w:val="auto"/>
                <w:sz w:val="21"/>
                <w:szCs w:val="21"/>
              </w:rPr>
            </w:pPr>
          </w:p>
        </w:tc>
        <w:tc>
          <w:tcPr>
            <w:tcW w:w="1872" w:type="dxa"/>
            <w:vMerge w:val="continue"/>
            <w:vAlign w:val="center"/>
          </w:tcPr>
          <w:p w14:paraId="710589E6">
            <w:pPr>
              <w:pStyle w:val="34"/>
              <w:adjustRightInd w:val="0"/>
              <w:snapToGrid w:val="0"/>
              <w:jc w:val="center"/>
              <w:rPr>
                <w:rFonts w:eastAsia="宋体"/>
                <w:color w:val="auto"/>
                <w:sz w:val="21"/>
                <w:szCs w:val="21"/>
              </w:rPr>
            </w:pPr>
          </w:p>
        </w:tc>
      </w:tr>
      <w:tr w14:paraId="283748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6DD06BB4">
            <w:pPr>
              <w:pStyle w:val="34"/>
              <w:adjustRightInd w:val="0"/>
              <w:snapToGrid w:val="0"/>
              <w:jc w:val="center"/>
              <w:rPr>
                <w:rFonts w:eastAsia="宋体"/>
                <w:color w:val="auto"/>
                <w:sz w:val="21"/>
                <w:szCs w:val="21"/>
              </w:rPr>
            </w:pPr>
          </w:p>
        </w:tc>
        <w:tc>
          <w:tcPr>
            <w:tcW w:w="861" w:type="dxa"/>
            <w:vMerge w:val="continue"/>
            <w:vAlign w:val="center"/>
          </w:tcPr>
          <w:p w14:paraId="49E85BEE">
            <w:pPr>
              <w:pStyle w:val="34"/>
              <w:adjustRightInd w:val="0"/>
              <w:snapToGrid w:val="0"/>
              <w:jc w:val="center"/>
              <w:rPr>
                <w:rFonts w:eastAsia="宋体"/>
                <w:color w:val="auto"/>
                <w:sz w:val="21"/>
                <w:szCs w:val="21"/>
              </w:rPr>
            </w:pPr>
          </w:p>
        </w:tc>
        <w:tc>
          <w:tcPr>
            <w:tcW w:w="3039" w:type="dxa"/>
            <w:gridSpan w:val="2"/>
            <w:vAlign w:val="center"/>
          </w:tcPr>
          <w:p w14:paraId="7C852655">
            <w:pPr>
              <w:adjustRightInd w:val="0"/>
              <w:snapToGrid w:val="0"/>
              <w:jc w:val="center"/>
              <w:rPr>
                <w:color w:val="auto"/>
                <w:spacing w:val="2"/>
                <w:szCs w:val="21"/>
              </w:rPr>
            </w:pPr>
            <w:r>
              <w:rPr>
                <w:rFonts w:hint="eastAsia"/>
                <w:color w:val="auto"/>
                <w:spacing w:val="2"/>
                <w:szCs w:val="21"/>
              </w:rPr>
              <w:t>垂直度</w:t>
            </w:r>
          </w:p>
        </w:tc>
        <w:tc>
          <w:tcPr>
            <w:tcW w:w="942" w:type="dxa"/>
            <w:vAlign w:val="center"/>
          </w:tcPr>
          <w:p w14:paraId="66556ADC">
            <w:pPr>
              <w:adjustRightInd w:val="0"/>
              <w:snapToGrid w:val="0"/>
              <w:jc w:val="center"/>
              <w:rPr>
                <w:color w:val="auto"/>
                <w:spacing w:val="2"/>
                <w:position w:val="2"/>
                <w:szCs w:val="21"/>
              </w:rPr>
            </w:pPr>
            <w:r>
              <w:rPr>
                <w:rFonts w:hint="eastAsia"/>
                <w:color w:val="auto"/>
                <w:spacing w:val="2"/>
                <w:position w:val="2"/>
                <w:szCs w:val="21"/>
              </w:rPr>
              <w:t>2</w:t>
            </w:r>
          </w:p>
        </w:tc>
        <w:tc>
          <w:tcPr>
            <w:tcW w:w="563" w:type="dxa"/>
            <w:vAlign w:val="center"/>
          </w:tcPr>
          <w:p w14:paraId="483E3908">
            <w:pPr>
              <w:pStyle w:val="34"/>
              <w:adjustRightInd w:val="0"/>
              <w:snapToGrid w:val="0"/>
              <w:jc w:val="center"/>
              <w:rPr>
                <w:rFonts w:eastAsia="宋体"/>
                <w:color w:val="auto"/>
                <w:sz w:val="21"/>
                <w:szCs w:val="21"/>
              </w:rPr>
            </w:pPr>
          </w:p>
        </w:tc>
        <w:tc>
          <w:tcPr>
            <w:tcW w:w="962" w:type="dxa"/>
            <w:vAlign w:val="center"/>
          </w:tcPr>
          <w:p w14:paraId="306F7B7B">
            <w:pPr>
              <w:pStyle w:val="34"/>
              <w:adjustRightInd w:val="0"/>
              <w:snapToGrid w:val="0"/>
              <w:jc w:val="center"/>
              <w:rPr>
                <w:rFonts w:eastAsia="宋体"/>
                <w:color w:val="auto"/>
                <w:sz w:val="21"/>
                <w:szCs w:val="21"/>
              </w:rPr>
            </w:pPr>
          </w:p>
        </w:tc>
        <w:tc>
          <w:tcPr>
            <w:tcW w:w="976" w:type="dxa"/>
            <w:vAlign w:val="center"/>
          </w:tcPr>
          <w:p w14:paraId="66EF008B">
            <w:pPr>
              <w:pStyle w:val="34"/>
              <w:adjustRightInd w:val="0"/>
              <w:snapToGrid w:val="0"/>
              <w:jc w:val="center"/>
              <w:rPr>
                <w:rFonts w:eastAsia="宋体"/>
                <w:color w:val="auto"/>
                <w:sz w:val="21"/>
                <w:szCs w:val="21"/>
              </w:rPr>
            </w:pPr>
          </w:p>
        </w:tc>
        <w:tc>
          <w:tcPr>
            <w:tcW w:w="1872" w:type="dxa"/>
            <w:vMerge w:val="continue"/>
            <w:vAlign w:val="center"/>
          </w:tcPr>
          <w:p w14:paraId="7805816D">
            <w:pPr>
              <w:pStyle w:val="34"/>
              <w:adjustRightInd w:val="0"/>
              <w:snapToGrid w:val="0"/>
              <w:jc w:val="center"/>
              <w:rPr>
                <w:rFonts w:eastAsia="宋体"/>
                <w:color w:val="auto"/>
                <w:sz w:val="21"/>
                <w:szCs w:val="21"/>
              </w:rPr>
            </w:pPr>
          </w:p>
        </w:tc>
      </w:tr>
      <w:tr w14:paraId="14039E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1BF757A8">
            <w:pPr>
              <w:pStyle w:val="34"/>
              <w:adjustRightInd w:val="0"/>
              <w:snapToGrid w:val="0"/>
              <w:jc w:val="center"/>
              <w:rPr>
                <w:rFonts w:eastAsia="宋体"/>
                <w:color w:val="auto"/>
                <w:sz w:val="21"/>
                <w:szCs w:val="21"/>
              </w:rPr>
            </w:pPr>
          </w:p>
        </w:tc>
        <w:tc>
          <w:tcPr>
            <w:tcW w:w="861" w:type="dxa"/>
            <w:vMerge w:val="continue"/>
            <w:vAlign w:val="center"/>
          </w:tcPr>
          <w:p w14:paraId="60676D78">
            <w:pPr>
              <w:pStyle w:val="34"/>
              <w:adjustRightInd w:val="0"/>
              <w:snapToGrid w:val="0"/>
              <w:jc w:val="center"/>
              <w:rPr>
                <w:rFonts w:eastAsia="宋体"/>
                <w:color w:val="auto"/>
                <w:sz w:val="21"/>
                <w:szCs w:val="21"/>
              </w:rPr>
            </w:pPr>
          </w:p>
        </w:tc>
        <w:tc>
          <w:tcPr>
            <w:tcW w:w="3039" w:type="dxa"/>
            <w:gridSpan w:val="2"/>
            <w:vAlign w:val="center"/>
          </w:tcPr>
          <w:p w14:paraId="528144B7">
            <w:pPr>
              <w:adjustRightInd w:val="0"/>
              <w:snapToGrid w:val="0"/>
              <w:jc w:val="center"/>
              <w:rPr>
                <w:color w:val="auto"/>
                <w:szCs w:val="21"/>
              </w:rPr>
            </w:pPr>
            <w:r>
              <w:rPr>
                <w:color w:val="auto"/>
                <w:spacing w:val="2"/>
                <w:szCs w:val="21"/>
              </w:rPr>
              <w:t>对角线差</w:t>
            </w:r>
          </w:p>
        </w:tc>
        <w:tc>
          <w:tcPr>
            <w:tcW w:w="942" w:type="dxa"/>
            <w:vAlign w:val="center"/>
          </w:tcPr>
          <w:p w14:paraId="20F9769F">
            <w:pPr>
              <w:adjustRightInd w:val="0"/>
              <w:snapToGrid w:val="0"/>
              <w:jc w:val="center"/>
              <w:rPr>
                <w:color w:val="auto"/>
                <w:szCs w:val="21"/>
              </w:rPr>
            </w:pPr>
            <w:r>
              <w:rPr>
                <w:color w:val="auto"/>
                <w:spacing w:val="2"/>
                <w:position w:val="2"/>
                <w:szCs w:val="21"/>
              </w:rPr>
              <w:t>3</w:t>
            </w:r>
          </w:p>
        </w:tc>
        <w:tc>
          <w:tcPr>
            <w:tcW w:w="563" w:type="dxa"/>
            <w:vAlign w:val="center"/>
          </w:tcPr>
          <w:p w14:paraId="244AC32E">
            <w:pPr>
              <w:pStyle w:val="34"/>
              <w:adjustRightInd w:val="0"/>
              <w:snapToGrid w:val="0"/>
              <w:jc w:val="center"/>
              <w:rPr>
                <w:rFonts w:eastAsia="宋体"/>
                <w:color w:val="auto"/>
                <w:sz w:val="21"/>
                <w:szCs w:val="21"/>
              </w:rPr>
            </w:pPr>
          </w:p>
        </w:tc>
        <w:tc>
          <w:tcPr>
            <w:tcW w:w="962" w:type="dxa"/>
            <w:vAlign w:val="center"/>
          </w:tcPr>
          <w:p w14:paraId="2ABCBB50">
            <w:pPr>
              <w:pStyle w:val="34"/>
              <w:adjustRightInd w:val="0"/>
              <w:snapToGrid w:val="0"/>
              <w:jc w:val="center"/>
              <w:rPr>
                <w:rFonts w:eastAsia="宋体"/>
                <w:color w:val="auto"/>
                <w:sz w:val="21"/>
                <w:szCs w:val="21"/>
              </w:rPr>
            </w:pPr>
          </w:p>
        </w:tc>
        <w:tc>
          <w:tcPr>
            <w:tcW w:w="976" w:type="dxa"/>
            <w:vAlign w:val="center"/>
          </w:tcPr>
          <w:p w14:paraId="1F669EAC">
            <w:pPr>
              <w:pStyle w:val="34"/>
              <w:adjustRightInd w:val="0"/>
              <w:snapToGrid w:val="0"/>
              <w:jc w:val="center"/>
              <w:rPr>
                <w:rFonts w:eastAsia="宋体"/>
                <w:color w:val="auto"/>
                <w:sz w:val="21"/>
                <w:szCs w:val="21"/>
              </w:rPr>
            </w:pPr>
          </w:p>
        </w:tc>
        <w:tc>
          <w:tcPr>
            <w:tcW w:w="1872" w:type="dxa"/>
            <w:vMerge w:val="continue"/>
            <w:vAlign w:val="center"/>
          </w:tcPr>
          <w:p w14:paraId="423A23FD">
            <w:pPr>
              <w:pStyle w:val="34"/>
              <w:adjustRightInd w:val="0"/>
              <w:snapToGrid w:val="0"/>
              <w:jc w:val="center"/>
              <w:rPr>
                <w:rFonts w:eastAsia="宋体"/>
                <w:color w:val="auto"/>
                <w:sz w:val="21"/>
                <w:szCs w:val="21"/>
              </w:rPr>
            </w:pPr>
          </w:p>
        </w:tc>
      </w:tr>
      <w:tr w14:paraId="4D38C0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721F421D">
            <w:pPr>
              <w:pStyle w:val="34"/>
              <w:adjustRightInd w:val="0"/>
              <w:snapToGrid w:val="0"/>
              <w:jc w:val="center"/>
              <w:rPr>
                <w:rFonts w:eastAsia="宋体"/>
                <w:color w:val="auto"/>
                <w:sz w:val="21"/>
                <w:szCs w:val="21"/>
              </w:rPr>
            </w:pPr>
          </w:p>
        </w:tc>
        <w:tc>
          <w:tcPr>
            <w:tcW w:w="861" w:type="dxa"/>
            <w:vMerge w:val="continue"/>
            <w:vAlign w:val="center"/>
          </w:tcPr>
          <w:p w14:paraId="43272E88">
            <w:pPr>
              <w:pStyle w:val="34"/>
              <w:adjustRightInd w:val="0"/>
              <w:snapToGrid w:val="0"/>
              <w:jc w:val="center"/>
              <w:rPr>
                <w:rFonts w:eastAsia="宋体"/>
                <w:color w:val="auto"/>
                <w:sz w:val="21"/>
                <w:szCs w:val="21"/>
              </w:rPr>
            </w:pPr>
          </w:p>
        </w:tc>
        <w:tc>
          <w:tcPr>
            <w:tcW w:w="3039" w:type="dxa"/>
            <w:gridSpan w:val="2"/>
            <w:vAlign w:val="center"/>
          </w:tcPr>
          <w:p w14:paraId="35B9214A">
            <w:pPr>
              <w:adjustRightInd w:val="0"/>
              <w:snapToGrid w:val="0"/>
              <w:jc w:val="center"/>
              <w:rPr>
                <w:color w:val="auto"/>
                <w:szCs w:val="21"/>
              </w:rPr>
            </w:pPr>
            <w:r>
              <w:rPr>
                <w:color w:val="auto"/>
                <w:spacing w:val="2"/>
                <w:szCs w:val="21"/>
              </w:rPr>
              <w:t>侧向弯曲</w:t>
            </w:r>
          </w:p>
        </w:tc>
        <w:tc>
          <w:tcPr>
            <w:tcW w:w="942" w:type="dxa"/>
            <w:vAlign w:val="center"/>
          </w:tcPr>
          <w:p w14:paraId="601F2B1D">
            <w:pPr>
              <w:adjustRightInd w:val="0"/>
              <w:snapToGrid w:val="0"/>
              <w:jc w:val="center"/>
              <w:rPr>
                <w:color w:val="auto"/>
                <w:szCs w:val="21"/>
              </w:rPr>
            </w:pPr>
            <w:r>
              <w:rPr>
                <w:i/>
                <w:iCs/>
                <w:color w:val="auto"/>
                <w:szCs w:val="21"/>
              </w:rPr>
              <w:t>l</w:t>
            </w:r>
            <w:r>
              <w:rPr>
                <w:color w:val="auto"/>
                <w:szCs w:val="21"/>
              </w:rPr>
              <w:t>/1500且≤5</w:t>
            </w:r>
          </w:p>
        </w:tc>
        <w:tc>
          <w:tcPr>
            <w:tcW w:w="563" w:type="dxa"/>
            <w:vAlign w:val="center"/>
          </w:tcPr>
          <w:p w14:paraId="10E60215">
            <w:pPr>
              <w:pStyle w:val="34"/>
              <w:adjustRightInd w:val="0"/>
              <w:snapToGrid w:val="0"/>
              <w:jc w:val="center"/>
              <w:rPr>
                <w:rFonts w:eastAsia="宋体"/>
                <w:color w:val="auto"/>
                <w:sz w:val="21"/>
                <w:szCs w:val="21"/>
              </w:rPr>
            </w:pPr>
          </w:p>
        </w:tc>
        <w:tc>
          <w:tcPr>
            <w:tcW w:w="962" w:type="dxa"/>
            <w:vAlign w:val="center"/>
          </w:tcPr>
          <w:p w14:paraId="7B2FB4C8">
            <w:pPr>
              <w:pStyle w:val="34"/>
              <w:adjustRightInd w:val="0"/>
              <w:snapToGrid w:val="0"/>
              <w:jc w:val="center"/>
              <w:rPr>
                <w:rFonts w:eastAsia="宋体"/>
                <w:color w:val="auto"/>
                <w:sz w:val="21"/>
                <w:szCs w:val="21"/>
              </w:rPr>
            </w:pPr>
          </w:p>
        </w:tc>
        <w:tc>
          <w:tcPr>
            <w:tcW w:w="976" w:type="dxa"/>
            <w:vAlign w:val="center"/>
          </w:tcPr>
          <w:p w14:paraId="2B5F7912">
            <w:pPr>
              <w:pStyle w:val="34"/>
              <w:adjustRightInd w:val="0"/>
              <w:snapToGrid w:val="0"/>
              <w:jc w:val="center"/>
              <w:rPr>
                <w:rFonts w:eastAsia="宋体"/>
                <w:color w:val="auto"/>
                <w:sz w:val="21"/>
                <w:szCs w:val="21"/>
              </w:rPr>
            </w:pPr>
          </w:p>
        </w:tc>
        <w:tc>
          <w:tcPr>
            <w:tcW w:w="1872" w:type="dxa"/>
            <w:vMerge w:val="continue"/>
            <w:vAlign w:val="center"/>
          </w:tcPr>
          <w:p w14:paraId="322FF4E2">
            <w:pPr>
              <w:pStyle w:val="34"/>
              <w:adjustRightInd w:val="0"/>
              <w:snapToGrid w:val="0"/>
              <w:jc w:val="center"/>
              <w:rPr>
                <w:rFonts w:eastAsia="宋体"/>
                <w:color w:val="auto"/>
                <w:sz w:val="21"/>
                <w:szCs w:val="21"/>
              </w:rPr>
            </w:pPr>
          </w:p>
        </w:tc>
      </w:tr>
      <w:tr w14:paraId="126FB9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77E1861E">
            <w:pPr>
              <w:pStyle w:val="34"/>
              <w:adjustRightInd w:val="0"/>
              <w:snapToGrid w:val="0"/>
              <w:jc w:val="center"/>
              <w:rPr>
                <w:rFonts w:eastAsia="宋体"/>
                <w:color w:val="auto"/>
                <w:sz w:val="21"/>
                <w:szCs w:val="21"/>
              </w:rPr>
            </w:pPr>
          </w:p>
        </w:tc>
        <w:tc>
          <w:tcPr>
            <w:tcW w:w="861" w:type="dxa"/>
            <w:vMerge w:val="continue"/>
            <w:vAlign w:val="center"/>
          </w:tcPr>
          <w:p w14:paraId="1E95CF86">
            <w:pPr>
              <w:pStyle w:val="34"/>
              <w:adjustRightInd w:val="0"/>
              <w:snapToGrid w:val="0"/>
              <w:jc w:val="center"/>
              <w:rPr>
                <w:rFonts w:eastAsia="宋体"/>
                <w:color w:val="auto"/>
                <w:sz w:val="21"/>
                <w:szCs w:val="21"/>
              </w:rPr>
            </w:pPr>
          </w:p>
        </w:tc>
        <w:tc>
          <w:tcPr>
            <w:tcW w:w="3039" w:type="dxa"/>
            <w:gridSpan w:val="2"/>
            <w:vAlign w:val="center"/>
          </w:tcPr>
          <w:p w14:paraId="4E8B1612">
            <w:pPr>
              <w:adjustRightInd w:val="0"/>
              <w:snapToGrid w:val="0"/>
              <w:jc w:val="center"/>
              <w:rPr>
                <w:color w:val="auto"/>
                <w:szCs w:val="21"/>
              </w:rPr>
            </w:pPr>
            <w:r>
              <w:rPr>
                <w:color w:val="auto"/>
                <w:spacing w:val="1"/>
                <w:szCs w:val="21"/>
              </w:rPr>
              <w:t>翘曲</w:t>
            </w:r>
          </w:p>
        </w:tc>
        <w:tc>
          <w:tcPr>
            <w:tcW w:w="942" w:type="dxa"/>
            <w:vAlign w:val="center"/>
          </w:tcPr>
          <w:p w14:paraId="4BD46F02">
            <w:pPr>
              <w:adjustRightInd w:val="0"/>
              <w:snapToGrid w:val="0"/>
              <w:jc w:val="center"/>
              <w:rPr>
                <w:color w:val="auto"/>
                <w:szCs w:val="21"/>
              </w:rPr>
            </w:pPr>
            <w:r>
              <w:rPr>
                <w:i/>
                <w:iCs/>
                <w:color w:val="auto"/>
                <w:szCs w:val="21"/>
              </w:rPr>
              <w:t>l</w:t>
            </w:r>
            <w:r>
              <w:rPr>
                <w:color w:val="auto"/>
                <w:szCs w:val="21"/>
              </w:rPr>
              <w:t>/1500</w:t>
            </w:r>
          </w:p>
        </w:tc>
        <w:tc>
          <w:tcPr>
            <w:tcW w:w="563" w:type="dxa"/>
            <w:vAlign w:val="center"/>
          </w:tcPr>
          <w:p w14:paraId="3CC3D49E">
            <w:pPr>
              <w:pStyle w:val="34"/>
              <w:adjustRightInd w:val="0"/>
              <w:snapToGrid w:val="0"/>
              <w:jc w:val="center"/>
              <w:rPr>
                <w:rFonts w:eastAsia="宋体"/>
                <w:color w:val="auto"/>
                <w:sz w:val="21"/>
                <w:szCs w:val="21"/>
              </w:rPr>
            </w:pPr>
          </w:p>
        </w:tc>
        <w:tc>
          <w:tcPr>
            <w:tcW w:w="962" w:type="dxa"/>
            <w:vAlign w:val="center"/>
          </w:tcPr>
          <w:p w14:paraId="4E47DDA2">
            <w:pPr>
              <w:pStyle w:val="34"/>
              <w:adjustRightInd w:val="0"/>
              <w:snapToGrid w:val="0"/>
              <w:jc w:val="center"/>
              <w:rPr>
                <w:rFonts w:eastAsia="宋体"/>
                <w:color w:val="auto"/>
                <w:sz w:val="21"/>
                <w:szCs w:val="21"/>
              </w:rPr>
            </w:pPr>
          </w:p>
        </w:tc>
        <w:tc>
          <w:tcPr>
            <w:tcW w:w="976" w:type="dxa"/>
            <w:vAlign w:val="center"/>
          </w:tcPr>
          <w:p w14:paraId="65F4FE06">
            <w:pPr>
              <w:pStyle w:val="34"/>
              <w:adjustRightInd w:val="0"/>
              <w:snapToGrid w:val="0"/>
              <w:jc w:val="center"/>
              <w:rPr>
                <w:rFonts w:eastAsia="宋体"/>
                <w:color w:val="auto"/>
                <w:sz w:val="21"/>
                <w:szCs w:val="21"/>
              </w:rPr>
            </w:pPr>
          </w:p>
        </w:tc>
        <w:tc>
          <w:tcPr>
            <w:tcW w:w="1872" w:type="dxa"/>
            <w:vMerge w:val="continue"/>
            <w:vAlign w:val="center"/>
          </w:tcPr>
          <w:p w14:paraId="29776517">
            <w:pPr>
              <w:pStyle w:val="34"/>
              <w:adjustRightInd w:val="0"/>
              <w:snapToGrid w:val="0"/>
              <w:jc w:val="center"/>
              <w:rPr>
                <w:rFonts w:eastAsia="宋体"/>
                <w:color w:val="auto"/>
                <w:sz w:val="21"/>
                <w:szCs w:val="21"/>
              </w:rPr>
            </w:pPr>
          </w:p>
        </w:tc>
      </w:tr>
      <w:tr w14:paraId="2F271B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0D7A9F7B">
            <w:pPr>
              <w:pStyle w:val="34"/>
              <w:adjustRightInd w:val="0"/>
              <w:snapToGrid w:val="0"/>
              <w:jc w:val="center"/>
              <w:rPr>
                <w:rFonts w:eastAsia="宋体"/>
                <w:color w:val="auto"/>
                <w:sz w:val="21"/>
                <w:szCs w:val="21"/>
              </w:rPr>
            </w:pPr>
          </w:p>
        </w:tc>
        <w:tc>
          <w:tcPr>
            <w:tcW w:w="861" w:type="dxa"/>
            <w:vMerge w:val="continue"/>
            <w:vAlign w:val="center"/>
          </w:tcPr>
          <w:p w14:paraId="62BA6756">
            <w:pPr>
              <w:pStyle w:val="34"/>
              <w:adjustRightInd w:val="0"/>
              <w:snapToGrid w:val="0"/>
              <w:jc w:val="center"/>
              <w:rPr>
                <w:rFonts w:eastAsia="宋体"/>
                <w:color w:val="auto"/>
                <w:sz w:val="21"/>
                <w:szCs w:val="21"/>
              </w:rPr>
            </w:pPr>
          </w:p>
        </w:tc>
        <w:tc>
          <w:tcPr>
            <w:tcW w:w="3039" w:type="dxa"/>
            <w:gridSpan w:val="2"/>
            <w:vAlign w:val="center"/>
          </w:tcPr>
          <w:p w14:paraId="5BDACF46">
            <w:pPr>
              <w:adjustRightInd w:val="0"/>
              <w:snapToGrid w:val="0"/>
              <w:jc w:val="center"/>
              <w:rPr>
                <w:color w:val="auto"/>
                <w:szCs w:val="21"/>
              </w:rPr>
            </w:pPr>
            <w:r>
              <w:rPr>
                <w:color w:val="auto"/>
                <w:spacing w:val="3"/>
                <w:szCs w:val="21"/>
              </w:rPr>
              <w:t>底模表面平整度</w:t>
            </w:r>
          </w:p>
        </w:tc>
        <w:tc>
          <w:tcPr>
            <w:tcW w:w="942" w:type="dxa"/>
            <w:vAlign w:val="center"/>
          </w:tcPr>
          <w:p w14:paraId="7E98FFB2">
            <w:pPr>
              <w:adjustRightInd w:val="0"/>
              <w:snapToGrid w:val="0"/>
              <w:jc w:val="center"/>
              <w:rPr>
                <w:color w:val="auto"/>
                <w:szCs w:val="21"/>
              </w:rPr>
            </w:pPr>
            <w:r>
              <w:rPr>
                <w:color w:val="auto"/>
                <w:spacing w:val="1"/>
                <w:szCs w:val="21"/>
              </w:rPr>
              <w:t>2</w:t>
            </w:r>
          </w:p>
        </w:tc>
        <w:tc>
          <w:tcPr>
            <w:tcW w:w="563" w:type="dxa"/>
            <w:vAlign w:val="center"/>
          </w:tcPr>
          <w:p w14:paraId="662526C3">
            <w:pPr>
              <w:pStyle w:val="34"/>
              <w:adjustRightInd w:val="0"/>
              <w:snapToGrid w:val="0"/>
              <w:jc w:val="center"/>
              <w:rPr>
                <w:rFonts w:eastAsia="宋体"/>
                <w:color w:val="auto"/>
                <w:sz w:val="21"/>
                <w:szCs w:val="21"/>
              </w:rPr>
            </w:pPr>
          </w:p>
        </w:tc>
        <w:tc>
          <w:tcPr>
            <w:tcW w:w="962" w:type="dxa"/>
            <w:vAlign w:val="center"/>
          </w:tcPr>
          <w:p w14:paraId="3056E7F4">
            <w:pPr>
              <w:pStyle w:val="34"/>
              <w:adjustRightInd w:val="0"/>
              <w:snapToGrid w:val="0"/>
              <w:jc w:val="center"/>
              <w:rPr>
                <w:rFonts w:eastAsia="宋体"/>
                <w:color w:val="auto"/>
                <w:sz w:val="21"/>
                <w:szCs w:val="21"/>
              </w:rPr>
            </w:pPr>
          </w:p>
        </w:tc>
        <w:tc>
          <w:tcPr>
            <w:tcW w:w="976" w:type="dxa"/>
            <w:vAlign w:val="center"/>
          </w:tcPr>
          <w:p w14:paraId="1D14FF9E">
            <w:pPr>
              <w:pStyle w:val="34"/>
              <w:adjustRightInd w:val="0"/>
              <w:snapToGrid w:val="0"/>
              <w:jc w:val="center"/>
              <w:rPr>
                <w:rFonts w:eastAsia="宋体"/>
                <w:color w:val="auto"/>
                <w:sz w:val="21"/>
                <w:szCs w:val="21"/>
              </w:rPr>
            </w:pPr>
          </w:p>
        </w:tc>
        <w:tc>
          <w:tcPr>
            <w:tcW w:w="1872" w:type="dxa"/>
            <w:vMerge w:val="continue"/>
            <w:vAlign w:val="center"/>
          </w:tcPr>
          <w:p w14:paraId="24503994">
            <w:pPr>
              <w:pStyle w:val="34"/>
              <w:adjustRightInd w:val="0"/>
              <w:snapToGrid w:val="0"/>
              <w:jc w:val="center"/>
              <w:rPr>
                <w:rFonts w:eastAsia="宋体"/>
                <w:color w:val="auto"/>
                <w:sz w:val="21"/>
                <w:szCs w:val="21"/>
              </w:rPr>
            </w:pPr>
          </w:p>
        </w:tc>
      </w:tr>
      <w:tr w14:paraId="23D9B4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46" w:type="dxa"/>
            <w:vMerge w:val="continue"/>
            <w:vAlign w:val="center"/>
          </w:tcPr>
          <w:p w14:paraId="138D783F">
            <w:pPr>
              <w:pStyle w:val="34"/>
              <w:adjustRightInd w:val="0"/>
              <w:snapToGrid w:val="0"/>
              <w:jc w:val="center"/>
              <w:rPr>
                <w:rFonts w:eastAsia="宋体"/>
                <w:color w:val="auto"/>
                <w:sz w:val="21"/>
                <w:szCs w:val="21"/>
              </w:rPr>
            </w:pPr>
          </w:p>
        </w:tc>
        <w:tc>
          <w:tcPr>
            <w:tcW w:w="861" w:type="dxa"/>
            <w:vMerge w:val="continue"/>
            <w:vAlign w:val="center"/>
          </w:tcPr>
          <w:p w14:paraId="1512BF41">
            <w:pPr>
              <w:pStyle w:val="34"/>
              <w:adjustRightInd w:val="0"/>
              <w:snapToGrid w:val="0"/>
              <w:jc w:val="center"/>
              <w:rPr>
                <w:rFonts w:eastAsia="宋体"/>
                <w:color w:val="auto"/>
                <w:sz w:val="21"/>
                <w:szCs w:val="21"/>
              </w:rPr>
            </w:pPr>
          </w:p>
        </w:tc>
        <w:tc>
          <w:tcPr>
            <w:tcW w:w="3039" w:type="dxa"/>
            <w:gridSpan w:val="2"/>
            <w:vAlign w:val="center"/>
          </w:tcPr>
          <w:p w14:paraId="127EB9CF">
            <w:pPr>
              <w:adjustRightInd w:val="0"/>
              <w:snapToGrid w:val="0"/>
              <w:jc w:val="center"/>
              <w:rPr>
                <w:color w:val="auto"/>
                <w:spacing w:val="3"/>
                <w:szCs w:val="21"/>
              </w:rPr>
            </w:pPr>
            <w:r>
              <w:rPr>
                <w:color w:val="auto"/>
                <w:spacing w:val="2"/>
                <w:szCs w:val="21"/>
              </w:rPr>
              <w:t>组装缝隙</w:t>
            </w:r>
          </w:p>
        </w:tc>
        <w:tc>
          <w:tcPr>
            <w:tcW w:w="942" w:type="dxa"/>
            <w:vAlign w:val="center"/>
          </w:tcPr>
          <w:p w14:paraId="59EF153D">
            <w:pPr>
              <w:adjustRightInd w:val="0"/>
              <w:snapToGrid w:val="0"/>
              <w:jc w:val="center"/>
              <w:rPr>
                <w:color w:val="auto"/>
                <w:spacing w:val="1"/>
                <w:szCs w:val="21"/>
              </w:rPr>
            </w:pPr>
            <w:r>
              <w:rPr>
                <w:color w:val="auto"/>
                <w:spacing w:val="4"/>
                <w:szCs w:val="21"/>
              </w:rPr>
              <w:t>1</w:t>
            </w:r>
          </w:p>
        </w:tc>
        <w:tc>
          <w:tcPr>
            <w:tcW w:w="563" w:type="dxa"/>
            <w:vAlign w:val="center"/>
          </w:tcPr>
          <w:p w14:paraId="15BBEA29">
            <w:pPr>
              <w:pStyle w:val="34"/>
              <w:adjustRightInd w:val="0"/>
              <w:snapToGrid w:val="0"/>
              <w:jc w:val="center"/>
              <w:rPr>
                <w:rFonts w:eastAsia="宋体"/>
                <w:color w:val="auto"/>
                <w:sz w:val="21"/>
                <w:szCs w:val="21"/>
              </w:rPr>
            </w:pPr>
          </w:p>
        </w:tc>
        <w:tc>
          <w:tcPr>
            <w:tcW w:w="962" w:type="dxa"/>
            <w:vAlign w:val="center"/>
          </w:tcPr>
          <w:p w14:paraId="7F75C812">
            <w:pPr>
              <w:pStyle w:val="34"/>
              <w:adjustRightInd w:val="0"/>
              <w:snapToGrid w:val="0"/>
              <w:jc w:val="center"/>
              <w:rPr>
                <w:rFonts w:eastAsia="宋体"/>
                <w:color w:val="auto"/>
                <w:sz w:val="21"/>
                <w:szCs w:val="21"/>
              </w:rPr>
            </w:pPr>
          </w:p>
        </w:tc>
        <w:tc>
          <w:tcPr>
            <w:tcW w:w="976" w:type="dxa"/>
            <w:vAlign w:val="center"/>
          </w:tcPr>
          <w:p w14:paraId="3AC390FD">
            <w:pPr>
              <w:pStyle w:val="34"/>
              <w:adjustRightInd w:val="0"/>
              <w:snapToGrid w:val="0"/>
              <w:jc w:val="center"/>
              <w:rPr>
                <w:rFonts w:eastAsia="宋体"/>
                <w:color w:val="auto"/>
                <w:sz w:val="21"/>
                <w:szCs w:val="21"/>
              </w:rPr>
            </w:pPr>
          </w:p>
        </w:tc>
        <w:tc>
          <w:tcPr>
            <w:tcW w:w="1872" w:type="dxa"/>
            <w:vMerge w:val="continue"/>
            <w:vAlign w:val="center"/>
          </w:tcPr>
          <w:p w14:paraId="52891ECD">
            <w:pPr>
              <w:pStyle w:val="34"/>
              <w:adjustRightInd w:val="0"/>
              <w:snapToGrid w:val="0"/>
              <w:jc w:val="center"/>
              <w:rPr>
                <w:rFonts w:eastAsia="宋体"/>
                <w:color w:val="auto"/>
                <w:sz w:val="21"/>
                <w:szCs w:val="21"/>
              </w:rPr>
            </w:pPr>
          </w:p>
        </w:tc>
      </w:tr>
      <w:tr w14:paraId="62E966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restart"/>
            <w:vAlign w:val="center"/>
          </w:tcPr>
          <w:p w14:paraId="1D22D801">
            <w:pPr>
              <w:adjustRightInd w:val="0"/>
              <w:snapToGrid w:val="0"/>
              <w:jc w:val="center"/>
              <w:rPr>
                <w:color w:val="auto"/>
                <w:szCs w:val="21"/>
              </w:rPr>
            </w:pPr>
            <w:r>
              <w:rPr>
                <w:color w:val="auto"/>
                <w:szCs w:val="21"/>
              </w:rPr>
              <w:t>2</w:t>
            </w:r>
          </w:p>
        </w:tc>
        <w:tc>
          <w:tcPr>
            <w:tcW w:w="9215" w:type="dxa"/>
            <w:gridSpan w:val="8"/>
            <w:vAlign w:val="center"/>
          </w:tcPr>
          <w:p w14:paraId="6F35C6B1">
            <w:pPr>
              <w:adjustRightInd w:val="0"/>
              <w:snapToGrid w:val="0"/>
              <w:jc w:val="center"/>
              <w:rPr>
                <w:color w:val="auto"/>
                <w:szCs w:val="21"/>
              </w:rPr>
            </w:pPr>
            <w:r>
              <w:rPr>
                <w:color w:val="auto"/>
                <w:spacing w:val="4"/>
                <w:szCs w:val="21"/>
              </w:rPr>
              <w:t>模具上预埋件、预留孔洞安装（最大偏差值）（mm）</w:t>
            </w:r>
          </w:p>
        </w:tc>
      </w:tr>
      <w:tr w14:paraId="20508C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2AD2CCDB">
            <w:pPr>
              <w:pStyle w:val="34"/>
              <w:adjustRightInd w:val="0"/>
              <w:snapToGrid w:val="0"/>
              <w:jc w:val="center"/>
              <w:rPr>
                <w:rFonts w:eastAsia="宋体"/>
                <w:color w:val="auto"/>
                <w:sz w:val="21"/>
                <w:szCs w:val="21"/>
                <w:lang w:eastAsia="zh-CN"/>
              </w:rPr>
            </w:pPr>
          </w:p>
        </w:tc>
        <w:tc>
          <w:tcPr>
            <w:tcW w:w="861" w:type="dxa"/>
            <w:vMerge w:val="restart"/>
            <w:vAlign w:val="center"/>
          </w:tcPr>
          <w:p w14:paraId="281FA4E5">
            <w:pPr>
              <w:adjustRightInd w:val="0"/>
              <w:snapToGrid w:val="0"/>
              <w:jc w:val="center"/>
              <w:rPr>
                <w:color w:val="auto"/>
                <w:spacing w:val="2"/>
                <w:szCs w:val="21"/>
              </w:rPr>
            </w:pPr>
            <w:r>
              <w:rPr>
                <w:color w:val="auto"/>
                <w:spacing w:val="2"/>
                <w:szCs w:val="21"/>
              </w:rPr>
              <w:t>一般</w:t>
            </w:r>
          </w:p>
          <w:p w14:paraId="12C39D53">
            <w:pPr>
              <w:adjustRightInd w:val="0"/>
              <w:snapToGrid w:val="0"/>
              <w:jc w:val="center"/>
              <w:rPr>
                <w:color w:val="auto"/>
                <w:szCs w:val="21"/>
              </w:rPr>
            </w:pPr>
            <w:r>
              <w:rPr>
                <w:color w:val="auto"/>
                <w:spacing w:val="2"/>
                <w:szCs w:val="21"/>
              </w:rPr>
              <w:t>项目</w:t>
            </w:r>
          </w:p>
        </w:tc>
        <w:tc>
          <w:tcPr>
            <w:tcW w:w="1584" w:type="dxa"/>
            <w:vMerge w:val="restart"/>
            <w:vAlign w:val="center"/>
          </w:tcPr>
          <w:p w14:paraId="78D019C1">
            <w:pPr>
              <w:adjustRightInd w:val="0"/>
              <w:snapToGrid w:val="0"/>
              <w:jc w:val="center"/>
              <w:rPr>
                <w:color w:val="auto"/>
                <w:szCs w:val="21"/>
              </w:rPr>
            </w:pPr>
            <w:r>
              <w:rPr>
                <w:color w:val="auto"/>
                <w:spacing w:val="-2"/>
                <w:szCs w:val="21"/>
              </w:rPr>
              <w:t>预埋钢板、</w:t>
            </w:r>
            <w:r>
              <w:rPr>
                <w:color w:val="auto"/>
                <w:spacing w:val="2"/>
                <w:szCs w:val="21"/>
              </w:rPr>
              <w:t>建筑幕墙用槽式预埋组</w:t>
            </w:r>
            <w:r>
              <w:rPr>
                <w:color w:val="auto"/>
                <w:szCs w:val="21"/>
              </w:rPr>
              <w:t>件</w:t>
            </w:r>
          </w:p>
        </w:tc>
        <w:tc>
          <w:tcPr>
            <w:tcW w:w="1455" w:type="dxa"/>
            <w:vAlign w:val="center"/>
          </w:tcPr>
          <w:p w14:paraId="507E423E">
            <w:pPr>
              <w:adjustRightInd w:val="0"/>
              <w:snapToGrid w:val="0"/>
              <w:jc w:val="center"/>
              <w:rPr>
                <w:color w:val="auto"/>
                <w:szCs w:val="21"/>
              </w:rPr>
            </w:pPr>
            <w:r>
              <w:rPr>
                <w:color w:val="auto"/>
                <w:szCs w:val="21"/>
              </w:rPr>
              <w:t>中心线位置</w:t>
            </w:r>
          </w:p>
        </w:tc>
        <w:tc>
          <w:tcPr>
            <w:tcW w:w="942" w:type="dxa"/>
            <w:vAlign w:val="center"/>
          </w:tcPr>
          <w:p w14:paraId="3DF903F0">
            <w:pPr>
              <w:adjustRightInd w:val="0"/>
              <w:snapToGrid w:val="0"/>
              <w:jc w:val="center"/>
              <w:rPr>
                <w:color w:val="auto"/>
                <w:szCs w:val="21"/>
              </w:rPr>
            </w:pPr>
            <w:r>
              <w:rPr>
                <w:color w:val="auto"/>
                <w:spacing w:val="2"/>
                <w:position w:val="2"/>
                <w:szCs w:val="21"/>
              </w:rPr>
              <w:t>3</w:t>
            </w:r>
          </w:p>
        </w:tc>
        <w:tc>
          <w:tcPr>
            <w:tcW w:w="563" w:type="dxa"/>
            <w:vAlign w:val="center"/>
          </w:tcPr>
          <w:p w14:paraId="2903DDCF">
            <w:pPr>
              <w:pStyle w:val="34"/>
              <w:adjustRightInd w:val="0"/>
              <w:snapToGrid w:val="0"/>
              <w:jc w:val="center"/>
              <w:rPr>
                <w:rFonts w:eastAsia="宋体"/>
                <w:color w:val="auto"/>
                <w:sz w:val="21"/>
                <w:szCs w:val="21"/>
              </w:rPr>
            </w:pPr>
          </w:p>
        </w:tc>
        <w:tc>
          <w:tcPr>
            <w:tcW w:w="962" w:type="dxa"/>
            <w:vAlign w:val="center"/>
          </w:tcPr>
          <w:p w14:paraId="3FCF46B8">
            <w:pPr>
              <w:pStyle w:val="34"/>
              <w:adjustRightInd w:val="0"/>
              <w:snapToGrid w:val="0"/>
              <w:jc w:val="center"/>
              <w:rPr>
                <w:rFonts w:eastAsia="宋体"/>
                <w:color w:val="auto"/>
                <w:sz w:val="21"/>
                <w:szCs w:val="21"/>
              </w:rPr>
            </w:pPr>
          </w:p>
        </w:tc>
        <w:tc>
          <w:tcPr>
            <w:tcW w:w="976" w:type="dxa"/>
            <w:vAlign w:val="center"/>
          </w:tcPr>
          <w:p w14:paraId="5710433D">
            <w:pPr>
              <w:pStyle w:val="34"/>
              <w:adjustRightInd w:val="0"/>
              <w:snapToGrid w:val="0"/>
              <w:jc w:val="center"/>
              <w:rPr>
                <w:rFonts w:eastAsia="宋体"/>
                <w:color w:val="auto"/>
                <w:sz w:val="21"/>
                <w:szCs w:val="21"/>
              </w:rPr>
            </w:pPr>
          </w:p>
        </w:tc>
        <w:tc>
          <w:tcPr>
            <w:tcW w:w="1872" w:type="dxa"/>
            <w:vMerge w:val="restart"/>
            <w:vAlign w:val="center"/>
          </w:tcPr>
          <w:p w14:paraId="06707C0B">
            <w:pPr>
              <w:pStyle w:val="34"/>
              <w:adjustRightInd w:val="0"/>
              <w:snapToGrid w:val="0"/>
              <w:jc w:val="center"/>
              <w:rPr>
                <w:rFonts w:eastAsia="宋体"/>
                <w:color w:val="auto"/>
                <w:sz w:val="21"/>
                <w:szCs w:val="21"/>
              </w:rPr>
            </w:pPr>
          </w:p>
        </w:tc>
      </w:tr>
      <w:tr w14:paraId="6D3480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2AAA274A">
            <w:pPr>
              <w:pStyle w:val="34"/>
              <w:adjustRightInd w:val="0"/>
              <w:snapToGrid w:val="0"/>
              <w:jc w:val="center"/>
              <w:rPr>
                <w:rFonts w:eastAsia="宋体"/>
                <w:color w:val="auto"/>
                <w:sz w:val="21"/>
                <w:szCs w:val="21"/>
              </w:rPr>
            </w:pPr>
          </w:p>
        </w:tc>
        <w:tc>
          <w:tcPr>
            <w:tcW w:w="861" w:type="dxa"/>
            <w:vMerge w:val="continue"/>
            <w:vAlign w:val="center"/>
          </w:tcPr>
          <w:p w14:paraId="39100147">
            <w:pPr>
              <w:pStyle w:val="34"/>
              <w:adjustRightInd w:val="0"/>
              <w:snapToGrid w:val="0"/>
              <w:jc w:val="center"/>
              <w:rPr>
                <w:rFonts w:eastAsia="宋体"/>
                <w:color w:val="auto"/>
                <w:sz w:val="21"/>
                <w:szCs w:val="21"/>
              </w:rPr>
            </w:pPr>
          </w:p>
        </w:tc>
        <w:tc>
          <w:tcPr>
            <w:tcW w:w="1584" w:type="dxa"/>
            <w:vMerge w:val="continue"/>
            <w:vAlign w:val="center"/>
          </w:tcPr>
          <w:p w14:paraId="3626E9BC">
            <w:pPr>
              <w:pStyle w:val="34"/>
              <w:adjustRightInd w:val="0"/>
              <w:snapToGrid w:val="0"/>
              <w:jc w:val="center"/>
              <w:rPr>
                <w:rFonts w:eastAsia="宋体"/>
                <w:color w:val="auto"/>
                <w:sz w:val="21"/>
                <w:szCs w:val="21"/>
              </w:rPr>
            </w:pPr>
          </w:p>
        </w:tc>
        <w:tc>
          <w:tcPr>
            <w:tcW w:w="1455" w:type="dxa"/>
            <w:vAlign w:val="center"/>
          </w:tcPr>
          <w:p w14:paraId="68ED0BDF">
            <w:pPr>
              <w:adjustRightInd w:val="0"/>
              <w:snapToGrid w:val="0"/>
              <w:jc w:val="center"/>
              <w:rPr>
                <w:color w:val="auto"/>
                <w:szCs w:val="21"/>
              </w:rPr>
            </w:pPr>
            <w:r>
              <w:rPr>
                <w:color w:val="auto"/>
                <w:spacing w:val="2"/>
                <w:szCs w:val="21"/>
              </w:rPr>
              <w:t>平面高差</w:t>
            </w:r>
          </w:p>
        </w:tc>
        <w:tc>
          <w:tcPr>
            <w:tcW w:w="942" w:type="dxa"/>
            <w:vAlign w:val="center"/>
          </w:tcPr>
          <w:p w14:paraId="0F331B44">
            <w:pPr>
              <w:adjustRightInd w:val="0"/>
              <w:snapToGrid w:val="0"/>
              <w:jc w:val="center"/>
              <w:rPr>
                <w:color w:val="auto"/>
                <w:szCs w:val="21"/>
              </w:rPr>
            </w:pPr>
            <w:r>
              <w:rPr>
                <w:color w:val="auto"/>
                <w:spacing w:val="2"/>
                <w:szCs w:val="21"/>
              </w:rPr>
              <w:t>±2</w:t>
            </w:r>
          </w:p>
        </w:tc>
        <w:tc>
          <w:tcPr>
            <w:tcW w:w="563" w:type="dxa"/>
            <w:vAlign w:val="center"/>
          </w:tcPr>
          <w:p w14:paraId="4E4918B1">
            <w:pPr>
              <w:pStyle w:val="34"/>
              <w:adjustRightInd w:val="0"/>
              <w:snapToGrid w:val="0"/>
              <w:jc w:val="center"/>
              <w:rPr>
                <w:rFonts w:eastAsia="宋体"/>
                <w:color w:val="auto"/>
                <w:sz w:val="21"/>
                <w:szCs w:val="21"/>
              </w:rPr>
            </w:pPr>
          </w:p>
        </w:tc>
        <w:tc>
          <w:tcPr>
            <w:tcW w:w="962" w:type="dxa"/>
            <w:vAlign w:val="center"/>
          </w:tcPr>
          <w:p w14:paraId="036887EE">
            <w:pPr>
              <w:pStyle w:val="34"/>
              <w:adjustRightInd w:val="0"/>
              <w:snapToGrid w:val="0"/>
              <w:jc w:val="center"/>
              <w:rPr>
                <w:rFonts w:eastAsia="宋体"/>
                <w:color w:val="auto"/>
                <w:sz w:val="21"/>
                <w:szCs w:val="21"/>
              </w:rPr>
            </w:pPr>
          </w:p>
        </w:tc>
        <w:tc>
          <w:tcPr>
            <w:tcW w:w="976" w:type="dxa"/>
            <w:vAlign w:val="center"/>
          </w:tcPr>
          <w:p w14:paraId="232FA80E">
            <w:pPr>
              <w:pStyle w:val="34"/>
              <w:adjustRightInd w:val="0"/>
              <w:snapToGrid w:val="0"/>
              <w:jc w:val="center"/>
              <w:rPr>
                <w:rFonts w:eastAsia="宋体"/>
                <w:color w:val="auto"/>
                <w:sz w:val="21"/>
                <w:szCs w:val="21"/>
              </w:rPr>
            </w:pPr>
          </w:p>
        </w:tc>
        <w:tc>
          <w:tcPr>
            <w:tcW w:w="1872" w:type="dxa"/>
            <w:vMerge w:val="continue"/>
            <w:vAlign w:val="center"/>
          </w:tcPr>
          <w:p w14:paraId="177D6FD0">
            <w:pPr>
              <w:pStyle w:val="34"/>
              <w:adjustRightInd w:val="0"/>
              <w:snapToGrid w:val="0"/>
              <w:jc w:val="center"/>
              <w:rPr>
                <w:rFonts w:eastAsia="宋体"/>
                <w:color w:val="auto"/>
                <w:sz w:val="21"/>
                <w:szCs w:val="21"/>
              </w:rPr>
            </w:pPr>
          </w:p>
        </w:tc>
      </w:tr>
      <w:tr w14:paraId="1D3E4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6" w:hRule="atLeast"/>
          <w:jc w:val="center"/>
        </w:trPr>
        <w:tc>
          <w:tcPr>
            <w:tcW w:w="546" w:type="dxa"/>
            <w:vMerge w:val="continue"/>
            <w:vAlign w:val="center"/>
          </w:tcPr>
          <w:p w14:paraId="1D3EE383">
            <w:pPr>
              <w:pStyle w:val="34"/>
              <w:adjustRightInd w:val="0"/>
              <w:snapToGrid w:val="0"/>
              <w:jc w:val="center"/>
              <w:rPr>
                <w:rFonts w:eastAsia="宋体"/>
                <w:color w:val="auto"/>
                <w:sz w:val="21"/>
                <w:szCs w:val="21"/>
              </w:rPr>
            </w:pPr>
          </w:p>
        </w:tc>
        <w:tc>
          <w:tcPr>
            <w:tcW w:w="861" w:type="dxa"/>
            <w:vMerge w:val="continue"/>
            <w:vAlign w:val="center"/>
          </w:tcPr>
          <w:p w14:paraId="1C049D71">
            <w:pPr>
              <w:pStyle w:val="34"/>
              <w:adjustRightInd w:val="0"/>
              <w:snapToGrid w:val="0"/>
              <w:jc w:val="center"/>
              <w:rPr>
                <w:rFonts w:eastAsia="宋体"/>
                <w:color w:val="auto"/>
                <w:sz w:val="21"/>
                <w:szCs w:val="21"/>
              </w:rPr>
            </w:pPr>
          </w:p>
        </w:tc>
        <w:tc>
          <w:tcPr>
            <w:tcW w:w="3039" w:type="dxa"/>
            <w:gridSpan w:val="2"/>
            <w:vAlign w:val="center"/>
          </w:tcPr>
          <w:p w14:paraId="1511756C">
            <w:pPr>
              <w:adjustRightInd w:val="0"/>
              <w:snapToGrid w:val="0"/>
              <w:jc w:val="center"/>
              <w:rPr>
                <w:color w:val="auto"/>
                <w:szCs w:val="21"/>
              </w:rPr>
            </w:pPr>
            <w:r>
              <w:rPr>
                <w:color w:val="auto"/>
                <w:spacing w:val="3"/>
                <w:szCs w:val="21"/>
              </w:rPr>
              <w:t>预埋管、电线盒、电线管水平和垂直方向的中心线位置偏移</w:t>
            </w:r>
            <w:r>
              <w:rPr>
                <w:color w:val="auto"/>
                <w:spacing w:val="2"/>
                <w:szCs w:val="21"/>
              </w:rPr>
              <w:t>、预留孔、浆锚搭接预留孔</w:t>
            </w:r>
            <w:r>
              <w:rPr>
                <w:color w:val="auto"/>
                <w:spacing w:val="1"/>
                <w:szCs w:val="21"/>
              </w:rPr>
              <w:t>（或波纹管）</w:t>
            </w:r>
          </w:p>
        </w:tc>
        <w:tc>
          <w:tcPr>
            <w:tcW w:w="942" w:type="dxa"/>
            <w:vAlign w:val="center"/>
          </w:tcPr>
          <w:p w14:paraId="6943C67F">
            <w:pPr>
              <w:adjustRightInd w:val="0"/>
              <w:snapToGrid w:val="0"/>
              <w:jc w:val="center"/>
              <w:rPr>
                <w:color w:val="auto"/>
                <w:szCs w:val="21"/>
              </w:rPr>
            </w:pPr>
            <w:r>
              <w:rPr>
                <w:color w:val="auto"/>
                <w:spacing w:val="1"/>
                <w:szCs w:val="21"/>
              </w:rPr>
              <w:t>2</w:t>
            </w:r>
          </w:p>
        </w:tc>
        <w:tc>
          <w:tcPr>
            <w:tcW w:w="563" w:type="dxa"/>
            <w:vAlign w:val="center"/>
          </w:tcPr>
          <w:p w14:paraId="39F6B971">
            <w:pPr>
              <w:pStyle w:val="34"/>
              <w:adjustRightInd w:val="0"/>
              <w:snapToGrid w:val="0"/>
              <w:jc w:val="center"/>
              <w:rPr>
                <w:rFonts w:eastAsia="宋体"/>
                <w:color w:val="auto"/>
                <w:sz w:val="21"/>
                <w:szCs w:val="21"/>
              </w:rPr>
            </w:pPr>
          </w:p>
        </w:tc>
        <w:tc>
          <w:tcPr>
            <w:tcW w:w="962" w:type="dxa"/>
            <w:vAlign w:val="center"/>
          </w:tcPr>
          <w:p w14:paraId="2805A205">
            <w:pPr>
              <w:pStyle w:val="34"/>
              <w:adjustRightInd w:val="0"/>
              <w:snapToGrid w:val="0"/>
              <w:jc w:val="center"/>
              <w:rPr>
                <w:rFonts w:eastAsia="宋体"/>
                <w:color w:val="auto"/>
                <w:sz w:val="21"/>
                <w:szCs w:val="21"/>
              </w:rPr>
            </w:pPr>
          </w:p>
        </w:tc>
        <w:tc>
          <w:tcPr>
            <w:tcW w:w="976" w:type="dxa"/>
            <w:vAlign w:val="center"/>
          </w:tcPr>
          <w:p w14:paraId="136420EB">
            <w:pPr>
              <w:pStyle w:val="34"/>
              <w:adjustRightInd w:val="0"/>
              <w:snapToGrid w:val="0"/>
              <w:jc w:val="center"/>
              <w:rPr>
                <w:rFonts w:eastAsia="宋体"/>
                <w:color w:val="auto"/>
                <w:sz w:val="21"/>
                <w:szCs w:val="21"/>
              </w:rPr>
            </w:pPr>
          </w:p>
        </w:tc>
        <w:tc>
          <w:tcPr>
            <w:tcW w:w="1872" w:type="dxa"/>
            <w:vMerge w:val="continue"/>
            <w:vAlign w:val="center"/>
          </w:tcPr>
          <w:p w14:paraId="6B95249B">
            <w:pPr>
              <w:pStyle w:val="34"/>
              <w:adjustRightInd w:val="0"/>
              <w:snapToGrid w:val="0"/>
              <w:jc w:val="center"/>
              <w:rPr>
                <w:rFonts w:eastAsia="宋体"/>
                <w:color w:val="auto"/>
                <w:sz w:val="21"/>
                <w:szCs w:val="21"/>
              </w:rPr>
            </w:pPr>
          </w:p>
        </w:tc>
      </w:tr>
      <w:tr w14:paraId="3A8096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2A05D1F3">
            <w:pPr>
              <w:pStyle w:val="34"/>
              <w:adjustRightInd w:val="0"/>
              <w:snapToGrid w:val="0"/>
              <w:jc w:val="center"/>
              <w:rPr>
                <w:rFonts w:eastAsia="宋体"/>
                <w:color w:val="auto"/>
                <w:sz w:val="21"/>
                <w:szCs w:val="21"/>
              </w:rPr>
            </w:pPr>
          </w:p>
        </w:tc>
        <w:tc>
          <w:tcPr>
            <w:tcW w:w="861" w:type="dxa"/>
            <w:vMerge w:val="continue"/>
            <w:vAlign w:val="center"/>
          </w:tcPr>
          <w:p w14:paraId="3724004F">
            <w:pPr>
              <w:pStyle w:val="34"/>
              <w:adjustRightInd w:val="0"/>
              <w:snapToGrid w:val="0"/>
              <w:jc w:val="center"/>
              <w:rPr>
                <w:rFonts w:eastAsia="宋体"/>
                <w:color w:val="auto"/>
                <w:sz w:val="21"/>
                <w:szCs w:val="21"/>
              </w:rPr>
            </w:pPr>
          </w:p>
        </w:tc>
        <w:tc>
          <w:tcPr>
            <w:tcW w:w="1584" w:type="dxa"/>
            <w:vMerge w:val="restart"/>
            <w:vAlign w:val="center"/>
          </w:tcPr>
          <w:p w14:paraId="36864307">
            <w:pPr>
              <w:adjustRightInd w:val="0"/>
              <w:snapToGrid w:val="0"/>
              <w:jc w:val="center"/>
              <w:rPr>
                <w:color w:val="auto"/>
                <w:szCs w:val="21"/>
              </w:rPr>
            </w:pPr>
            <w:r>
              <w:rPr>
                <w:color w:val="auto"/>
                <w:spacing w:val="1"/>
                <w:szCs w:val="21"/>
              </w:rPr>
              <w:t>插筋</w:t>
            </w:r>
          </w:p>
        </w:tc>
        <w:tc>
          <w:tcPr>
            <w:tcW w:w="1455" w:type="dxa"/>
            <w:vAlign w:val="center"/>
          </w:tcPr>
          <w:p w14:paraId="20E31CE3">
            <w:pPr>
              <w:adjustRightInd w:val="0"/>
              <w:snapToGrid w:val="0"/>
              <w:jc w:val="center"/>
              <w:rPr>
                <w:color w:val="auto"/>
                <w:szCs w:val="21"/>
              </w:rPr>
            </w:pPr>
            <w:r>
              <w:rPr>
                <w:color w:val="auto"/>
                <w:szCs w:val="21"/>
              </w:rPr>
              <w:t>中心线位置</w:t>
            </w:r>
          </w:p>
        </w:tc>
        <w:tc>
          <w:tcPr>
            <w:tcW w:w="942" w:type="dxa"/>
            <w:vAlign w:val="center"/>
          </w:tcPr>
          <w:p w14:paraId="3BE1CB38">
            <w:pPr>
              <w:adjustRightInd w:val="0"/>
              <w:snapToGrid w:val="0"/>
              <w:jc w:val="center"/>
              <w:rPr>
                <w:color w:val="auto"/>
                <w:szCs w:val="21"/>
              </w:rPr>
            </w:pPr>
            <w:r>
              <w:rPr>
                <w:color w:val="auto"/>
                <w:spacing w:val="2"/>
                <w:position w:val="2"/>
                <w:szCs w:val="21"/>
              </w:rPr>
              <w:t>3</w:t>
            </w:r>
          </w:p>
        </w:tc>
        <w:tc>
          <w:tcPr>
            <w:tcW w:w="563" w:type="dxa"/>
            <w:vAlign w:val="center"/>
          </w:tcPr>
          <w:p w14:paraId="698FEF01">
            <w:pPr>
              <w:pStyle w:val="34"/>
              <w:adjustRightInd w:val="0"/>
              <w:snapToGrid w:val="0"/>
              <w:jc w:val="center"/>
              <w:rPr>
                <w:rFonts w:eastAsia="宋体"/>
                <w:color w:val="auto"/>
                <w:sz w:val="21"/>
                <w:szCs w:val="21"/>
              </w:rPr>
            </w:pPr>
          </w:p>
        </w:tc>
        <w:tc>
          <w:tcPr>
            <w:tcW w:w="962" w:type="dxa"/>
            <w:vAlign w:val="center"/>
          </w:tcPr>
          <w:p w14:paraId="4782A851">
            <w:pPr>
              <w:pStyle w:val="34"/>
              <w:adjustRightInd w:val="0"/>
              <w:snapToGrid w:val="0"/>
              <w:jc w:val="center"/>
              <w:rPr>
                <w:rFonts w:eastAsia="宋体"/>
                <w:color w:val="auto"/>
                <w:sz w:val="21"/>
                <w:szCs w:val="21"/>
              </w:rPr>
            </w:pPr>
          </w:p>
        </w:tc>
        <w:tc>
          <w:tcPr>
            <w:tcW w:w="976" w:type="dxa"/>
            <w:vAlign w:val="center"/>
          </w:tcPr>
          <w:p w14:paraId="2BE2FF69">
            <w:pPr>
              <w:pStyle w:val="34"/>
              <w:adjustRightInd w:val="0"/>
              <w:snapToGrid w:val="0"/>
              <w:jc w:val="center"/>
              <w:rPr>
                <w:rFonts w:eastAsia="宋体"/>
                <w:color w:val="auto"/>
                <w:sz w:val="21"/>
                <w:szCs w:val="21"/>
              </w:rPr>
            </w:pPr>
          </w:p>
        </w:tc>
        <w:tc>
          <w:tcPr>
            <w:tcW w:w="1872" w:type="dxa"/>
            <w:vMerge w:val="continue"/>
            <w:vAlign w:val="center"/>
          </w:tcPr>
          <w:p w14:paraId="05F8DACA">
            <w:pPr>
              <w:pStyle w:val="34"/>
              <w:adjustRightInd w:val="0"/>
              <w:snapToGrid w:val="0"/>
              <w:jc w:val="center"/>
              <w:rPr>
                <w:rFonts w:eastAsia="宋体"/>
                <w:color w:val="auto"/>
                <w:sz w:val="21"/>
                <w:szCs w:val="21"/>
              </w:rPr>
            </w:pPr>
          </w:p>
        </w:tc>
      </w:tr>
      <w:tr w14:paraId="7E4DB3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0D4EC945">
            <w:pPr>
              <w:pStyle w:val="34"/>
              <w:adjustRightInd w:val="0"/>
              <w:snapToGrid w:val="0"/>
              <w:jc w:val="center"/>
              <w:rPr>
                <w:rFonts w:eastAsia="宋体"/>
                <w:color w:val="auto"/>
                <w:sz w:val="21"/>
                <w:szCs w:val="21"/>
              </w:rPr>
            </w:pPr>
          </w:p>
        </w:tc>
        <w:tc>
          <w:tcPr>
            <w:tcW w:w="861" w:type="dxa"/>
            <w:vMerge w:val="continue"/>
            <w:vAlign w:val="center"/>
          </w:tcPr>
          <w:p w14:paraId="51EE6CDC">
            <w:pPr>
              <w:pStyle w:val="34"/>
              <w:adjustRightInd w:val="0"/>
              <w:snapToGrid w:val="0"/>
              <w:jc w:val="center"/>
              <w:rPr>
                <w:rFonts w:eastAsia="宋体"/>
                <w:color w:val="auto"/>
                <w:sz w:val="21"/>
                <w:szCs w:val="21"/>
              </w:rPr>
            </w:pPr>
          </w:p>
        </w:tc>
        <w:tc>
          <w:tcPr>
            <w:tcW w:w="1584" w:type="dxa"/>
            <w:vMerge w:val="continue"/>
            <w:vAlign w:val="center"/>
          </w:tcPr>
          <w:p w14:paraId="4110EF27">
            <w:pPr>
              <w:pStyle w:val="34"/>
              <w:adjustRightInd w:val="0"/>
              <w:snapToGrid w:val="0"/>
              <w:jc w:val="center"/>
              <w:rPr>
                <w:rFonts w:eastAsia="宋体"/>
                <w:color w:val="auto"/>
                <w:sz w:val="21"/>
                <w:szCs w:val="21"/>
              </w:rPr>
            </w:pPr>
          </w:p>
        </w:tc>
        <w:tc>
          <w:tcPr>
            <w:tcW w:w="1455" w:type="dxa"/>
            <w:vAlign w:val="center"/>
          </w:tcPr>
          <w:p w14:paraId="18A422F3">
            <w:pPr>
              <w:adjustRightInd w:val="0"/>
              <w:snapToGrid w:val="0"/>
              <w:jc w:val="center"/>
              <w:rPr>
                <w:color w:val="auto"/>
                <w:szCs w:val="21"/>
              </w:rPr>
            </w:pPr>
            <w:r>
              <w:rPr>
                <w:color w:val="auto"/>
                <w:spacing w:val="1"/>
                <w:szCs w:val="21"/>
              </w:rPr>
              <w:t>外漏长度</w:t>
            </w:r>
          </w:p>
        </w:tc>
        <w:tc>
          <w:tcPr>
            <w:tcW w:w="942" w:type="dxa"/>
            <w:vAlign w:val="center"/>
          </w:tcPr>
          <w:p w14:paraId="47BF49C9">
            <w:pPr>
              <w:adjustRightInd w:val="0"/>
              <w:snapToGrid w:val="0"/>
              <w:jc w:val="center"/>
              <w:rPr>
                <w:color w:val="auto"/>
                <w:szCs w:val="21"/>
              </w:rPr>
            </w:pPr>
            <w:r>
              <w:rPr>
                <w:color w:val="auto"/>
                <w:spacing w:val="1"/>
                <w:szCs w:val="21"/>
              </w:rPr>
              <w:t>+10</w:t>
            </w:r>
            <w:r>
              <w:rPr>
                <w:color w:val="auto"/>
                <w:spacing w:val="-2"/>
                <w:szCs w:val="21"/>
              </w:rPr>
              <w:t>，</w:t>
            </w:r>
            <w:r>
              <w:rPr>
                <w:color w:val="auto"/>
                <w:spacing w:val="1"/>
                <w:szCs w:val="21"/>
              </w:rPr>
              <w:t>0</w:t>
            </w:r>
          </w:p>
        </w:tc>
        <w:tc>
          <w:tcPr>
            <w:tcW w:w="563" w:type="dxa"/>
            <w:vAlign w:val="center"/>
          </w:tcPr>
          <w:p w14:paraId="0F09840F">
            <w:pPr>
              <w:pStyle w:val="34"/>
              <w:adjustRightInd w:val="0"/>
              <w:snapToGrid w:val="0"/>
              <w:jc w:val="center"/>
              <w:rPr>
                <w:rFonts w:eastAsia="宋体"/>
                <w:color w:val="auto"/>
                <w:sz w:val="21"/>
                <w:szCs w:val="21"/>
              </w:rPr>
            </w:pPr>
          </w:p>
        </w:tc>
        <w:tc>
          <w:tcPr>
            <w:tcW w:w="962" w:type="dxa"/>
            <w:vAlign w:val="center"/>
          </w:tcPr>
          <w:p w14:paraId="786A1718">
            <w:pPr>
              <w:pStyle w:val="34"/>
              <w:adjustRightInd w:val="0"/>
              <w:snapToGrid w:val="0"/>
              <w:jc w:val="center"/>
              <w:rPr>
                <w:rFonts w:eastAsia="宋体"/>
                <w:color w:val="auto"/>
                <w:sz w:val="21"/>
                <w:szCs w:val="21"/>
              </w:rPr>
            </w:pPr>
          </w:p>
        </w:tc>
        <w:tc>
          <w:tcPr>
            <w:tcW w:w="976" w:type="dxa"/>
            <w:vAlign w:val="center"/>
          </w:tcPr>
          <w:p w14:paraId="174B897C">
            <w:pPr>
              <w:pStyle w:val="34"/>
              <w:adjustRightInd w:val="0"/>
              <w:snapToGrid w:val="0"/>
              <w:jc w:val="center"/>
              <w:rPr>
                <w:rFonts w:eastAsia="宋体"/>
                <w:color w:val="auto"/>
                <w:sz w:val="21"/>
                <w:szCs w:val="21"/>
              </w:rPr>
            </w:pPr>
          </w:p>
        </w:tc>
        <w:tc>
          <w:tcPr>
            <w:tcW w:w="1872" w:type="dxa"/>
            <w:vMerge w:val="continue"/>
            <w:vAlign w:val="center"/>
          </w:tcPr>
          <w:p w14:paraId="5CEC1D72">
            <w:pPr>
              <w:pStyle w:val="34"/>
              <w:adjustRightInd w:val="0"/>
              <w:snapToGrid w:val="0"/>
              <w:jc w:val="center"/>
              <w:rPr>
                <w:rFonts w:eastAsia="宋体"/>
                <w:color w:val="auto"/>
                <w:sz w:val="21"/>
                <w:szCs w:val="21"/>
              </w:rPr>
            </w:pPr>
          </w:p>
        </w:tc>
      </w:tr>
      <w:tr w14:paraId="169373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046D0FC3">
            <w:pPr>
              <w:pStyle w:val="34"/>
              <w:adjustRightInd w:val="0"/>
              <w:snapToGrid w:val="0"/>
              <w:jc w:val="center"/>
              <w:rPr>
                <w:rFonts w:eastAsia="宋体"/>
                <w:color w:val="auto"/>
                <w:sz w:val="21"/>
                <w:szCs w:val="21"/>
              </w:rPr>
            </w:pPr>
          </w:p>
        </w:tc>
        <w:tc>
          <w:tcPr>
            <w:tcW w:w="861" w:type="dxa"/>
            <w:vMerge w:val="continue"/>
            <w:vAlign w:val="center"/>
          </w:tcPr>
          <w:p w14:paraId="44155242">
            <w:pPr>
              <w:pStyle w:val="34"/>
              <w:adjustRightInd w:val="0"/>
              <w:snapToGrid w:val="0"/>
              <w:jc w:val="center"/>
              <w:rPr>
                <w:rFonts w:eastAsia="宋体"/>
                <w:color w:val="auto"/>
                <w:sz w:val="21"/>
                <w:szCs w:val="21"/>
              </w:rPr>
            </w:pPr>
          </w:p>
        </w:tc>
        <w:tc>
          <w:tcPr>
            <w:tcW w:w="1584" w:type="dxa"/>
            <w:vMerge w:val="restart"/>
            <w:vAlign w:val="center"/>
          </w:tcPr>
          <w:p w14:paraId="4B57948B">
            <w:pPr>
              <w:adjustRightInd w:val="0"/>
              <w:snapToGrid w:val="0"/>
              <w:jc w:val="center"/>
              <w:rPr>
                <w:color w:val="auto"/>
                <w:szCs w:val="21"/>
              </w:rPr>
            </w:pPr>
            <w:r>
              <w:rPr>
                <w:color w:val="auto"/>
                <w:spacing w:val="-8"/>
                <w:szCs w:val="21"/>
              </w:rPr>
              <w:t>吊环</w:t>
            </w:r>
          </w:p>
        </w:tc>
        <w:tc>
          <w:tcPr>
            <w:tcW w:w="1455" w:type="dxa"/>
            <w:vAlign w:val="center"/>
          </w:tcPr>
          <w:p w14:paraId="38622069">
            <w:pPr>
              <w:adjustRightInd w:val="0"/>
              <w:snapToGrid w:val="0"/>
              <w:jc w:val="center"/>
              <w:rPr>
                <w:color w:val="auto"/>
                <w:szCs w:val="21"/>
              </w:rPr>
            </w:pPr>
            <w:r>
              <w:rPr>
                <w:color w:val="auto"/>
                <w:szCs w:val="21"/>
              </w:rPr>
              <w:t>中心线位置</w:t>
            </w:r>
          </w:p>
        </w:tc>
        <w:tc>
          <w:tcPr>
            <w:tcW w:w="942" w:type="dxa"/>
            <w:vAlign w:val="center"/>
          </w:tcPr>
          <w:p w14:paraId="4FAA98F1">
            <w:pPr>
              <w:adjustRightInd w:val="0"/>
              <w:snapToGrid w:val="0"/>
              <w:jc w:val="center"/>
              <w:rPr>
                <w:color w:val="auto"/>
                <w:szCs w:val="21"/>
              </w:rPr>
            </w:pPr>
            <w:r>
              <w:rPr>
                <w:color w:val="auto"/>
                <w:spacing w:val="2"/>
                <w:position w:val="2"/>
                <w:szCs w:val="21"/>
              </w:rPr>
              <w:t>3</w:t>
            </w:r>
          </w:p>
        </w:tc>
        <w:tc>
          <w:tcPr>
            <w:tcW w:w="563" w:type="dxa"/>
            <w:vAlign w:val="center"/>
          </w:tcPr>
          <w:p w14:paraId="319C8E94">
            <w:pPr>
              <w:pStyle w:val="34"/>
              <w:adjustRightInd w:val="0"/>
              <w:snapToGrid w:val="0"/>
              <w:jc w:val="center"/>
              <w:rPr>
                <w:rFonts w:eastAsia="宋体"/>
                <w:color w:val="auto"/>
                <w:sz w:val="21"/>
                <w:szCs w:val="21"/>
              </w:rPr>
            </w:pPr>
          </w:p>
        </w:tc>
        <w:tc>
          <w:tcPr>
            <w:tcW w:w="962" w:type="dxa"/>
            <w:vAlign w:val="center"/>
          </w:tcPr>
          <w:p w14:paraId="34EB2CEA">
            <w:pPr>
              <w:pStyle w:val="34"/>
              <w:adjustRightInd w:val="0"/>
              <w:snapToGrid w:val="0"/>
              <w:jc w:val="center"/>
              <w:rPr>
                <w:rFonts w:eastAsia="宋体"/>
                <w:color w:val="auto"/>
                <w:sz w:val="21"/>
                <w:szCs w:val="21"/>
              </w:rPr>
            </w:pPr>
          </w:p>
        </w:tc>
        <w:tc>
          <w:tcPr>
            <w:tcW w:w="976" w:type="dxa"/>
            <w:vAlign w:val="center"/>
          </w:tcPr>
          <w:p w14:paraId="7F42A48C">
            <w:pPr>
              <w:pStyle w:val="34"/>
              <w:adjustRightInd w:val="0"/>
              <w:snapToGrid w:val="0"/>
              <w:jc w:val="center"/>
              <w:rPr>
                <w:rFonts w:eastAsia="宋体"/>
                <w:color w:val="auto"/>
                <w:sz w:val="21"/>
                <w:szCs w:val="21"/>
              </w:rPr>
            </w:pPr>
          </w:p>
        </w:tc>
        <w:tc>
          <w:tcPr>
            <w:tcW w:w="1872" w:type="dxa"/>
            <w:vMerge w:val="continue"/>
            <w:vAlign w:val="center"/>
          </w:tcPr>
          <w:p w14:paraId="5E761EDC">
            <w:pPr>
              <w:pStyle w:val="34"/>
              <w:adjustRightInd w:val="0"/>
              <w:snapToGrid w:val="0"/>
              <w:jc w:val="center"/>
              <w:rPr>
                <w:rFonts w:eastAsia="宋体"/>
                <w:color w:val="auto"/>
                <w:sz w:val="21"/>
                <w:szCs w:val="21"/>
              </w:rPr>
            </w:pPr>
          </w:p>
        </w:tc>
      </w:tr>
      <w:tr w14:paraId="375619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19572F13">
            <w:pPr>
              <w:pStyle w:val="34"/>
              <w:adjustRightInd w:val="0"/>
              <w:snapToGrid w:val="0"/>
              <w:jc w:val="center"/>
              <w:rPr>
                <w:rFonts w:eastAsia="宋体"/>
                <w:color w:val="auto"/>
                <w:sz w:val="21"/>
                <w:szCs w:val="21"/>
              </w:rPr>
            </w:pPr>
          </w:p>
        </w:tc>
        <w:tc>
          <w:tcPr>
            <w:tcW w:w="861" w:type="dxa"/>
            <w:vMerge w:val="continue"/>
            <w:vAlign w:val="center"/>
          </w:tcPr>
          <w:p w14:paraId="4249B6DF">
            <w:pPr>
              <w:pStyle w:val="34"/>
              <w:adjustRightInd w:val="0"/>
              <w:snapToGrid w:val="0"/>
              <w:jc w:val="center"/>
              <w:rPr>
                <w:rFonts w:eastAsia="宋体"/>
                <w:color w:val="auto"/>
                <w:sz w:val="21"/>
                <w:szCs w:val="21"/>
              </w:rPr>
            </w:pPr>
          </w:p>
        </w:tc>
        <w:tc>
          <w:tcPr>
            <w:tcW w:w="1584" w:type="dxa"/>
            <w:vMerge w:val="continue"/>
            <w:vAlign w:val="center"/>
          </w:tcPr>
          <w:p w14:paraId="18596A8E">
            <w:pPr>
              <w:pStyle w:val="34"/>
              <w:adjustRightInd w:val="0"/>
              <w:snapToGrid w:val="0"/>
              <w:jc w:val="center"/>
              <w:rPr>
                <w:rFonts w:eastAsia="宋体"/>
                <w:color w:val="auto"/>
                <w:sz w:val="21"/>
                <w:szCs w:val="21"/>
              </w:rPr>
            </w:pPr>
          </w:p>
        </w:tc>
        <w:tc>
          <w:tcPr>
            <w:tcW w:w="1455" w:type="dxa"/>
            <w:vAlign w:val="center"/>
          </w:tcPr>
          <w:p w14:paraId="2C0BF1F3">
            <w:pPr>
              <w:adjustRightInd w:val="0"/>
              <w:snapToGrid w:val="0"/>
              <w:jc w:val="center"/>
              <w:rPr>
                <w:color w:val="auto"/>
                <w:szCs w:val="21"/>
              </w:rPr>
            </w:pPr>
            <w:r>
              <w:rPr>
                <w:color w:val="auto"/>
                <w:spacing w:val="1"/>
                <w:szCs w:val="21"/>
              </w:rPr>
              <w:t>外漏长度</w:t>
            </w:r>
          </w:p>
        </w:tc>
        <w:tc>
          <w:tcPr>
            <w:tcW w:w="942" w:type="dxa"/>
            <w:vAlign w:val="center"/>
          </w:tcPr>
          <w:p w14:paraId="0CE59A6F">
            <w:pPr>
              <w:adjustRightInd w:val="0"/>
              <w:snapToGrid w:val="0"/>
              <w:jc w:val="center"/>
              <w:rPr>
                <w:color w:val="auto"/>
                <w:szCs w:val="21"/>
              </w:rPr>
            </w:pPr>
            <w:r>
              <w:rPr>
                <w:color w:val="auto"/>
                <w:spacing w:val="-6"/>
                <w:position w:val="2"/>
                <w:szCs w:val="21"/>
              </w:rPr>
              <w:t>0</w:t>
            </w:r>
            <w:r>
              <w:rPr>
                <w:color w:val="auto"/>
                <w:spacing w:val="-2"/>
                <w:szCs w:val="21"/>
              </w:rPr>
              <w:t>，</w:t>
            </w:r>
            <w:r>
              <w:rPr>
                <w:color w:val="auto"/>
                <w:spacing w:val="-6"/>
                <w:position w:val="2"/>
                <w:szCs w:val="21"/>
              </w:rPr>
              <w:t>-5</w:t>
            </w:r>
          </w:p>
        </w:tc>
        <w:tc>
          <w:tcPr>
            <w:tcW w:w="563" w:type="dxa"/>
            <w:vAlign w:val="center"/>
          </w:tcPr>
          <w:p w14:paraId="5888B8C1">
            <w:pPr>
              <w:pStyle w:val="34"/>
              <w:adjustRightInd w:val="0"/>
              <w:snapToGrid w:val="0"/>
              <w:jc w:val="center"/>
              <w:rPr>
                <w:rFonts w:eastAsia="宋体"/>
                <w:color w:val="auto"/>
                <w:sz w:val="21"/>
                <w:szCs w:val="21"/>
              </w:rPr>
            </w:pPr>
          </w:p>
        </w:tc>
        <w:tc>
          <w:tcPr>
            <w:tcW w:w="962" w:type="dxa"/>
            <w:vAlign w:val="center"/>
          </w:tcPr>
          <w:p w14:paraId="01FC5D37">
            <w:pPr>
              <w:pStyle w:val="34"/>
              <w:adjustRightInd w:val="0"/>
              <w:snapToGrid w:val="0"/>
              <w:jc w:val="center"/>
              <w:rPr>
                <w:rFonts w:eastAsia="宋体"/>
                <w:color w:val="auto"/>
                <w:sz w:val="21"/>
                <w:szCs w:val="21"/>
              </w:rPr>
            </w:pPr>
          </w:p>
        </w:tc>
        <w:tc>
          <w:tcPr>
            <w:tcW w:w="976" w:type="dxa"/>
            <w:vAlign w:val="center"/>
          </w:tcPr>
          <w:p w14:paraId="1F3D970F">
            <w:pPr>
              <w:pStyle w:val="34"/>
              <w:adjustRightInd w:val="0"/>
              <w:snapToGrid w:val="0"/>
              <w:jc w:val="center"/>
              <w:rPr>
                <w:rFonts w:eastAsia="宋体"/>
                <w:color w:val="auto"/>
                <w:sz w:val="21"/>
                <w:szCs w:val="21"/>
              </w:rPr>
            </w:pPr>
          </w:p>
        </w:tc>
        <w:tc>
          <w:tcPr>
            <w:tcW w:w="1872" w:type="dxa"/>
            <w:vMerge w:val="continue"/>
            <w:vAlign w:val="center"/>
          </w:tcPr>
          <w:p w14:paraId="150A4286">
            <w:pPr>
              <w:pStyle w:val="34"/>
              <w:adjustRightInd w:val="0"/>
              <w:snapToGrid w:val="0"/>
              <w:jc w:val="center"/>
              <w:rPr>
                <w:rFonts w:eastAsia="宋体"/>
                <w:color w:val="auto"/>
                <w:sz w:val="21"/>
                <w:szCs w:val="21"/>
              </w:rPr>
            </w:pPr>
          </w:p>
        </w:tc>
      </w:tr>
      <w:tr w14:paraId="536D92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0C4D18EE">
            <w:pPr>
              <w:pStyle w:val="34"/>
              <w:adjustRightInd w:val="0"/>
              <w:snapToGrid w:val="0"/>
              <w:jc w:val="center"/>
              <w:rPr>
                <w:rFonts w:eastAsia="宋体"/>
                <w:color w:val="auto"/>
                <w:sz w:val="21"/>
                <w:szCs w:val="21"/>
              </w:rPr>
            </w:pPr>
          </w:p>
        </w:tc>
        <w:tc>
          <w:tcPr>
            <w:tcW w:w="861" w:type="dxa"/>
            <w:vMerge w:val="continue"/>
            <w:vAlign w:val="center"/>
          </w:tcPr>
          <w:p w14:paraId="666384D0">
            <w:pPr>
              <w:pStyle w:val="34"/>
              <w:adjustRightInd w:val="0"/>
              <w:snapToGrid w:val="0"/>
              <w:jc w:val="center"/>
              <w:rPr>
                <w:rFonts w:eastAsia="宋体"/>
                <w:color w:val="auto"/>
                <w:sz w:val="21"/>
                <w:szCs w:val="21"/>
              </w:rPr>
            </w:pPr>
          </w:p>
        </w:tc>
        <w:tc>
          <w:tcPr>
            <w:tcW w:w="1584" w:type="dxa"/>
            <w:vMerge w:val="restart"/>
            <w:vAlign w:val="center"/>
          </w:tcPr>
          <w:p w14:paraId="17D7FD2B">
            <w:pPr>
              <w:adjustRightInd w:val="0"/>
              <w:snapToGrid w:val="0"/>
              <w:jc w:val="center"/>
              <w:rPr>
                <w:color w:val="auto"/>
                <w:szCs w:val="21"/>
              </w:rPr>
            </w:pPr>
            <w:r>
              <w:rPr>
                <w:color w:val="auto"/>
                <w:spacing w:val="2"/>
                <w:szCs w:val="21"/>
              </w:rPr>
              <w:t>预埋螺栓</w:t>
            </w:r>
          </w:p>
        </w:tc>
        <w:tc>
          <w:tcPr>
            <w:tcW w:w="1455" w:type="dxa"/>
            <w:vAlign w:val="center"/>
          </w:tcPr>
          <w:p w14:paraId="621B967F">
            <w:pPr>
              <w:adjustRightInd w:val="0"/>
              <w:snapToGrid w:val="0"/>
              <w:jc w:val="center"/>
              <w:rPr>
                <w:color w:val="auto"/>
                <w:szCs w:val="21"/>
              </w:rPr>
            </w:pPr>
            <w:r>
              <w:rPr>
                <w:color w:val="auto"/>
                <w:szCs w:val="21"/>
              </w:rPr>
              <w:t>中心线位置</w:t>
            </w:r>
          </w:p>
        </w:tc>
        <w:tc>
          <w:tcPr>
            <w:tcW w:w="942" w:type="dxa"/>
            <w:vAlign w:val="center"/>
          </w:tcPr>
          <w:p w14:paraId="4EDEB094">
            <w:pPr>
              <w:adjustRightInd w:val="0"/>
              <w:snapToGrid w:val="0"/>
              <w:jc w:val="center"/>
              <w:rPr>
                <w:color w:val="auto"/>
                <w:szCs w:val="21"/>
              </w:rPr>
            </w:pPr>
            <w:r>
              <w:rPr>
                <w:color w:val="auto"/>
                <w:spacing w:val="1"/>
                <w:szCs w:val="21"/>
              </w:rPr>
              <w:t>2</w:t>
            </w:r>
          </w:p>
        </w:tc>
        <w:tc>
          <w:tcPr>
            <w:tcW w:w="563" w:type="dxa"/>
            <w:vAlign w:val="center"/>
          </w:tcPr>
          <w:p w14:paraId="358133A8">
            <w:pPr>
              <w:pStyle w:val="34"/>
              <w:adjustRightInd w:val="0"/>
              <w:snapToGrid w:val="0"/>
              <w:jc w:val="center"/>
              <w:rPr>
                <w:rFonts w:eastAsia="宋体"/>
                <w:color w:val="auto"/>
                <w:sz w:val="21"/>
                <w:szCs w:val="21"/>
              </w:rPr>
            </w:pPr>
          </w:p>
        </w:tc>
        <w:tc>
          <w:tcPr>
            <w:tcW w:w="962" w:type="dxa"/>
            <w:vAlign w:val="center"/>
          </w:tcPr>
          <w:p w14:paraId="777C3A9B">
            <w:pPr>
              <w:pStyle w:val="34"/>
              <w:adjustRightInd w:val="0"/>
              <w:snapToGrid w:val="0"/>
              <w:jc w:val="center"/>
              <w:rPr>
                <w:rFonts w:eastAsia="宋体"/>
                <w:color w:val="auto"/>
                <w:sz w:val="21"/>
                <w:szCs w:val="21"/>
              </w:rPr>
            </w:pPr>
          </w:p>
        </w:tc>
        <w:tc>
          <w:tcPr>
            <w:tcW w:w="976" w:type="dxa"/>
            <w:vAlign w:val="center"/>
          </w:tcPr>
          <w:p w14:paraId="5839445C">
            <w:pPr>
              <w:pStyle w:val="34"/>
              <w:adjustRightInd w:val="0"/>
              <w:snapToGrid w:val="0"/>
              <w:jc w:val="center"/>
              <w:rPr>
                <w:rFonts w:eastAsia="宋体"/>
                <w:color w:val="auto"/>
                <w:sz w:val="21"/>
                <w:szCs w:val="21"/>
              </w:rPr>
            </w:pPr>
          </w:p>
        </w:tc>
        <w:tc>
          <w:tcPr>
            <w:tcW w:w="1872" w:type="dxa"/>
            <w:vAlign w:val="center"/>
          </w:tcPr>
          <w:p w14:paraId="3DFB0EEB">
            <w:pPr>
              <w:pStyle w:val="34"/>
              <w:adjustRightInd w:val="0"/>
              <w:snapToGrid w:val="0"/>
              <w:jc w:val="center"/>
              <w:rPr>
                <w:rFonts w:eastAsia="宋体"/>
                <w:color w:val="auto"/>
                <w:sz w:val="21"/>
                <w:szCs w:val="21"/>
              </w:rPr>
            </w:pPr>
          </w:p>
        </w:tc>
      </w:tr>
      <w:tr w14:paraId="0B24E5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46FA6E91">
            <w:pPr>
              <w:pStyle w:val="34"/>
              <w:adjustRightInd w:val="0"/>
              <w:snapToGrid w:val="0"/>
              <w:jc w:val="center"/>
              <w:rPr>
                <w:rFonts w:eastAsia="宋体"/>
                <w:color w:val="auto"/>
                <w:sz w:val="21"/>
                <w:szCs w:val="21"/>
              </w:rPr>
            </w:pPr>
          </w:p>
        </w:tc>
        <w:tc>
          <w:tcPr>
            <w:tcW w:w="861" w:type="dxa"/>
            <w:vMerge w:val="continue"/>
            <w:vAlign w:val="center"/>
          </w:tcPr>
          <w:p w14:paraId="0EB44E02">
            <w:pPr>
              <w:pStyle w:val="34"/>
              <w:adjustRightInd w:val="0"/>
              <w:snapToGrid w:val="0"/>
              <w:jc w:val="center"/>
              <w:rPr>
                <w:rFonts w:eastAsia="宋体"/>
                <w:color w:val="auto"/>
                <w:sz w:val="21"/>
                <w:szCs w:val="21"/>
              </w:rPr>
            </w:pPr>
          </w:p>
        </w:tc>
        <w:tc>
          <w:tcPr>
            <w:tcW w:w="1584" w:type="dxa"/>
            <w:vMerge w:val="continue"/>
            <w:vAlign w:val="center"/>
          </w:tcPr>
          <w:p w14:paraId="6E8677F6">
            <w:pPr>
              <w:pStyle w:val="34"/>
              <w:adjustRightInd w:val="0"/>
              <w:snapToGrid w:val="0"/>
              <w:jc w:val="center"/>
              <w:rPr>
                <w:rFonts w:eastAsia="宋体"/>
                <w:color w:val="auto"/>
                <w:sz w:val="21"/>
                <w:szCs w:val="21"/>
              </w:rPr>
            </w:pPr>
          </w:p>
        </w:tc>
        <w:tc>
          <w:tcPr>
            <w:tcW w:w="1455" w:type="dxa"/>
            <w:vAlign w:val="center"/>
          </w:tcPr>
          <w:p w14:paraId="60864B4D">
            <w:pPr>
              <w:adjustRightInd w:val="0"/>
              <w:snapToGrid w:val="0"/>
              <w:jc w:val="center"/>
              <w:rPr>
                <w:color w:val="auto"/>
                <w:szCs w:val="21"/>
              </w:rPr>
            </w:pPr>
            <w:r>
              <w:rPr>
                <w:color w:val="auto"/>
                <w:spacing w:val="1"/>
                <w:szCs w:val="21"/>
              </w:rPr>
              <w:t>外漏长度</w:t>
            </w:r>
          </w:p>
        </w:tc>
        <w:tc>
          <w:tcPr>
            <w:tcW w:w="942" w:type="dxa"/>
            <w:vAlign w:val="center"/>
          </w:tcPr>
          <w:p w14:paraId="0EEAF144">
            <w:pPr>
              <w:adjustRightInd w:val="0"/>
              <w:snapToGrid w:val="0"/>
              <w:jc w:val="center"/>
              <w:rPr>
                <w:color w:val="auto"/>
                <w:szCs w:val="21"/>
              </w:rPr>
            </w:pPr>
            <w:r>
              <w:rPr>
                <w:color w:val="auto"/>
                <w:position w:val="2"/>
                <w:szCs w:val="21"/>
              </w:rPr>
              <w:t>+5</w:t>
            </w:r>
            <w:r>
              <w:rPr>
                <w:color w:val="auto"/>
                <w:spacing w:val="-2"/>
                <w:szCs w:val="21"/>
              </w:rPr>
              <w:t>，</w:t>
            </w:r>
            <w:r>
              <w:rPr>
                <w:color w:val="auto"/>
                <w:position w:val="2"/>
                <w:szCs w:val="21"/>
              </w:rPr>
              <w:t>0</w:t>
            </w:r>
          </w:p>
        </w:tc>
        <w:tc>
          <w:tcPr>
            <w:tcW w:w="563" w:type="dxa"/>
            <w:vAlign w:val="center"/>
          </w:tcPr>
          <w:p w14:paraId="75459940">
            <w:pPr>
              <w:pStyle w:val="34"/>
              <w:adjustRightInd w:val="0"/>
              <w:snapToGrid w:val="0"/>
              <w:jc w:val="center"/>
              <w:rPr>
                <w:rFonts w:eastAsia="宋体"/>
                <w:color w:val="auto"/>
                <w:sz w:val="21"/>
                <w:szCs w:val="21"/>
              </w:rPr>
            </w:pPr>
          </w:p>
        </w:tc>
        <w:tc>
          <w:tcPr>
            <w:tcW w:w="962" w:type="dxa"/>
            <w:vAlign w:val="center"/>
          </w:tcPr>
          <w:p w14:paraId="1FE16B30">
            <w:pPr>
              <w:pStyle w:val="34"/>
              <w:adjustRightInd w:val="0"/>
              <w:snapToGrid w:val="0"/>
              <w:jc w:val="center"/>
              <w:rPr>
                <w:rFonts w:eastAsia="宋体"/>
                <w:color w:val="auto"/>
                <w:sz w:val="21"/>
                <w:szCs w:val="21"/>
              </w:rPr>
            </w:pPr>
          </w:p>
        </w:tc>
        <w:tc>
          <w:tcPr>
            <w:tcW w:w="976" w:type="dxa"/>
            <w:vAlign w:val="center"/>
          </w:tcPr>
          <w:p w14:paraId="30CEC01F">
            <w:pPr>
              <w:pStyle w:val="34"/>
              <w:adjustRightInd w:val="0"/>
              <w:snapToGrid w:val="0"/>
              <w:jc w:val="center"/>
              <w:rPr>
                <w:rFonts w:eastAsia="宋体"/>
                <w:color w:val="auto"/>
                <w:sz w:val="21"/>
                <w:szCs w:val="21"/>
              </w:rPr>
            </w:pPr>
          </w:p>
        </w:tc>
        <w:tc>
          <w:tcPr>
            <w:tcW w:w="1872" w:type="dxa"/>
            <w:vAlign w:val="center"/>
          </w:tcPr>
          <w:p w14:paraId="2CAF0274">
            <w:pPr>
              <w:pStyle w:val="34"/>
              <w:adjustRightInd w:val="0"/>
              <w:snapToGrid w:val="0"/>
              <w:jc w:val="center"/>
              <w:rPr>
                <w:rFonts w:eastAsia="宋体"/>
                <w:color w:val="auto"/>
                <w:sz w:val="21"/>
                <w:szCs w:val="21"/>
              </w:rPr>
            </w:pPr>
          </w:p>
        </w:tc>
      </w:tr>
      <w:tr w14:paraId="70D9B3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2D7B360B">
            <w:pPr>
              <w:pStyle w:val="34"/>
              <w:adjustRightInd w:val="0"/>
              <w:snapToGrid w:val="0"/>
              <w:jc w:val="center"/>
              <w:rPr>
                <w:rFonts w:eastAsia="宋体"/>
                <w:color w:val="auto"/>
                <w:sz w:val="21"/>
                <w:szCs w:val="21"/>
              </w:rPr>
            </w:pPr>
          </w:p>
        </w:tc>
        <w:tc>
          <w:tcPr>
            <w:tcW w:w="861" w:type="dxa"/>
            <w:vMerge w:val="continue"/>
            <w:vAlign w:val="center"/>
          </w:tcPr>
          <w:p w14:paraId="31BA1060">
            <w:pPr>
              <w:pStyle w:val="34"/>
              <w:adjustRightInd w:val="0"/>
              <w:snapToGrid w:val="0"/>
              <w:jc w:val="center"/>
              <w:rPr>
                <w:rFonts w:eastAsia="宋体"/>
                <w:color w:val="auto"/>
                <w:sz w:val="21"/>
                <w:szCs w:val="21"/>
              </w:rPr>
            </w:pPr>
          </w:p>
        </w:tc>
        <w:tc>
          <w:tcPr>
            <w:tcW w:w="1584" w:type="dxa"/>
            <w:vMerge w:val="restart"/>
            <w:vAlign w:val="center"/>
          </w:tcPr>
          <w:p w14:paraId="5B35E0E8">
            <w:pPr>
              <w:adjustRightInd w:val="0"/>
              <w:snapToGrid w:val="0"/>
              <w:jc w:val="center"/>
              <w:rPr>
                <w:color w:val="auto"/>
                <w:szCs w:val="21"/>
              </w:rPr>
            </w:pPr>
            <w:r>
              <w:rPr>
                <w:color w:val="auto"/>
                <w:spacing w:val="2"/>
                <w:szCs w:val="21"/>
              </w:rPr>
              <w:t>预埋螺母</w:t>
            </w:r>
          </w:p>
        </w:tc>
        <w:tc>
          <w:tcPr>
            <w:tcW w:w="1455" w:type="dxa"/>
            <w:vAlign w:val="center"/>
          </w:tcPr>
          <w:p w14:paraId="06ED01FB">
            <w:pPr>
              <w:adjustRightInd w:val="0"/>
              <w:snapToGrid w:val="0"/>
              <w:jc w:val="center"/>
              <w:rPr>
                <w:color w:val="auto"/>
                <w:szCs w:val="21"/>
              </w:rPr>
            </w:pPr>
            <w:r>
              <w:rPr>
                <w:color w:val="auto"/>
                <w:szCs w:val="21"/>
              </w:rPr>
              <w:t>中心线位置</w:t>
            </w:r>
          </w:p>
        </w:tc>
        <w:tc>
          <w:tcPr>
            <w:tcW w:w="942" w:type="dxa"/>
            <w:vAlign w:val="center"/>
          </w:tcPr>
          <w:p w14:paraId="30825278">
            <w:pPr>
              <w:adjustRightInd w:val="0"/>
              <w:snapToGrid w:val="0"/>
              <w:jc w:val="center"/>
              <w:rPr>
                <w:color w:val="auto"/>
                <w:szCs w:val="21"/>
              </w:rPr>
            </w:pPr>
            <w:r>
              <w:rPr>
                <w:color w:val="auto"/>
                <w:spacing w:val="1"/>
                <w:szCs w:val="21"/>
              </w:rPr>
              <w:t>2</w:t>
            </w:r>
          </w:p>
        </w:tc>
        <w:tc>
          <w:tcPr>
            <w:tcW w:w="563" w:type="dxa"/>
            <w:vAlign w:val="center"/>
          </w:tcPr>
          <w:p w14:paraId="39E7B062">
            <w:pPr>
              <w:pStyle w:val="34"/>
              <w:adjustRightInd w:val="0"/>
              <w:snapToGrid w:val="0"/>
              <w:jc w:val="center"/>
              <w:rPr>
                <w:rFonts w:eastAsia="宋体"/>
                <w:color w:val="auto"/>
                <w:sz w:val="21"/>
                <w:szCs w:val="21"/>
              </w:rPr>
            </w:pPr>
          </w:p>
        </w:tc>
        <w:tc>
          <w:tcPr>
            <w:tcW w:w="962" w:type="dxa"/>
            <w:vAlign w:val="center"/>
          </w:tcPr>
          <w:p w14:paraId="1E3625EE">
            <w:pPr>
              <w:pStyle w:val="34"/>
              <w:adjustRightInd w:val="0"/>
              <w:snapToGrid w:val="0"/>
              <w:jc w:val="center"/>
              <w:rPr>
                <w:rFonts w:eastAsia="宋体"/>
                <w:color w:val="auto"/>
                <w:sz w:val="21"/>
                <w:szCs w:val="21"/>
              </w:rPr>
            </w:pPr>
          </w:p>
        </w:tc>
        <w:tc>
          <w:tcPr>
            <w:tcW w:w="976" w:type="dxa"/>
            <w:vAlign w:val="center"/>
          </w:tcPr>
          <w:p w14:paraId="57C20BC9">
            <w:pPr>
              <w:pStyle w:val="34"/>
              <w:adjustRightInd w:val="0"/>
              <w:snapToGrid w:val="0"/>
              <w:jc w:val="center"/>
              <w:rPr>
                <w:rFonts w:eastAsia="宋体"/>
                <w:color w:val="auto"/>
                <w:sz w:val="21"/>
                <w:szCs w:val="21"/>
              </w:rPr>
            </w:pPr>
          </w:p>
        </w:tc>
        <w:tc>
          <w:tcPr>
            <w:tcW w:w="1872" w:type="dxa"/>
            <w:vAlign w:val="center"/>
          </w:tcPr>
          <w:p w14:paraId="0DE3F6EB">
            <w:pPr>
              <w:pStyle w:val="34"/>
              <w:adjustRightInd w:val="0"/>
              <w:snapToGrid w:val="0"/>
              <w:jc w:val="center"/>
              <w:rPr>
                <w:rFonts w:eastAsia="宋体"/>
                <w:color w:val="auto"/>
                <w:sz w:val="21"/>
                <w:szCs w:val="21"/>
              </w:rPr>
            </w:pPr>
          </w:p>
        </w:tc>
      </w:tr>
      <w:tr w14:paraId="0674C6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2D4D51AB">
            <w:pPr>
              <w:pStyle w:val="34"/>
              <w:adjustRightInd w:val="0"/>
              <w:snapToGrid w:val="0"/>
              <w:jc w:val="center"/>
              <w:rPr>
                <w:rFonts w:eastAsia="宋体"/>
                <w:color w:val="auto"/>
                <w:sz w:val="21"/>
                <w:szCs w:val="21"/>
              </w:rPr>
            </w:pPr>
          </w:p>
        </w:tc>
        <w:tc>
          <w:tcPr>
            <w:tcW w:w="861" w:type="dxa"/>
            <w:vMerge w:val="continue"/>
            <w:vAlign w:val="center"/>
          </w:tcPr>
          <w:p w14:paraId="1AE138CC">
            <w:pPr>
              <w:pStyle w:val="34"/>
              <w:adjustRightInd w:val="0"/>
              <w:snapToGrid w:val="0"/>
              <w:jc w:val="center"/>
              <w:rPr>
                <w:rFonts w:eastAsia="宋体"/>
                <w:color w:val="auto"/>
                <w:sz w:val="21"/>
                <w:szCs w:val="21"/>
              </w:rPr>
            </w:pPr>
          </w:p>
        </w:tc>
        <w:tc>
          <w:tcPr>
            <w:tcW w:w="1584" w:type="dxa"/>
            <w:vMerge w:val="continue"/>
            <w:vAlign w:val="center"/>
          </w:tcPr>
          <w:p w14:paraId="64A7A892">
            <w:pPr>
              <w:pStyle w:val="34"/>
              <w:adjustRightInd w:val="0"/>
              <w:snapToGrid w:val="0"/>
              <w:jc w:val="center"/>
              <w:rPr>
                <w:rFonts w:eastAsia="宋体"/>
                <w:color w:val="auto"/>
                <w:sz w:val="21"/>
                <w:szCs w:val="21"/>
              </w:rPr>
            </w:pPr>
          </w:p>
        </w:tc>
        <w:tc>
          <w:tcPr>
            <w:tcW w:w="1455" w:type="dxa"/>
            <w:vAlign w:val="center"/>
          </w:tcPr>
          <w:p w14:paraId="56CAA3D7">
            <w:pPr>
              <w:adjustRightInd w:val="0"/>
              <w:snapToGrid w:val="0"/>
              <w:jc w:val="center"/>
              <w:rPr>
                <w:color w:val="auto"/>
                <w:szCs w:val="21"/>
              </w:rPr>
            </w:pPr>
            <w:r>
              <w:rPr>
                <w:color w:val="auto"/>
                <w:spacing w:val="2"/>
                <w:szCs w:val="21"/>
              </w:rPr>
              <w:t>平面高差</w:t>
            </w:r>
          </w:p>
        </w:tc>
        <w:tc>
          <w:tcPr>
            <w:tcW w:w="942" w:type="dxa"/>
            <w:vAlign w:val="center"/>
          </w:tcPr>
          <w:p w14:paraId="4BFB4212">
            <w:pPr>
              <w:adjustRightInd w:val="0"/>
              <w:snapToGrid w:val="0"/>
              <w:jc w:val="center"/>
              <w:rPr>
                <w:color w:val="auto"/>
                <w:szCs w:val="21"/>
              </w:rPr>
            </w:pPr>
            <w:r>
              <w:rPr>
                <w:color w:val="auto"/>
                <w:spacing w:val="11"/>
                <w:szCs w:val="21"/>
              </w:rPr>
              <w:t>±1</w:t>
            </w:r>
          </w:p>
        </w:tc>
        <w:tc>
          <w:tcPr>
            <w:tcW w:w="563" w:type="dxa"/>
            <w:vAlign w:val="center"/>
          </w:tcPr>
          <w:p w14:paraId="156D6E4D">
            <w:pPr>
              <w:pStyle w:val="34"/>
              <w:adjustRightInd w:val="0"/>
              <w:snapToGrid w:val="0"/>
              <w:jc w:val="center"/>
              <w:rPr>
                <w:rFonts w:eastAsia="宋体"/>
                <w:color w:val="auto"/>
                <w:sz w:val="21"/>
                <w:szCs w:val="21"/>
              </w:rPr>
            </w:pPr>
          </w:p>
        </w:tc>
        <w:tc>
          <w:tcPr>
            <w:tcW w:w="962" w:type="dxa"/>
            <w:vAlign w:val="center"/>
          </w:tcPr>
          <w:p w14:paraId="2B07D1E3">
            <w:pPr>
              <w:pStyle w:val="34"/>
              <w:adjustRightInd w:val="0"/>
              <w:snapToGrid w:val="0"/>
              <w:jc w:val="center"/>
              <w:rPr>
                <w:rFonts w:eastAsia="宋体"/>
                <w:color w:val="auto"/>
                <w:sz w:val="21"/>
                <w:szCs w:val="21"/>
              </w:rPr>
            </w:pPr>
          </w:p>
        </w:tc>
        <w:tc>
          <w:tcPr>
            <w:tcW w:w="976" w:type="dxa"/>
            <w:vAlign w:val="center"/>
          </w:tcPr>
          <w:p w14:paraId="3524AA85">
            <w:pPr>
              <w:pStyle w:val="34"/>
              <w:adjustRightInd w:val="0"/>
              <w:snapToGrid w:val="0"/>
              <w:jc w:val="center"/>
              <w:rPr>
                <w:rFonts w:eastAsia="宋体"/>
                <w:color w:val="auto"/>
                <w:sz w:val="21"/>
                <w:szCs w:val="21"/>
              </w:rPr>
            </w:pPr>
          </w:p>
        </w:tc>
        <w:tc>
          <w:tcPr>
            <w:tcW w:w="1872" w:type="dxa"/>
            <w:vAlign w:val="center"/>
          </w:tcPr>
          <w:p w14:paraId="74391D13">
            <w:pPr>
              <w:pStyle w:val="34"/>
              <w:adjustRightInd w:val="0"/>
              <w:snapToGrid w:val="0"/>
              <w:jc w:val="center"/>
              <w:rPr>
                <w:rFonts w:eastAsia="宋体"/>
                <w:color w:val="auto"/>
                <w:sz w:val="21"/>
                <w:szCs w:val="21"/>
              </w:rPr>
            </w:pPr>
          </w:p>
        </w:tc>
      </w:tr>
      <w:tr w14:paraId="3BF006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2988B781">
            <w:pPr>
              <w:pStyle w:val="34"/>
              <w:adjustRightInd w:val="0"/>
              <w:snapToGrid w:val="0"/>
              <w:jc w:val="center"/>
              <w:rPr>
                <w:rFonts w:eastAsia="宋体"/>
                <w:color w:val="auto"/>
                <w:sz w:val="21"/>
                <w:szCs w:val="21"/>
              </w:rPr>
            </w:pPr>
          </w:p>
        </w:tc>
        <w:tc>
          <w:tcPr>
            <w:tcW w:w="861" w:type="dxa"/>
            <w:vMerge w:val="continue"/>
            <w:vAlign w:val="center"/>
          </w:tcPr>
          <w:p w14:paraId="2C698169">
            <w:pPr>
              <w:pStyle w:val="34"/>
              <w:adjustRightInd w:val="0"/>
              <w:snapToGrid w:val="0"/>
              <w:jc w:val="center"/>
              <w:rPr>
                <w:rFonts w:eastAsia="宋体"/>
                <w:color w:val="auto"/>
                <w:sz w:val="21"/>
                <w:szCs w:val="21"/>
              </w:rPr>
            </w:pPr>
          </w:p>
        </w:tc>
        <w:tc>
          <w:tcPr>
            <w:tcW w:w="1584" w:type="dxa"/>
            <w:vMerge w:val="restart"/>
            <w:vAlign w:val="center"/>
          </w:tcPr>
          <w:p w14:paraId="4C950B88">
            <w:pPr>
              <w:adjustRightInd w:val="0"/>
              <w:snapToGrid w:val="0"/>
              <w:ind w:left="2835"/>
              <w:jc w:val="center"/>
              <w:rPr>
                <w:color w:val="auto"/>
                <w:szCs w:val="21"/>
              </w:rPr>
            </w:pPr>
            <w:r>
              <w:rPr>
                <w:color w:val="auto"/>
                <w:spacing w:val="1"/>
                <w:szCs w:val="21"/>
              </w:rPr>
              <w:t>预留洞</w:t>
            </w:r>
          </w:p>
        </w:tc>
        <w:tc>
          <w:tcPr>
            <w:tcW w:w="1455" w:type="dxa"/>
            <w:vAlign w:val="center"/>
          </w:tcPr>
          <w:p w14:paraId="2D79DDBD">
            <w:pPr>
              <w:adjustRightInd w:val="0"/>
              <w:snapToGrid w:val="0"/>
              <w:jc w:val="center"/>
              <w:rPr>
                <w:color w:val="auto"/>
                <w:szCs w:val="21"/>
              </w:rPr>
            </w:pPr>
            <w:r>
              <w:rPr>
                <w:color w:val="auto"/>
                <w:szCs w:val="21"/>
              </w:rPr>
              <w:t>中心线位置</w:t>
            </w:r>
          </w:p>
        </w:tc>
        <w:tc>
          <w:tcPr>
            <w:tcW w:w="942" w:type="dxa"/>
            <w:vAlign w:val="center"/>
          </w:tcPr>
          <w:p w14:paraId="31D7C262">
            <w:pPr>
              <w:adjustRightInd w:val="0"/>
              <w:snapToGrid w:val="0"/>
              <w:jc w:val="center"/>
              <w:rPr>
                <w:color w:val="auto"/>
                <w:szCs w:val="21"/>
              </w:rPr>
            </w:pPr>
            <w:r>
              <w:rPr>
                <w:color w:val="auto"/>
                <w:spacing w:val="2"/>
                <w:position w:val="2"/>
                <w:szCs w:val="21"/>
              </w:rPr>
              <w:t>3</w:t>
            </w:r>
          </w:p>
        </w:tc>
        <w:tc>
          <w:tcPr>
            <w:tcW w:w="563" w:type="dxa"/>
            <w:vAlign w:val="center"/>
          </w:tcPr>
          <w:p w14:paraId="5CADDABB">
            <w:pPr>
              <w:pStyle w:val="34"/>
              <w:adjustRightInd w:val="0"/>
              <w:snapToGrid w:val="0"/>
              <w:jc w:val="center"/>
              <w:rPr>
                <w:rFonts w:eastAsia="宋体"/>
                <w:color w:val="auto"/>
                <w:sz w:val="21"/>
                <w:szCs w:val="21"/>
              </w:rPr>
            </w:pPr>
          </w:p>
        </w:tc>
        <w:tc>
          <w:tcPr>
            <w:tcW w:w="962" w:type="dxa"/>
            <w:vAlign w:val="center"/>
          </w:tcPr>
          <w:p w14:paraId="4999A90B">
            <w:pPr>
              <w:pStyle w:val="34"/>
              <w:adjustRightInd w:val="0"/>
              <w:snapToGrid w:val="0"/>
              <w:jc w:val="center"/>
              <w:rPr>
                <w:rFonts w:eastAsia="宋体"/>
                <w:color w:val="auto"/>
                <w:sz w:val="21"/>
                <w:szCs w:val="21"/>
              </w:rPr>
            </w:pPr>
          </w:p>
        </w:tc>
        <w:tc>
          <w:tcPr>
            <w:tcW w:w="976" w:type="dxa"/>
            <w:vAlign w:val="center"/>
          </w:tcPr>
          <w:p w14:paraId="32134032">
            <w:pPr>
              <w:pStyle w:val="34"/>
              <w:adjustRightInd w:val="0"/>
              <w:snapToGrid w:val="0"/>
              <w:jc w:val="center"/>
              <w:rPr>
                <w:rFonts w:eastAsia="宋体"/>
                <w:color w:val="auto"/>
                <w:sz w:val="21"/>
                <w:szCs w:val="21"/>
              </w:rPr>
            </w:pPr>
          </w:p>
        </w:tc>
        <w:tc>
          <w:tcPr>
            <w:tcW w:w="1872" w:type="dxa"/>
            <w:vAlign w:val="center"/>
          </w:tcPr>
          <w:p w14:paraId="366D78AA">
            <w:pPr>
              <w:pStyle w:val="34"/>
              <w:adjustRightInd w:val="0"/>
              <w:snapToGrid w:val="0"/>
              <w:jc w:val="center"/>
              <w:rPr>
                <w:rFonts w:eastAsia="宋体"/>
                <w:color w:val="auto"/>
                <w:sz w:val="21"/>
                <w:szCs w:val="21"/>
              </w:rPr>
            </w:pPr>
          </w:p>
        </w:tc>
      </w:tr>
      <w:tr w14:paraId="0DCB25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57EED153">
            <w:pPr>
              <w:pStyle w:val="34"/>
              <w:adjustRightInd w:val="0"/>
              <w:snapToGrid w:val="0"/>
              <w:jc w:val="center"/>
              <w:rPr>
                <w:rFonts w:eastAsia="宋体"/>
                <w:color w:val="auto"/>
                <w:sz w:val="21"/>
                <w:szCs w:val="21"/>
              </w:rPr>
            </w:pPr>
          </w:p>
        </w:tc>
        <w:tc>
          <w:tcPr>
            <w:tcW w:w="861" w:type="dxa"/>
            <w:vMerge w:val="continue"/>
            <w:vAlign w:val="center"/>
          </w:tcPr>
          <w:p w14:paraId="44EE1C37">
            <w:pPr>
              <w:pStyle w:val="34"/>
              <w:adjustRightInd w:val="0"/>
              <w:snapToGrid w:val="0"/>
              <w:jc w:val="center"/>
              <w:rPr>
                <w:rFonts w:eastAsia="宋体"/>
                <w:color w:val="auto"/>
                <w:sz w:val="21"/>
                <w:szCs w:val="21"/>
              </w:rPr>
            </w:pPr>
          </w:p>
        </w:tc>
        <w:tc>
          <w:tcPr>
            <w:tcW w:w="1584" w:type="dxa"/>
            <w:vMerge w:val="continue"/>
            <w:vAlign w:val="center"/>
          </w:tcPr>
          <w:p w14:paraId="13BBFA31">
            <w:pPr>
              <w:pStyle w:val="34"/>
              <w:adjustRightInd w:val="0"/>
              <w:snapToGrid w:val="0"/>
              <w:jc w:val="center"/>
              <w:rPr>
                <w:rFonts w:eastAsia="宋体"/>
                <w:color w:val="auto"/>
                <w:sz w:val="21"/>
                <w:szCs w:val="21"/>
              </w:rPr>
            </w:pPr>
          </w:p>
        </w:tc>
        <w:tc>
          <w:tcPr>
            <w:tcW w:w="1455" w:type="dxa"/>
            <w:vAlign w:val="center"/>
          </w:tcPr>
          <w:p w14:paraId="3C4AAE9B">
            <w:pPr>
              <w:adjustRightInd w:val="0"/>
              <w:snapToGrid w:val="0"/>
              <w:jc w:val="center"/>
              <w:rPr>
                <w:color w:val="auto"/>
                <w:szCs w:val="21"/>
              </w:rPr>
            </w:pPr>
            <w:r>
              <w:rPr>
                <w:color w:val="auto"/>
                <w:spacing w:val="1"/>
                <w:szCs w:val="21"/>
              </w:rPr>
              <w:t>尺寸</w:t>
            </w:r>
          </w:p>
        </w:tc>
        <w:tc>
          <w:tcPr>
            <w:tcW w:w="942" w:type="dxa"/>
            <w:vAlign w:val="center"/>
          </w:tcPr>
          <w:p w14:paraId="0C458755">
            <w:pPr>
              <w:adjustRightInd w:val="0"/>
              <w:snapToGrid w:val="0"/>
              <w:jc w:val="center"/>
              <w:rPr>
                <w:color w:val="auto"/>
                <w:szCs w:val="21"/>
              </w:rPr>
            </w:pPr>
            <w:r>
              <w:rPr>
                <w:color w:val="auto"/>
                <w:position w:val="2"/>
                <w:szCs w:val="21"/>
              </w:rPr>
              <w:t>+3</w:t>
            </w:r>
            <w:r>
              <w:rPr>
                <w:color w:val="auto"/>
                <w:spacing w:val="-2"/>
                <w:szCs w:val="21"/>
              </w:rPr>
              <w:t>，</w:t>
            </w:r>
            <w:r>
              <w:rPr>
                <w:color w:val="auto"/>
                <w:position w:val="2"/>
                <w:szCs w:val="21"/>
              </w:rPr>
              <w:t>0</w:t>
            </w:r>
          </w:p>
        </w:tc>
        <w:tc>
          <w:tcPr>
            <w:tcW w:w="563" w:type="dxa"/>
            <w:vAlign w:val="center"/>
          </w:tcPr>
          <w:p w14:paraId="1B387C79">
            <w:pPr>
              <w:pStyle w:val="34"/>
              <w:adjustRightInd w:val="0"/>
              <w:snapToGrid w:val="0"/>
              <w:jc w:val="center"/>
              <w:rPr>
                <w:rFonts w:eastAsia="宋体"/>
                <w:color w:val="auto"/>
                <w:sz w:val="21"/>
                <w:szCs w:val="21"/>
              </w:rPr>
            </w:pPr>
          </w:p>
        </w:tc>
        <w:tc>
          <w:tcPr>
            <w:tcW w:w="962" w:type="dxa"/>
            <w:vAlign w:val="center"/>
          </w:tcPr>
          <w:p w14:paraId="532149CE">
            <w:pPr>
              <w:pStyle w:val="34"/>
              <w:adjustRightInd w:val="0"/>
              <w:snapToGrid w:val="0"/>
              <w:jc w:val="center"/>
              <w:rPr>
                <w:rFonts w:eastAsia="宋体"/>
                <w:color w:val="auto"/>
                <w:sz w:val="21"/>
                <w:szCs w:val="21"/>
              </w:rPr>
            </w:pPr>
          </w:p>
        </w:tc>
        <w:tc>
          <w:tcPr>
            <w:tcW w:w="976" w:type="dxa"/>
            <w:vAlign w:val="center"/>
          </w:tcPr>
          <w:p w14:paraId="0B4E025C">
            <w:pPr>
              <w:pStyle w:val="34"/>
              <w:adjustRightInd w:val="0"/>
              <w:snapToGrid w:val="0"/>
              <w:jc w:val="center"/>
              <w:rPr>
                <w:rFonts w:eastAsia="宋体"/>
                <w:color w:val="auto"/>
                <w:sz w:val="21"/>
                <w:szCs w:val="21"/>
              </w:rPr>
            </w:pPr>
          </w:p>
        </w:tc>
        <w:tc>
          <w:tcPr>
            <w:tcW w:w="1872" w:type="dxa"/>
            <w:vAlign w:val="center"/>
          </w:tcPr>
          <w:p w14:paraId="416A97B9">
            <w:pPr>
              <w:pStyle w:val="34"/>
              <w:adjustRightInd w:val="0"/>
              <w:snapToGrid w:val="0"/>
              <w:jc w:val="center"/>
              <w:rPr>
                <w:rFonts w:eastAsia="宋体"/>
                <w:color w:val="auto"/>
                <w:sz w:val="21"/>
                <w:szCs w:val="21"/>
              </w:rPr>
            </w:pPr>
          </w:p>
        </w:tc>
      </w:tr>
      <w:tr w14:paraId="5B5C9A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0A66E30E">
            <w:pPr>
              <w:pStyle w:val="34"/>
              <w:adjustRightInd w:val="0"/>
              <w:snapToGrid w:val="0"/>
              <w:jc w:val="center"/>
              <w:rPr>
                <w:rFonts w:eastAsia="宋体"/>
                <w:color w:val="auto"/>
                <w:sz w:val="21"/>
                <w:szCs w:val="21"/>
              </w:rPr>
            </w:pPr>
          </w:p>
        </w:tc>
        <w:tc>
          <w:tcPr>
            <w:tcW w:w="861" w:type="dxa"/>
            <w:vMerge w:val="continue"/>
            <w:vAlign w:val="center"/>
          </w:tcPr>
          <w:p w14:paraId="144CD1C9">
            <w:pPr>
              <w:pStyle w:val="34"/>
              <w:adjustRightInd w:val="0"/>
              <w:snapToGrid w:val="0"/>
              <w:jc w:val="center"/>
              <w:rPr>
                <w:rFonts w:eastAsia="宋体"/>
                <w:color w:val="auto"/>
                <w:sz w:val="21"/>
                <w:szCs w:val="21"/>
              </w:rPr>
            </w:pPr>
          </w:p>
        </w:tc>
        <w:tc>
          <w:tcPr>
            <w:tcW w:w="1584" w:type="dxa"/>
            <w:vMerge w:val="restart"/>
            <w:vAlign w:val="center"/>
          </w:tcPr>
          <w:p w14:paraId="3B42000E">
            <w:pPr>
              <w:adjustRightInd w:val="0"/>
              <w:snapToGrid w:val="0"/>
              <w:jc w:val="center"/>
              <w:rPr>
                <w:color w:val="auto"/>
                <w:szCs w:val="21"/>
              </w:rPr>
            </w:pPr>
            <w:r>
              <w:rPr>
                <w:color w:val="auto"/>
                <w:spacing w:val="2"/>
                <w:szCs w:val="21"/>
              </w:rPr>
              <w:t>预埋连接件</w:t>
            </w:r>
            <w:r>
              <w:rPr>
                <w:rFonts w:hint="eastAsia"/>
                <w:color w:val="auto"/>
                <w:spacing w:val="2"/>
                <w:szCs w:val="21"/>
              </w:rPr>
              <w:t>、灌浆套筒</w:t>
            </w:r>
            <w:r>
              <w:rPr>
                <w:color w:val="auto"/>
                <w:spacing w:val="2"/>
                <w:szCs w:val="21"/>
              </w:rPr>
              <w:t>及连接钢筋</w:t>
            </w:r>
          </w:p>
        </w:tc>
        <w:tc>
          <w:tcPr>
            <w:tcW w:w="1455" w:type="dxa"/>
            <w:vAlign w:val="center"/>
          </w:tcPr>
          <w:p w14:paraId="3B3027F3">
            <w:pPr>
              <w:adjustRightInd w:val="0"/>
              <w:snapToGrid w:val="0"/>
              <w:jc w:val="center"/>
              <w:rPr>
                <w:color w:val="auto"/>
                <w:spacing w:val="3"/>
                <w:szCs w:val="21"/>
              </w:rPr>
            </w:pPr>
            <w:r>
              <w:rPr>
                <w:color w:val="auto"/>
                <w:spacing w:val="3"/>
                <w:szCs w:val="21"/>
              </w:rPr>
              <w:t>预埋连接件</w:t>
            </w:r>
          </w:p>
          <w:p w14:paraId="6F91728C">
            <w:pPr>
              <w:adjustRightInd w:val="0"/>
              <w:snapToGrid w:val="0"/>
              <w:jc w:val="center"/>
              <w:rPr>
                <w:color w:val="auto"/>
                <w:szCs w:val="21"/>
              </w:rPr>
            </w:pPr>
            <w:r>
              <w:rPr>
                <w:color w:val="auto"/>
                <w:spacing w:val="3"/>
                <w:szCs w:val="21"/>
              </w:rPr>
              <w:t>中心</w:t>
            </w:r>
            <w:r>
              <w:rPr>
                <w:color w:val="auto"/>
                <w:spacing w:val="1"/>
                <w:szCs w:val="21"/>
              </w:rPr>
              <w:t>线位置</w:t>
            </w:r>
          </w:p>
        </w:tc>
        <w:tc>
          <w:tcPr>
            <w:tcW w:w="942" w:type="dxa"/>
            <w:vAlign w:val="center"/>
          </w:tcPr>
          <w:p w14:paraId="3DE11526">
            <w:pPr>
              <w:adjustRightInd w:val="0"/>
              <w:snapToGrid w:val="0"/>
              <w:jc w:val="center"/>
              <w:rPr>
                <w:color w:val="auto"/>
                <w:szCs w:val="21"/>
              </w:rPr>
            </w:pPr>
            <w:r>
              <w:rPr>
                <w:color w:val="auto"/>
                <w:spacing w:val="4"/>
                <w:szCs w:val="21"/>
              </w:rPr>
              <w:t>1</w:t>
            </w:r>
          </w:p>
        </w:tc>
        <w:tc>
          <w:tcPr>
            <w:tcW w:w="563" w:type="dxa"/>
            <w:vAlign w:val="center"/>
          </w:tcPr>
          <w:p w14:paraId="1FFE6E61">
            <w:pPr>
              <w:pStyle w:val="34"/>
              <w:adjustRightInd w:val="0"/>
              <w:snapToGrid w:val="0"/>
              <w:jc w:val="center"/>
              <w:rPr>
                <w:rFonts w:eastAsia="宋体"/>
                <w:color w:val="auto"/>
                <w:sz w:val="21"/>
                <w:szCs w:val="21"/>
              </w:rPr>
            </w:pPr>
          </w:p>
        </w:tc>
        <w:tc>
          <w:tcPr>
            <w:tcW w:w="962" w:type="dxa"/>
            <w:vAlign w:val="center"/>
          </w:tcPr>
          <w:p w14:paraId="11D74672">
            <w:pPr>
              <w:pStyle w:val="34"/>
              <w:adjustRightInd w:val="0"/>
              <w:snapToGrid w:val="0"/>
              <w:jc w:val="center"/>
              <w:rPr>
                <w:rFonts w:eastAsia="宋体"/>
                <w:color w:val="auto"/>
                <w:sz w:val="21"/>
                <w:szCs w:val="21"/>
              </w:rPr>
            </w:pPr>
          </w:p>
        </w:tc>
        <w:tc>
          <w:tcPr>
            <w:tcW w:w="976" w:type="dxa"/>
            <w:vAlign w:val="center"/>
          </w:tcPr>
          <w:p w14:paraId="624E2DF9">
            <w:pPr>
              <w:pStyle w:val="34"/>
              <w:adjustRightInd w:val="0"/>
              <w:snapToGrid w:val="0"/>
              <w:jc w:val="center"/>
              <w:rPr>
                <w:rFonts w:eastAsia="宋体"/>
                <w:color w:val="auto"/>
                <w:sz w:val="21"/>
                <w:szCs w:val="21"/>
              </w:rPr>
            </w:pPr>
          </w:p>
        </w:tc>
        <w:tc>
          <w:tcPr>
            <w:tcW w:w="1872" w:type="dxa"/>
            <w:vAlign w:val="center"/>
          </w:tcPr>
          <w:p w14:paraId="3C6E85E9">
            <w:pPr>
              <w:pStyle w:val="34"/>
              <w:adjustRightInd w:val="0"/>
              <w:snapToGrid w:val="0"/>
              <w:jc w:val="center"/>
              <w:rPr>
                <w:rFonts w:eastAsia="宋体"/>
                <w:color w:val="auto"/>
                <w:sz w:val="21"/>
                <w:szCs w:val="21"/>
              </w:rPr>
            </w:pPr>
          </w:p>
        </w:tc>
      </w:tr>
      <w:tr w14:paraId="2152BD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0CC54000">
            <w:pPr>
              <w:pStyle w:val="34"/>
              <w:adjustRightInd w:val="0"/>
              <w:snapToGrid w:val="0"/>
              <w:jc w:val="center"/>
              <w:rPr>
                <w:rFonts w:eastAsia="宋体"/>
                <w:color w:val="auto"/>
                <w:sz w:val="21"/>
                <w:szCs w:val="21"/>
              </w:rPr>
            </w:pPr>
          </w:p>
        </w:tc>
        <w:tc>
          <w:tcPr>
            <w:tcW w:w="861" w:type="dxa"/>
            <w:vMerge w:val="continue"/>
            <w:vAlign w:val="center"/>
          </w:tcPr>
          <w:p w14:paraId="48E633E6">
            <w:pPr>
              <w:pStyle w:val="34"/>
              <w:adjustRightInd w:val="0"/>
              <w:snapToGrid w:val="0"/>
              <w:jc w:val="center"/>
              <w:rPr>
                <w:rFonts w:eastAsia="宋体"/>
                <w:color w:val="auto"/>
                <w:sz w:val="21"/>
                <w:szCs w:val="21"/>
              </w:rPr>
            </w:pPr>
          </w:p>
        </w:tc>
        <w:tc>
          <w:tcPr>
            <w:tcW w:w="1584" w:type="dxa"/>
            <w:vMerge w:val="continue"/>
            <w:vAlign w:val="center"/>
          </w:tcPr>
          <w:p w14:paraId="7B13A54B">
            <w:pPr>
              <w:pStyle w:val="34"/>
              <w:adjustRightInd w:val="0"/>
              <w:snapToGrid w:val="0"/>
              <w:jc w:val="center"/>
              <w:rPr>
                <w:rFonts w:eastAsia="宋体"/>
                <w:color w:val="auto"/>
                <w:sz w:val="21"/>
                <w:szCs w:val="21"/>
              </w:rPr>
            </w:pPr>
          </w:p>
        </w:tc>
        <w:tc>
          <w:tcPr>
            <w:tcW w:w="1455" w:type="dxa"/>
            <w:vAlign w:val="center"/>
          </w:tcPr>
          <w:p w14:paraId="36ECF9A7">
            <w:pPr>
              <w:adjustRightInd w:val="0"/>
              <w:snapToGrid w:val="0"/>
              <w:jc w:val="center"/>
              <w:rPr>
                <w:color w:val="auto"/>
                <w:spacing w:val="3"/>
                <w:szCs w:val="21"/>
              </w:rPr>
            </w:pPr>
            <w:r>
              <w:rPr>
                <w:color w:val="auto"/>
                <w:spacing w:val="3"/>
                <w:szCs w:val="21"/>
              </w:rPr>
              <w:t>连接钢筋</w:t>
            </w:r>
          </w:p>
          <w:p w14:paraId="021180D4">
            <w:pPr>
              <w:adjustRightInd w:val="0"/>
              <w:snapToGrid w:val="0"/>
              <w:jc w:val="center"/>
              <w:rPr>
                <w:color w:val="auto"/>
                <w:szCs w:val="21"/>
              </w:rPr>
            </w:pPr>
            <w:r>
              <w:rPr>
                <w:color w:val="auto"/>
                <w:spacing w:val="3"/>
                <w:szCs w:val="21"/>
              </w:rPr>
              <w:t>中心线</w:t>
            </w:r>
            <w:r>
              <w:rPr>
                <w:color w:val="auto"/>
                <w:spacing w:val="1"/>
                <w:szCs w:val="21"/>
              </w:rPr>
              <w:t>位置</w:t>
            </w:r>
          </w:p>
        </w:tc>
        <w:tc>
          <w:tcPr>
            <w:tcW w:w="942" w:type="dxa"/>
            <w:vAlign w:val="center"/>
          </w:tcPr>
          <w:p w14:paraId="55B4E1F8">
            <w:pPr>
              <w:adjustRightInd w:val="0"/>
              <w:snapToGrid w:val="0"/>
              <w:jc w:val="center"/>
              <w:rPr>
                <w:color w:val="auto"/>
                <w:szCs w:val="21"/>
              </w:rPr>
            </w:pPr>
            <w:r>
              <w:rPr>
                <w:color w:val="auto"/>
                <w:spacing w:val="4"/>
                <w:szCs w:val="21"/>
              </w:rPr>
              <w:t>1</w:t>
            </w:r>
          </w:p>
        </w:tc>
        <w:tc>
          <w:tcPr>
            <w:tcW w:w="563" w:type="dxa"/>
            <w:vAlign w:val="center"/>
          </w:tcPr>
          <w:p w14:paraId="31F41828">
            <w:pPr>
              <w:pStyle w:val="34"/>
              <w:adjustRightInd w:val="0"/>
              <w:snapToGrid w:val="0"/>
              <w:jc w:val="center"/>
              <w:rPr>
                <w:rFonts w:eastAsia="宋体"/>
                <w:color w:val="auto"/>
                <w:sz w:val="21"/>
                <w:szCs w:val="21"/>
              </w:rPr>
            </w:pPr>
          </w:p>
        </w:tc>
        <w:tc>
          <w:tcPr>
            <w:tcW w:w="962" w:type="dxa"/>
            <w:vAlign w:val="center"/>
          </w:tcPr>
          <w:p w14:paraId="0253CCBA">
            <w:pPr>
              <w:pStyle w:val="34"/>
              <w:adjustRightInd w:val="0"/>
              <w:snapToGrid w:val="0"/>
              <w:jc w:val="center"/>
              <w:rPr>
                <w:rFonts w:eastAsia="宋体"/>
                <w:color w:val="auto"/>
                <w:sz w:val="21"/>
                <w:szCs w:val="21"/>
              </w:rPr>
            </w:pPr>
          </w:p>
        </w:tc>
        <w:tc>
          <w:tcPr>
            <w:tcW w:w="976" w:type="dxa"/>
            <w:vAlign w:val="center"/>
          </w:tcPr>
          <w:p w14:paraId="7C25BE70">
            <w:pPr>
              <w:pStyle w:val="34"/>
              <w:adjustRightInd w:val="0"/>
              <w:snapToGrid w:val="0"/>
              <w:jc w:val="center"/>
              <w:rPr>
                <w:rFonts w:eastAsia="宋体"/>
                <w:color w:val="auto"/>
                <w:sz w:val="21"/>
                <w:szCs w:val="21"/>
              </w:rPr>
            </w:pPr>
          </w:p>
        </w:tc>
        <w:tc>
          <w:tcPr>
            <w:tcW w:w="1872" w:type="dxa"/>
            <w:vAlign w:val="center"/>
          </w:tcPr>
          <w:p w14:paraId="4F09E753">
            <w:pPr>
              <w:pStyle w:val="34"/>
              <w:adjustRightInd w:val="0"/>
              <w:snapToGrid w:val="0"/>
              <w:jc w:val="center"/>
              <w:rPr>
                <w:rFonts w:eastAsia="宋体"/>
                <w:color w:val="auto"/>
                <w:sz w:val="21"/>
                <w:szCs w:val="21"/>
              </w:rPr>
            </w:pPr>
          </w:p>
        </w:tc>
      </w:tr>
      <w:tr w14:paraId="29103A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4369E5AF">
            <w:pPr>
              <w:pStyle w:val="34"/>
              <w:adjustRightInd w:val="0"/>
              <w:snapToGrid w:val="0"/>
              <w:jc w:val="center"/>
              <w:rPr>
                <w:rFonts w:eastAsia="宋体"/>
                <w:color w:val="auto"/>
                <w:sz w:val="21"/>
                <w:szCs w:val="21"/>
              </w:rPr>
            </w:pPr>
          </w:p>
        </w:tc>
        <w:tc>
          <w:tcPr>
            <w:tcW w:w="861" w:type="dxa"/>
            <w:vMerge w:val="continue"/>
            <w:vAlign w:val="center"/>
          </w:tcPr>
          <w:p w14:paraId="6D4DCB02">
            <w:pPr>
              <w:pStyle w:val="34"/>
              <w:adjustRightInd w:val="0"/>
              <w:snapToGrid w:val="0"/>
              <w:jc w:val="center"/>
              <w:rPr>
                <w:rFonts w:eastAsia="宋体"/>
                <w:color w:val="auto"/>
                <w:sz w:val="21"/>
                <w:szCs w:val="21"/>
              </w:rPr>
            </w:pPr>
          </w:p>
        </w:tc>
        <w:tc>
          <w:tcPr>
            <w:tcW w:w="1584" w:type="dxa"/>
            <w:vMerge w:val="continue"/>
            <w:vAlign w:val="center"/>
          </w:tcPr>
          <w:p w14:paraId="4E558830">
            <w:pPr>
              <w:pStyle w:val="34"/>
              <w:adjustRightInd w:val="0"/>
              <w:snapToGrid w:val="0"/>
              <w:jc w:val="center"/>
              <w:rPr>
                <w:rFonts w:eastAsia="宋体"/>
                <w:color w:val="auto"/>
                <w:sz w:val="21"/>
                <w:szCs w:val="21"/>
              </w:rPr>
            </w:pPr>
          </w:p>
        </w:tc>
        <w:tc>
          <w:tcPr>
            <w:tcW w:w="1455" w:type="dxa"/>
            <w:vAlign w:val="center"/>
          </w:tcPr>
          <w:p w14:paraId="5F59F542">
            <w:pPr>
              <w:adjustRightInd w:val="0"/>
              <w:snapToGrid w:val="0"/>
              <w:jc w:val="center"/>
              <w:rPr>
                <w:color w:val="auto"/>
                <w:szCs w:val="21"/>
              </w:rPr>
            </w:pPr>
            <w:r>
              <w:rPr>
                <w:color w:val="auto"/>
                <w:spacing w:val="3"/>
                <w:szCs w:val="21"/>
              </w:rPr>
              <w:t>连接钢筋外露长</w:t>
            </w:r>
            <w:r>
              <w:rPr>
                <w:color w:val="auto"/>
                <w:szCs w:val="21"/>
              </w:rPr>
              <w:t>度</w:t>
            </w:r>
          </w:p>
        </w:tc>
        <w:tc>
          <w:tcPr>
            <w:tcW w:w="942" w:type="dxa"/>
            <w:vAlign w:val="center"/>
          </w:tcPr>
          <w:p w14:paraId="3567FB94">
            <w:pPr>
              <w:adjustRightInd w:val="0"/>
              <w:snapToGrid w:val="0"/>
              <w:jc w:val="center"/>
              <w:rPr>
                <w:color w:val="auto"/>
                <w:szCs w:val="21"/>
              </w:rPr>
            </w:pPr>
            <w:r>
              <w:rPr>
                <w:color w:val="auto"/>
                <w:position w:val="2"/>
                <w:szCs w:val="21"/>
              </w:rPr>
              <w:t>+5</w:t>
            </w:r>
            <w:r>
              <w:rPr>
                <w:color w:val="auto"/>
                <w:spacing w:val="-2"/>
                <w:szCs w:val="21"/>
              </w:rPr>
              <w:t>，</w:t>
            </w:r>
            <w:r>
              <w:rPr>
                <w:color w:val="auto"/>
                <w:position w:val="2"/>
                <w:szCs w:val="21"/>
              </w:rPr>
              <w:t>0</w:t>
            </w:r>
          </w:p>
        </w:tc>
        <w:tc>
          <w:tcPr>
            <w:tcW w:w="563" w:type="dxa"/>
            <w:vAlign w:val="center"/>
          </w:tcPr>
          <w:p w14:paraId="2DA4D670">
            <w:pPr>
              <w:pStyle w:val="34"/>
              <w:adjustRightInd w:val="0"/>
              <w:snapToGrid w:val="0"/>
              <w:jc w:val="center"/>
              <w:rPr>
                <w:rFonts w:eastAsia="宋体"/>
                <w:color w:val="auto"/>
                <w:sz w:val="21"/>
                <w:szCs w:val="21"/>
              </w:rPr>
            </w:pPr>
          </w:p>
        </w:tc>
        <w:tc>
          <w:tcPr>
            <w:tcW w:w="962" w:type="dxa"/>
            <w:vAlign w:val="center"/>
          </w:tcPr>
          <w:p w14:paraId="3ED6A21E">
            <w:pPr>
              <w:pStyle w:val="34"/>
              <w:adjustRightInd w:val="0"/>
              <w:snapToGrid w:val="0"/>
              <w:jc w:val="center"/>
              <w:rPr>
                <w:rFonts w:eastAsia="宋体"/>
                <w:color w:val="auto"/>
                <w:sz w:val="21"/>
                <w:szCs w:val="21"/>
              </w:rPr>
            </w:pPr>
          </w:p>
        </w:tc>
        <w:tc>
          <w:tcPr>
            <w:tcW w:w="976" w:type="dxa"/>
            <w:vAlign w:val="center"/>
          </w:tcPr>
          <w:p w14:paraId="21867F3B">
            <w:pPr>
              <w:pStyle w:val="34"/>
              <w:adjustRightInd w:val="0"/>
              <w:snapToGrid w:val="0"/>
              <w:jc w:val="center"/>
              <w:rPr>
                <w:rFonts w:eastAsia="宋体"/>
                <w:color w:val="auto"/>
                <w:sz w:val="21"/>
                <w:szCs w:val="21"/>
              </w:rPr>
            </w:pPr>
          </w:p>
        </w:tc>
        <w:tc>
          <w:tcPr>
            <w:tcW w:w="1872" w:type="dxa"/>
            <w:vAlign w:val="center"/>
          </w:tcPr>
          <w:p w14:paraId="58EC7366">
            <w:pPr>
              <w:pStyle w:val="34"/>
              <w:adjustRightInd w:val="0"/>
              <w:snapToGrid w:val="0"/>
              <w:jc w:val="center"/>
              <w:rPr>
                <w:rFonts w:eastAsia="宋体"/>
                <w:color w:val="auto"/>
                <w:sz w:val="21"/>
                <w:szCs w:val="21"/>
              </w:rPr>
            </w:pPr>
          </w:p>
        </w:tc>
      </w:tr>
      <w:tr w14:paraId="33F24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restart"/>
            <w:vAlign w:val="center"/>
          </w:tcPr>
          <w:p w14:paraId="10D282BA">
            <w:pPr>
              <w:pStyle w:val="34"/>
              <w:adjustRightInd w:val="0"/>
              <w:snapToGrid w:val="0"/>
              <w:jc w:val="center"/>
              <w:rPr>
                <w:rFonts w:eastAsia="宋体"/>
                <w:color w:val="auto"/>
                <w:sz w:val="21"/>
                <w:szCs w:val="21"/>
              </w:rPr>
            </w:pPr>
            <w:r>
              <w:rPr>
                <w:rFonts w:eastAsia="宋体"/>
                <w:color w:val="auto"/>
                <w:sz w:val="21"/>
                <w:szCs w:val="21"/>
              </w:rPr>
              <w:t>3</w:t>
            </w:r>
          </w:p>
        </w:tc>
        <w:tc>
          <w:tcPr>
            <w:tcW w:w="9215" w:type="dxa"/>
            <w:gridSpan w:val="8"/>
            <w:vAlign w:val="center"/>
          </w:tcPr>
          <w:p w14:paraId="6795CB1D">
            <w:pPr>
              <w:pStyle w:val="34"/>
              <w:adjustRightInd w:val="0"/>
              <w:snapToGrid w:val="0"/>
              <w:jc w:val="center"/>
              <w:rPr>
                <w:rFonts w:eastAsia="宋体"/>
                <w:color w:val="auto"/>
                <w:sz w:val="21"/>
                <w:szCs w:val="21"/>
                <w:lang w:eastAsia="zh-CN"/>
              </w:rPr>
            </w:pPr>
            <w:r>
              <w:rPr>
                <w:rFonts w:eastAsia="宋体"/>
                <w:color w:val="auto"/>
                <w:spacing w:val="2"/>
                <w:sz w:val="21"/>
                <w:szCs w:val="21"/>
                <w:lang w:eastAsia="zh-CN"/>
              </w:rPr>
              <w:t>门窗框安装（最大偏差值）（mm）</w:t>
            </w:r>
          </w:p>
        </w:tc>
      </w:tr>
      <w:tr w14:paraId="25514C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1DC1AEA9">
            <w:pPr>
              <w:pStyle w:val="34"/>
              <w:adjustRightInd w:val="0"/>
              <w:snapToGrid w:val="0"/>
              <w:jc w:val="center"/>
              <w:rPr>
                <w:rFonts w:eastAsia="宋体"/>
                <w:color w:val="auto"/>
                <w:sz w:val="21"/>
                <w:szCs w:val="21"/>
                <w:lang w:eastAsia="zh-CN"/>
              </w:rPr>
            </w:pPr>
          </w:p>
        </w:tc>
        <w:tc>
          <w:tcPr>
            <w:tcW w:w="861" w:type="dxa"/>
            <w:vMerge w:val="restart"/>
            <w:vAlign w:val="center"/>
          </w:tcPr>
          <w:p w14:paraId="18EA774B">
            <w:pPr>
              <w:pStyle w:val="34"/>
              <w:adjustRightInd w:val="0"/>
              <w:snapToGrid w:val="0"/>
              <w:jc w:val="center"/>
              <w:rPr>
                <w:rFonts w:eastAsia="宋体"/>
                <w:color w:val="auto"/>
                <w:spacing w:val="2"/>
                <w:sz w:val="21"/>
                <w:szCs w:val="21"/>
              </w:rPr>
            </w:pPr>
            <w:r>
              <w:rPr>
                <w:rFonts w:eastAsia="宋体"/>
                <w:color w:val="auto"/>
                <w:spacing w:val="2"/>
                <w:sz w:val="21"/>
                <w:szCs w:val="21"/>
              </w:rPr>
              <w:t>一般</w:t>
            </w:r>
          </w:p>
          <w:p w14:paraId="42E3C645">
            <w:pPr>
              <w:pStyle w:val="34"/>
              <w:adjustRightInd w:val="0"/>
              <w:snapToGrid w:val="0"/>
              <w:jc w:val="center"/>
              <w:rPr>
                <w:rFonts w:eastAsia="宋体"/>
                <w:color w:val="auto"/>
                <w:sz w:val="21"/>
                <w:szCs w:val="21"/>
              </w:rPr>
            </w:pPr>
            <w:r>
              <w:rPr>
                <w:rFonts w:eastAsia="宋体"/>
                <w:color w:val="auto"/>
                <w:spacing w:val="2"/>
                <w:sz w:val="21"/>
                <w:szCs w:val="21"/>
              </w:rPr>
              <w:t>项目</w:t>
            </w:r>
          </w:p>
        </w:tc>
        <w:tc>
          <w:tcPr>
            <w:tcW w:w="1584" w:type="dxa"/>
            <w:vMerge w:val="restart"/>
            <w:vAlign w:val="center"/>
          </w:tcPr>
          <w:p w14:paraId="4665B366">
            <w:pPr>
              <w:pStyle w:val="34"/>
              <w:adjustRightInd w:val="0"/>
              <w:snapToGrid w:val="0"/>
              <w:jc w:val="center"/>
              <w:rPr>
                <w:rFonts w:eastAsia="宋体"/>
                <w:color w:val="auto"/>
                <w:sz w:val="21"/>
                <w:szCs w:val="21"/>
              </w:rPr>
            </w:pPr>
            <w:r>
              <w:rPr>
                <w:rFonts w:eastAsia="宋体"/>
                <w:color w:val="auto"/>
                <w:spacing w:val="2"/>
                <w:sz w:val="21"/>
                <w:szCs w:val="21"/>
              </w:rPr>
              <w:t>锚固脚片</w:t>
            </w:r>
          </w:p>
        </w:tc>
        <w:tc>
          <w:tcPr>
            <w:tcW w:w="1455" w:type="dxa"/>
            <w:vAlign w:val="center"/>
          </w:tcPr>
          <w:p w14:paraId="45DEA679">
            <w:pPr>
              <w:adjustRightInd w:val="0"/>
              <w:snapToGrid w:val="0"/>
              <w:jc w:val="center"/>
              <w:rPr>
                <w:color w:val="auto"/>
                <w:szCs w:val="21"/>
              </w:rPr>
            </w:pPr>
            <w:r>
              <w:rPr>
                <w:color w:val="auto"/>
                <w:szCs w:val="21"/>
              </w:rPr>
              <w:t>中心线位置</w:t>
            </w:r>
          </w:p>
        </w:tc>
        <w:tc>
          <w:tcPr>
            <w:tcW w:w="942" w:type="dxa"/>
            <w:vAlign w:val="center"/>
          </w:tcPr>
          <w:p w14:paraId="07066A66">
            <w:pPr>
              <w:adjustRightInd w:val="0"/>
              <w:snapToGrid w:val="0"/>
              <w:jc w:val="center"/>
              <w:rPr>
                <w:color w:val="auto"/>
                <w:szCs w:val="21"/>
              </w:rPr>
            </w:pPr>
            <w:r>
              <w:rPr>
                <w:color w:val="auto"/>
                <w:position w:val="2"/>
                <w:szCs w:val="21"/>
              </w:rPr>
              <w:t>5</w:t>
            </w:r>
          </w:p>
        </w:tc>
        <w:tc>
          <w:tcPr>
            <w:tcW w:w="563" w:type="dxa"/>
            <w:vAlign w:val="center"/>
          </w:tcPr>
          <w:p w14:paraId="4D2FEA43">
            <w:pPr>
              <w:pStyle w:val="34"/>
              <w:adjustRightInd w:val="0"/>
              <w:snapToGrid w:val="0"/>
              <w:jc w:val="center"/>
              <w:rPr>
                <w:rFonts w:eastAsia="宋体"/>
                <w:color w:val="auto"/>
                <w:sz w:val="21"/>
                <w:szCs w:val="21"/>
              </w:rPr>
            </w:pPr>
          </w:p>
        </w:tc>
        <w:tc>
          <w:tcPr>
            <w:tcW w:w="962" w:type="dxa"/>
            <w:vAlign w:val="center"/>
          </w:tcPr>
          <w:p w14:paraId="489D2F47">
            <w:pPr>
              <w:pStyle w:val="34"/>
              <w:adjustRightInd w:val="0"/>
              <w:snapToGrid w:val="0"/>
              <w:jc w:val="center"/>
              <w:rPr>
                <w:rFonts w:eastAsia="宋体"/>
                <w:color w:val="auto"/>
                <w:sz w:val="21"/>
                <w:szCs w:val="21"/>
              </w:rPr>
            </w:pPr>
          </w:p>
        </w:tc>
        <w:tc>
          <w:tcPr>
            <w:tcW w:w="976" w:type="dxa"/>
            <w:vAlign w:val="center"/>
          </w:tcPr>
          <w:p w14:paraId="4B4ABDEE">
            <w:pPr>
              <w:pStyle w:val="34"/>
              <w:adjustRightInd w:val="0"/>
              <w:snapToGrid w:val="0"/>
              <w:jc w:val="center"/>
              <w:rPr>
                <w:rFonts w:eastAsia="宋体"/>
                <w:color w:val="auto"/>
                <w:sz w:val="21"/>
                <w:szCs w:val="21"/>
              </w:rPr>
            </w:pPr>
          </w:p>
        </w:tc>
        <w:tc>
          <w:tcPr>
            <w:tcW w:w="1872" w:type="dxa"/>
            <w:vAlign w:val="center"/>
          </w:tcPr>
          <w:p w14:paraId="0DB371F6">
            <w:pPr>
              <w:pStyle w:val="34"/>
              <w:adjustRightInd w:val="0"/>
              <w:snapToGrid w:val="0"/>
              <w:jc w:val="center"/>
              <w:rPr>
                <w:rFonts w:eastAsia="宋体"/>
                <w:color w:val="auto"/>
                <w:sz w:val="21"/>
                <w:szCs w:val="21"/>
              </w:rPr>
            </w:pPr>
          </w:p>
        </w:tc>
      </w:tr>
      <w:tr w14:paraId="3EE57C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3B641E6A">
            <w:pPr>
              <w:pStyle w:val="34"/>
              <w:adjustRightInd w:val="0"/>
              <w:snapToGrid w:val="0"/>
              <w:jc w:val="center"/>
              <w:rPr>
                <w:rFonts w:eastAsia="宋体"/>
                <w:color w:val="auto"/>
                <w:sz w:val="21"/>
                <w:szCs w:val="21"/>
              </w:rPr>
            </w:pPr>
          </w:p>
        </w:tc>
        <w:tc>
          <w:tcPr>
            <w:tcW w:w="861" w:type="dxa"/>
            <w:vMerge w:val="continue"/>
            <w:vAlign w:val="center"/>
          </w:tcPr>
          <w:p w14:paraId="6A0E03B6">
            <w:pPr>
              <w:pStyle w:val="34"/>
              <w:adjustRightInd w:val="0"/>
              <w:snapToGrid w:val="0"/>
              <w:jc w:val="center"/>
              <w:rPr>
                <w:rFonts w:eastAsia="宋体"/>
                <w:color w:val="auto"/>
                <w:sz w:val="21"/>
                <w:szCs w:val="21"/>
              </w:rPr>
            </w:pPr>
          </w:p>
        </w:tc>
        <w:tc>
          <w:tcPr>
            <w:tcW w:w="1584" w:type="dxa"/>
            <w:vMerge w:val="continue"/>
            <w:vAlign w:val="center"/>
          </w:tcPr>
          <w:p w14:paraId="1B66DBD2">
            <w:pPr>
              <w:pStyle w:val="34"/>
              <w:adjustRightInd w:val="0"/>
              <w:snapToGrid w:val="0"/>
              <w:jc w:val="center"/>
              <w:rPr>
                <w:rFonts w:eastAsia="宋体"/>
                <w:color w:val="auto"/>
                <w:sz w:val="21"/>
                <w:szCs w:val="21"/>
              </w:rPr>
            </w:pPr>
          </w:p>
        </w:tc>
        <w:tc>
          <w:tcPr>
            <w:tcW w:w="1455" w:type="dxa"/>
            <w:vAlign w:val="center"/>
          </w:tcPr>
          <w:p w14:paraId="75529CFF">
            <w:pPr>
              <w:adjustRightInd w:val="0"/>
              <w:snapToGrid w:val="0"/>
              <w:jc w:val="center"/>
              <w:rPr>
                <w:color w:val="auto"/>
                <w:szCs w:val="21"/>
              </w:rPr>
            </w:pPr>
            <w:r>
              <w:rPr>
                <w:color w:val="auto"/>
                <w:spacing w:val="1"/>
                <w:szCs w:val="21"/>
              </w:rPr>
              <w:t>外露长度</w:t>
            </w:r>
          </w:p>
        </w:tc>
        <w:tc>
          <w:tcPr>
            <w:tcW w:w="942" w:type="dxa"/>
            <w:vAlign w:val="center"/>
          </w:tcPr>
          <w:p w14:paraId="4F7E1796">
            <w:pPr>
              <w:adjustRightInd w:val="0"/>
              <w:snapToGrid w:val="0"/>
              <w:jc w:val="center"/>
              <w:rPr>
                <w:color w:val="auto"/>
                <w:szCs w:val="21"/>
              </w:rPr>
            </w:pPr>
            <w:r>
              <w:rPr>
                <w:color w:val="auto"/>
                <w:position w:val="2"/>
                <w:szCs w:val="21"/>
              </w:rPr>
              <w:t>+5</w:t>
            </w:r>
            <w:r>
              <w:rPr>
                <w:color w:val="auto"/>
                <w:spacing w:val="-2"/>
                <w:szCs w:val="21"/>
              </w:rPr>
              <w:t>，</w:t>
            </w:r>
            <w:r>
              <w:rPr>
                <w:color w:val="auto"/>
                <w:position w:val="2"/>
                <w:szCs w:val="21"/>
              </w:rPr>
              <w:t>0</w:t>
            </w:r>
          </w:p>
        </w:tc>
        <w:tc>
          <w:tcPr>
            <w:tcW w:w="563" w:type="dxa"/>
            <w:vAlign w:val="center"/>
          </w:tcPr>
          <w:p w14:paraId="561BB447">
            <w:pPr>
              <w:pStyle w:val="34"/>
              <w:adjustRightInd w:val="0"/>
              <w:snapToGrid w:val="0"/>
              <w:jc w:val="center"/>
              <w:rPr>
                <w:rFonts w:eastAsia="宋体"/>
                <w:color w:val="auto"/>
                <w:sz w:val="21"/>
                <w:szCs w:val="21"/>
              </w:rPr>
            </w:pPr>
          </w:p>
        </w:tc>
        <w:tc>
          <w:tcPr>
            <w:tcW w:w="962" w:type="dxa"/>
            <w:vAlign w:val="center"/>
          </w:tcPr>
          <w:p w14:paraId="391D8285">
            <w:pPr>
              <w:pStyle w:val="34"/>
              <w:adjustRightInd w:val="0"/>
              <w:snapToGrid w:val="0"/>
              <w:jc w:val="center"/>
              <w:rPr>
                <w:rFonts w:eastAsia="宋体"/>
                <w:color w:val="auto"/>
                <w:sz w:val="21"/>
                <w:szCs w:val="21"/>
              </w:rPr>
            </w:pPr>
          </w:p>
        </w:tc>
        <w:tc>
          <w:tcPr>
            <w:tcW w:w="976" w:type="dxa"/>
            <w:vAlign w:val="center"/>
          </w:tcPr>
          <w:p w14:paraId="56050917">
            <w:pPr>
              <w:pStyle w:val="34"/>
              <w:adjustRightInd w:val="0"/>
              <w:snapToGrid w:val="0"/>
              <w:jc w:val="center"/>
              <w:rPr>
                <w:rFonts w:eastAsia="宋体"/>
                <w:color w:val="auto"/>
                <w:sz w:val="21"/>
                <w:szCs w:val="21"/>
              </w:rPr>
            </w:pPr>
          </w:p>
        </w:tc>
        <w:tc>
          <w:tcPr>
            <w:tcW w:w="1872" w:type="dxa"/>
            <w:vAlign w:val="center"/>
          </w:tcPr>
          <w:p w14:paraId="227F3D2C">
            <w:pPr>
              <w:pStyle w:val="34"/>
              <w:adjustRightInd w:val="0"/>
              <w:snapToGrid w:val="0"/>
              <w:jc w:val="center"/>
              <w:rPr>
                <w:rFonts w:eastAsia="宋体"/>
                <w:color w:val="auto"/>
                <w:sz w:val="21"/>
                <w:szCs w:val="21"/>
              </w:rPr>
            </w:pPr>
          </w:p>
        </w:tc>
      </w:tr>
      <w:tr w14:paraId="758B0B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302B2AF7">
            <w:pPr>
              <w:pStyle w:val="34"/>
              <w:adjustRightInd w:val="0"/>
              <w:snapToGrid w:val="0"/>
              <w:jc w:val="center"/>
              <w:rPr>
                <w:rFonts w:eastAsia="宋体"/>
                <w:color w:val="auto"/>
                <w:sz w:val="21"/>
                <w:szCs w:val="21"/>
              </w:rPr>
            </w:pPr>
          </w:p>
        </w:tc>
        <w:tc>
          <w:tcPr>
            <w:tcW w:w="861" w:type="dxa"/>
            <w:vMerge w:val="continue"/>
            <w:vAlign w:val="center"/>
          </w:tcPr>
          <w:p w14:paraId="7CEF2F74">
            <w:pPr>
              <w:pStyle w:val="34"/>
              <w:adjustRightInd w:val="0"/>
              <w:snapToGrid w:val="0"/>
              <w:jc w:val="center"/>
              <w:rPr>
                <w:rFonts w:eastAsia="宋体"/>
                <w:color w:val="auto"/>
                <w:sz w:val="21"/>
                <w:szCs w:val="21"/>
              </w:rPr>
            </w:pPr>
          </w:p>
        </w:tc>
        <w:tc>
          <w:tcPr>
            <w:tcW w:w="3039" w:type="dxa"/>
            <w:gridSpan w:val="2"/>
            <w:vAlign w:val="center"/>
          </w:tcPr>
          <w:p w14:paraId="23ED313C">
            <w:pPr>
              <w:adjustRightInd w:val="0"/>
              <w:snapToGrid w:val="0"/>
              <w:jc w:val="center"/>
              <w:rPr>
                <w:color w:val="auto"/>
                <w:szCs w:val="21"/>
              </w:rPr>
            </w:pPr>
            <w:r>
              <w:rPr>
                <w:color w:val="auto"/>
                <w:spacing w:val="-1"/>
                <w:szCs w:val="21"/>
              </w:rPr>
              <w:t>门窗框位置</w:t>
            </w:r>
          </w:p>
        </w:tc>
        <w:tc>
          <w:tcPr>
            <w:tcW w:w="942" w:type="dxa"/>
            <w:vAlign w:val="center"/>
          </w:tcPr>
          <w:p w14:paraId="0A009436">
            <w:pPr>
              <w:adjustRightInd w:val="0"/>
              <w:snapToGrid w:val="0"/>
              <w:jc w:val="center"/>
              <w:rPr>
                <w:color w:val="auto"/>
                <w:szCs w:val="21"/>
              </w:rPr>
            </w:pPr>
            <w:r>
              <w:rPr>
                <w:color w:val="auto"/>
                <w:spacing w:val="1"/>
                <w:szCs w:val="21"/>
              </w:rPr>
              <w:t>2</w:t>
            </w:r>
          </w:p>
        </w:tc>
        <w:tc>
          <w:tcPr>
            <w:tcW w:w="563" w:type="dxa"/>
            <w:vAlign w:val="center"/>
          </w:tcPr>
          <w:p w14:paraId="0A1C5DBF">
            <w:pPr>
              <w:pStyle w:val="34"/>
              <w:adjustRightInd w:val="0"/>
              <w:snapToGrid w:val="0"/>
              <w:jc w:val="center"/>
              <w:rPr>
                <w:rFonts w:eastAsia="宋体"/>
                <w:color w:val="auto"/>
                <w:sz w:val="21"/>
                <w:szCs w:val="21"/>
              </w:rPr>
            </w:pPr>
          </w:p>
        </w:tc>
        <w:tc>
          <w:tcPr>
            <w:tcW w:w="962" w:type="dxa"/>
            <w:vAlign w:val="center"/>
          </w:tcPr>
          <w:p w14:paraId="6E71CCAE">
            <w:pPr>
              <w:pStyle w:val="34"/>
              <w:adjustRightInd w:val="0"/>
              <w:snapToGrid w:val="0"/>
              <w:jc w:val="center"/>
              <w:rPr>
                <w:rFonts w:eastAsia="宋体"/>
                <w:color w:val="auto"/>
                <w:sz w:val="21"/>
                <w:szCs w:val="21"/>
              </w:rPr>
            </w:pPr>
          </w:p>
        </w:tc>
        <w:tc>
          <w:tcPr>
            <w:tcW w:w="976" w:type="dxa"/>
            <w:vAlign w:val="center"/>
          </w:tcPr>
          <w:p w14:paraId="13BD85EC">
            <w:pPr>
              <w:pStyle w:val="34"/>
              <w:adjustRightInd w:val="0"/>
              <w:snapToGrid w:val="0"/>
              <w:jc w:val="center"/>
              <w:rPr>
                <w:rFonts w:eastAsia="宋体"/>
                <w:color w:val="auto"/>
                <w:sz w:val="21"/>
                <w:szCs w:val="21"/>
              </w:rPr>
            </w:pPr>
          </w:p>
        </w:tc>
        <w:tc>
          <w:tcPr>
            <w:tcW w:w="1872" w:type="dxa"/>
            <w:vAlign w:val="center"/>
          </w:tcPr>
          <w:p w14:paraId="103C8E92">
            <w:pPr>
              <w:pStyle w:val="34"/>
              <w:adjustRightInd w:val="0"/>
              <w:snapToGrid w:val="0"/>
              <w:jc w:val="center"/>
              <w:rPr>
                <w:rFonts w:eastAsia="宋体"/>
                <w:color w:val="auto"/>
                <w:sz w:val="21"/>
                <w:szCs w:val="21"/>
              </w:rPr>
            </w:pPr>
          </w:p>
        </w:tc>
      </w:tr>
      <w:tr w14:paraId="0F7473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4BB85523">
            <w:pPr>
              <w:pStyle w:val="34"/>
              <w:adjustRightInd w:val="0"/>
              <w:snapToGrid w:val="0"/>
              <w:jc w:val="center"/>
              <w:rPr>
                <w:rFonts w:eastAsia="宋体"/>
                <w:color w:val="auto"/>
                <w:sz w:val="21"/>
                <w:szCs w:val="21"/>
              </w:rPr>
            </w:pPr>
          </w:p>
        </w:tc>
        <w:tc>
          <w:tcPr>
            <w:tcW w:w="861" w:type="dxa"/>
            <w:vMerge w:val="continue"/>
            <w:vAlign w:val="center"/>
          </w:tcPr>
          <w:p w14:paraId="73D7405A">
            <w:pPr>
              <w:pStyle w:val="34"/>
              <w:adjustRightInd w:val="0"/>
              <w:snapToGrid w:val="0"/>
              <w:jc w:val="center"/>
              <w:rPr>
                <w:rFonts w:eastAsia="宋体"/>
                <w:color w:val="auto"/>
                <w:sz w:val="21"/>
                <w:szCs w:val="21"/>
              </w:rPr>
            </w:pPr>
          </w:p>
        </w:tc>
        <w:tc>
          <w:tcPr>
            <w:tcW w:w="3039" w:type="dxa"/>
            <w:gridSpan w:val="2"/>
            <w:vAlign w:val="center"/>
          </w:tcPr>
          <w:p w14:paraId="30BD11FE">
            <w:pPr>
              <w:adjustRightInd w:val="0"/>
              <w:snapToGrid w:val="0"/>
              <w:jc w:val="center"/>
              <w:rPr>
                <w:color w:val="auto"/>
                <w:szCs w:val="21"/>
              </w:rPr>
            </w:pPr>
            <w:r>
              <w:rPr>
                <w:color w:val="auto"/>
                <w:szCs w:val="21"/>
              </w:rPr>
              <w:t>门窗框高、宽</w:t>
            </w:r>
          </w:p>
        </w:tc>
        <w:tc>
          <w:tcPr>
            <w:tcW w:w="942" w:type="dxa"/>
            <w:vAlign w:val="center"/>
          </w:tcPr>
          <w:p w14:paraId="523FE6C6">
            <w:pPr>
              <w:adjustRightInd w:val="0"/>
              <w:snapToGrid w:val="0"/>
              <w:jc w:val="center"/>
              <w:rPr>
                <w:color w:val="auto"/>
                <w:szCs w:val="21"/>
              </w:rPr>
            </w:pPr>
            <w:r>
              <w:rPr>
                <w:color w:val="auto"/>
                <w:spacing w:val="2"/>
                <w:szCs w:val="21"/>
              </w:rPr>
              <w:t>±2</w:t>
            </w:r>
          </w:p>
        </w:tc>
        <w:tc>
          <w:tcPr>
            <w:tcW w:w="563" w:type="dxa"/>
            <w:vAlign w:val="center"/>
          </w:tcPr>
          <w:p w14:paraId="788041F9">
            <w:pPr>
              <w:pStyle w:val="34"/>
              <w:adjustRightInd w:val="0"/>
              <w:snapToGrid w:val="0"/>
              <w:jc w:val="center"/>
              <w:rPr>
                <w:rFonts w:eastAsia="宋体"/>
                <w:color w:val="auto"/>
                <w:sz w:val="21"/>
                <w:szCs w:val="21"/>
              </w:rPr>
            </w:pPr>
          </w:p>
        </w:tc>
        <w:tc>
          <w:tcPr>
            <w:tcW w:w="962" w:type="dxa"/>
            <w:vAlign w:val="center"/>
          </w:tcPr>
          <w:p w14:paraId="765644EB">
            <w:pPr>
              <w:pStyle w:val="34"/>
              <w:adjustRightInd w:val="0"/>
              <w:snapToGrid w:val="0"/>
              <w:jc w:val="center"/>
              <w:rPr>
                <w:rFonts w:eastAsia="宋体"/>
                <w:color w:val="auto"/>
                <w:sz w:val="21"/>
                <w:szCs w:val="21"/>
              </w:rPr>
            </w:pPr>
          </w:p>
        </w:tc>
        <w:tc>
          <w:tcPr>
            <w:tcW w:w="976" w:type="dxa"/>
            <w:vAlign w:val="center"/>
          </w:tcPr>
          <w:p w14:paraId="3F09896C">
            <w:pPr>
              <w:pStyle w:val="34"/>
              <w:adjustRightInd w:val="0"/>
              <w:snapToGrid w:val="0"/>
              <w:jc w:val="center"/>
              <w:rPr>
                <w:rFonts w:eastAsia="宋体"/>
                <w:color w:val="auto"/>
                <w:sz w:val="21"/>
                <w:szCs w:val="21"/>
              </w:rPr>
            </w:pPr>
          </w:p>
        </w:tc>
        <w:tc>
          <w:tcPr>
            <w:tcW w:w="1872" w:type="dxa"/>
            <w:vAlign w:val="center"/>
          </w:tcPr>
          <w:p w14:paraId="490B6427">
            <w:pPr>
              <w:pStyle w:val="34"/>
              <w:adjustRightInd w:val="0"/>
              <w:snapToGrid w:val="0"/>
              <w:jc w:val="center"/>
              <w:rPr>
                <w:rFonts w:eastAsia="宋体"/>
                <w:color w:val="auto"/>
                <w:sz w:val="21"/>
                <w:szCs w:val="21"/>
              </w:rPr>
            </w:pPr>
          </w:p>
        </w:tc>
      </w:tr>
      <w:tr w14:paraId="101404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086B4505">
            <w:pPr>
              <w:pStyle w:val="34"/>
              <w:adjustRightInd w:val="0"/>
              <w:snapToGrid w:val="0"/>
              <w:jc w:val="center"/>
              <w:rPr>
                <w:rFonts w:eastAsia="宋体"/>
                <w:color w:val="auto"/>
                <w:sz w:val="21"/>
                <w:szCs w:val="21"/>
              </w:rPr>
            </w:pPr>
          </w:p>
        </w:tc>
        <w:tc>
          <w:tcPr>
            <w:tcW w:w="861" w:type="dxa"/>
            <w:vMerge w:val="continue"/>
            <w:vAlign w:val="center"/>
          </w:tcPr>
          <w:p w14:paraId="48B6BD08">
            <w:pPr>
              <w:pStyle w:val="34"/>
              <w:adjustRightInd w:val="0"/>
              <w:snapToGrid w:val="0"/>
              <w:jc w:val="center"/>
              <w:rPr>
                <w:rFonts w:eastAsia="宋体"/>
                <w:color w:val="auto"/>
                <w:sz w:val="21"/>
                <w:szCs w:val="21"/>
              </w:rPr>
            </w:pPr>
          </w:p>
        </w:tc>
        <w:tc>
          <w:tcPr>
            <w:tcW w:w="3039" w:type="dxa"/>
            <w:gridSpan w:val="2"/>
            <w:vAlign w:val="center"/>
          </w:tcPr>
          <w:p w14:paraId="1B0BABF5">
            <w:pPr>
              <w:adjustRightInd w:val="0"/>
              <w:snapToGrid w:val="0"/>
              <w:jc w:val="center"/>
              <w:rPr>
                <w:color w:val="auto"/>
                <w:szCs w:val="21"/>
              </w:rPr>
            </w:pPr>
            <w:r>
              <w:rPr>
                <w:color w:val="auto"/>
                <w:szCs w:val="21"/>
              </w:rPr>
              <w:t>门窗框对角线</w:t>
            </w:r>
          </w:p>
        </w:tc>
        <w:tc>
          <w:tcPr>
            <w:tcW w:w="942" w:type="dxa"/>
            <w:vAlign w:val="center"/>
          </w:tcPr>
          <w:p w14:paraId="6D509105">
            <w:pPr>
              <w:adjustRightInd w:val="0"/>
              <w:snapToGrid w:val="0"/>
              <w:jc w:val="center"/>
              <w:rPr>
                <w:color w:val="auto"/>
                <w:szCs w:val="21"/>
              </w:rPr>
            </w:pPr>
            <w:r>
              <w:rPr>
                <w:color w:val="auto"/>
                <w:spacing w:val="2"/>
                <w:szCs w:val="21"/>
              </w:rPr>
              <w:t>±2</w:t>
            </w:r>
          </w:p>
        </w:tc>
        <w:tc>
          <w:tcPr>
            <w:tcW w:w="563" w:type="dxa"/>
            <w:vAlign w:val="center"/>
          </w:tcPr>
          <w:p w14:paraId="28541AF0">
            <w:pPr>
              <w:pStyle w:val="34"/>
              <w:adjustRightInd w:val="0"/>
              <w:snapToGrid w:val="0"/>
              <w:jc w:val="center"/>
              <w:rPr>
                <w:rFonts w:eastAsia="宋体"/>
                <w:color w:val="auto"/>
                <w:sz w:val="21"/>
                <w:szCs w:val="21"/>
              </w:rPr>
            </w:pPr>
          </w:p>
        </w:tc>
        <w:tc>
          <w:tcPr>
            <w:tcW w:w="962" w:type="dxa"/>
            <w:vAlign w:val="center"/>
          </w:tcPr>
          <w:p w14:paraId="2A7B720B">
            <w:pPr>
              <w:pStyle w:val="34"/>
              <w:adjustRightInd w:val="0"/>
              <w:snapToGrid w:val="0"/>
              <w:jc w:val="center"/>
              <w:rPr>
                <w:rFonts w:eastAsia="宋体"/>
                <w:color w:val="auto"/>
                <w:sz w:val="21"/>
                <w:szCs w:val="21"/>
              </w:rPr>
            </w:pPr>
          </w:p>
        </w:tc>
        <w:tc>
          <w:tcPr>
            <w:tcW w:w="976" w:type="dxa"/>
            <w:vAlign w:val="center"/>
          </w:tcPr>
          <w:p w14:paraId="0EC0FE7A">
            <w:pPr>
              <w:pStyle w:val="34"/>
              <w:adjustRightInd w:val="0"/>
              <w:snapToGrid w:val="0"/>
              <w:jc w:val="center"/>
              <w:rPr>
                <w:rFonts w:eastAsia="宋体"/>
                <w:color w:val="auto"/>
                <w:sz w:val="21"/>
                <w:szCs w:val="21"/>
              </w:rPr>
            </w:pPr>
          </w:p>
        </w:tc>
        <w:tc>
          <w:tcPr>
            <w:tcW w:w="1872" w:type="dxa"/>
            <w:vAlign w:val="center"/>
          </w:tcPr>
          <w:p w14:paraId="11056838">
            <w:pPr>
              <w:pStyle w:val="34"/>
              <w:adjustRightInd w:val="0"/>
              <w:snapToGrid w:val="0"/>
              <w:jc w:val="center"/>
              <w:rPr>
                <w:rFonts w:eastAsia="宋体"/>
                <w:color w:val="auto"/>
                <w:sz w:val="21"/>
                <w:szCs w:val="21"/>
              </w:rPr>
            </w:pPr>
          </w:p>
        </w:tc>
      </w:tr>
      <w:tr w14:paraId="08DE57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546" w:type="dxa"/>
            <w:vMerge w:val="continue"/>
            <w:vAlign w:val="center"/>
          </w:tcPr>
          <w:p w14:paraId="7D45D5B9">
            <w:pPr>
              <w:pStyle w:val="34"/>
              <w:adjustRightInd w:val="0"/>
              <w:snapToGrid w:val="0"/>
              <w:jc w:val="center"/>
              <w:rPr>
                <w:rFonts w:eastAsia="宋体"/>
                <w:color w:val="auto"/>
                <w:sz w:val="21"/>
                <w:szCs w:val="21"/>
              </w:rPr>
            </w:pPr>
          </w:p>
        </w:tc>
        <w:tc>
          <w:tcPr>
            <w:tcW w:w="861" w:type="dxa"/>
            <w:vMerge w:val="continue"/>
            <w:vAlign w:val="center"/>
          </w:tcPr>
          <w:p w14:paraId="62959CA4">
            <w:pPr>
              <w:pStyle w:val="34"/>
              <w:adjustRightInd w:val="0"/>
              <w:snapToGrid w:val="0"/>
              <w:jc w:val="center"/>
              <w:rPr>
                <w:rFonts w:eastAsia="宋体"/>
                <w:color w:val="auto"/>
                <w:sz w:val="21"/>
                <w:szCs w:val="21"/>
              </w:rPr>
            </w:pPr>
          </w:p>
        </w:tc>
        <w:tc>
          <w:tcPr>
            <w:tcW w:w="3039" w:type="dxa"/>
            <w:gridSpan w:val="2"/>
            <w:vAlign w:val="center"/>
          </w:tcPr>
          <w:p w14:paraId="0AC53DD8">
            <w:pPr>
              <w:adjustRightInd w:val="0"/>
              <w:snapToGrid w:val="0"/>
              <w:jc w:val="center"/>
              <w:rPr>
                <w:color w:val="auto"/>
                <w:szCs w:val="21"/>
              </w:rPr>
            </w:pPr>
            <w:r>
              <w:rPr>
                <w:color w:val="auto"/>
                <w:szCs w:val="21"/>
              </w:rPr>
              <w:t>门窗框的平整度</w:t>
            </w:r>
          </w:p>
        </w:tc>
        <w:tc>
          <w:tcPr>
            <w:tcW w:w="942" w:type="dxa"/>
            <w:vAlign w:val="center"/>
          </w:tcPr>
          <w:p w14:paraId="0BA20709">
            <w:pPr>
              <w:adjustRightInd w:val="0"/>
              <w:snapToGrid w:val="0"/>
              <w:jc w:val="center"/>
              <w:rPr>
                <w:color w:val="auto"/>
                <w:szCs w:val="21"/>
              </w:rPr>
            </w:pPr>
            <w:r>
              <w:rPr>
                <w:color w:val="auto"/>
                <w:spacing w:val="1"/>
                <w:szCs w:val="21"/>
              </w:rPr>
              <w:t>2</w:t>
            </w:r>
          </w:p>
        </w:tc>
        <w:tc>
          <w:tcPr>
            <w:tcW w:w="563" w:type="dxa"/>
            <w:vAlign w:val="center"/>
          </w:tcPr>
          <w:p w14:paraId="4B49004D">
            <w:pPr>
              <w:pStyle w:val="34"/>
              <w:adjustRightInd w:val="0"/>
              <w:snapToGrid w:val="0"/>
              <w:jc w:val="center"/>
              <w:rPr>
                <w:rFonts w:eastAsia="宋体"/>
                <w:color w:val="auto"/>
                <w:sz w:val="21"/>
                <w:szCs w:val="21"/>
              </w:rPr>
            </w:pPr>
          </w:p>
        </w:tc>
        <w:tc>
          <w:tcPr>
            <w:tcW w:w="962" w:type="dxa"/>
            <w:vAlign w:val="center"/>
          </w:tcPr>
          <w:p w14:paraId="73981414">
            <w:pPr>
              <w:pStyle w:val="34"/>
              <w:adjustRightInd w:val="0"/>
              <w:snapToGrid w:val="0"/>
              <w:jc w:val="center"/>
              <w:rPr>
                <w:rFonts w:eastAsia="宋体"/>
                <w:color w:val="auto"/>
                <w:sz w:val="21"/>
                <w:szCs w:val="21"/>
              </w:rPr>
            </w:pPr>
          </w:p>
        </w:tc>
        <w:tc>
          <w:tcPr>
            <w:tcW w:w="976" w:type="dxa"/>
            <w:vAlign w:val="center"/>
          </w:tcPr>
          <w:p w14:paraId="304342B5">
            <w:pPr>
              <w:pStyle w:val="34"/>
              <w:adjustRightInd w:val="0"/>
              <w:snapToGrid w:val="0"/>
              <w:jc w:val="center"/>
              <w:rPr>
                <w:rFonts w:eastAsia="宋体"/>
                <w:color w:val="auto"/>
                <w:sz w:val="21"/>
                <w:szCs w:val="21"/>
              </w:rPr>
            </w:pPr>
          </w:p>
        </w:tc>
        <w:tc>
          <w:tcPr>
            <w:tcW w:w="1872" w:type="dxa"/>
            <w:vAlign w:val="center"/>
          </w:tcPr>
          <w:p w14:paraId="62B9AC52">
            <w:pPr>
              <w:pStyle w:val="34"/>
              <w:adjustRightInd w:val="0"/>
              <w:snapToGrid w:val="0"/>
              <w:jc w:val="center"/>
              <w:rPr>
                <w:rFonts w:eastAsia="宋体"/>
                <w:color w:val="auto"/>
                <w:sz w:val="21"/>
                <w:szCs w:val="21"/>
              </w:rPr>
            </w:pPr>
          </w:p>
        </w:tc>
      </w:tr>
      <w:tr w14:paraId="7143EF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9761" w:type="dxa"/>
            <w:gridSpan w:val="9"/>
            <w:vAlign w:val="bottom"/>
          </w:tcPr>
          <w:p w14:paraId="623AB10A">
            <w:pPr>
              <w:adjustRightInd w:val="0"/>
              <w:snapToGrid w:val="0"/>
              <w:ind w:left="5669"/>
              <w:rPr>
                <w:color w:val="auto"/>
                <w:spacing w:val="-3"/>
                <w:szCs w:val="21"/>
              </w:rPr>
            </w:pPr>
            <w:r>
              <w:rPr>
                <w:color w:val="auto"/>
                <w:spacing w:val="-3"/>
                <w:szCs w:val="21"/>
              </w:rPr>
              <w:t>模块</w:t>
            </w:r>
            <w:r>
              <w:rPr>
                <w:rFonts w:hint="eastAsia"/>
                <w:color w:val="auto"/>
                <w:spacing w:val="-3"/>
                <w:szCs w:val="21"/>
              </w:rPr>
              <w:t>单元生产</w:t>
            </w:r>
            <w:r>
              <w:rPr>
                <w:color w:val="auto"/>
                <w:spacing w:val="-3"/>
                <w:szCs w:val="21"/>
              </w:rPr>
              <w:t>单位</w:t>
            </w:r>
          </w:p>
          <w:p w14:paraId="0758D781">
            <w:pPr>
              <w:adjustRightInd w:val="0"/>
              <w:snapToGrid w:val="0"/>
              <w:ind w:left="5669"/>
              <w:rPr>
                <w:color w:val="auto"/>
                <w:spacing w:val="-3"/>
                <w:szCs w:val="21"/>
              </w:rPr>
            </w:pPr>
            <w:r>
              <w:rPr>
                <w:color w:val="auto"/>
                <w:spacing w:val="-3"/>
                <w:szCs w:val="21"/>
              </w:rPr>
              <w:t>项目负责人：</w:t>
            </w:r>
          </w:p>
          <w:p w14:paraId="456FC0E7">
            <w:pPr>
              <w:pStyle w:val="34"/>
              <w:adjustRightInd w:val="0"/>
              <w:snapToGrid w:val="0"/>
              <w:jc w:val="right"/>
              <w:rPr>
                <w:rFonts w:eastAsia="宋体"/>
                <w:color w:val="auto"/>
                <w:spacing w:val="-7"/>
                <w:sz w:val="21"/>
                <w:szCs w:val="21"/>
                <w:lang w:eastAsia="zh-CN"/>
              </w:rPr>
            </w:pPr>
          </w:p>
          <w:p w14:paraId="0F86C5CE">
            <w:pPr>
              <w:pStyle w:val="34"/>
              <w:adjustRightInd w:val="0"/>
              <w:snapToGrid w:val="0"/>
              <w:jc w:val="right"/>
              <w:rPr>
                <w:rFonts w:eastAsia="宋体"/>
                <w:color w:val="auto"/>
                <w:sz w:val="21"/>
                <w:szCs w:val="21"/>
                <w:lang w:eastAsia="zh-CN"/>
              </w:rPr>
            </w:pPr>
            <w:r>
              <w:rPr>
                <w:rFonts w:eastAsia="宋体"/>
                <w:color w:val="auto"/>
                <w:spacing w:val="-7"/>
                <w:sz w:val="21"/>
                <w:szCs w:val="21"/>
              </w:rPr>
              <w:t>年</w:t>
            </w:r>
            <w:r>
              <w:rPr>
                <w:rFonts w:eastAsia="宋体"/>
                <w:color w:val="auto"/>
                <w:spacing w:val="3"/>
                <w:sz w:val="21"/>
                <w:szCs w:val="21"/>
              </w:rPr>
              <w:t xml:space="preserve">    </w:t>
            </w:r>
            <w:r>
              <w:rPr>
                <w:rFonts w:eastAsia="宋体"/>
                <w:color w:val="auto"/>
                <w:spacing w:val="-7"/>
                <w:sz w:val="21"/>
                <w:szCs w:val="21"/>
              </w:rPr>
              <w:t>月</w:t>
            </w:r>
            <w:r>
              <w:rPr>
                <w:rFonts w:eastAsia="宋体"/>
                <w:color w:val="auto"/>
                <w:spacing w:val="9"/>
                <w:sz w:val="21"/>
                <w:szCs w:val="21"/>
              </w:rPr>
              <w:t xml:space="preserve">    </w:t>
            </w:r>
            <w:r>
              <w:rPr>
                <w:rFonts w:eastAsia="宋体"/>
                <w:color w:val="auto"/>
                <w:spacing w:val="-7"/>
                <w:sz w:val="21"/>
                <w:szCs w:val="21"/>
              </w:rPr>
              <w:t>日</w:t>
            </w:r>
          </w:p>
          <w:p w14:paraId="7CFCB755">
            <w:pPr>
              <w:pStyle w:val="34"/>
              <w:adjustRightInd w:val="0"/>
              <w:snapToGrid w:val="0"/>
              <w:jc w:val="right"/>
              <w:rPr>
                <w:rFonts w:eastAsia="宋体"/>
                <w:color w:val="auto"/>
                <w:sz w:val="21"/>
                <w:szCs w:val="21"/>
                <w:lang w:eastAsia="zh-CN"/>
              </w:rPr>
            </w:pPr>
          </w:p>
        </w:tc>
      </w:tr>
      <w:tr w14:paraId="2A225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9761" w:type="dxa"/>
            <w:gridSpan w:val="9"/>
            <w:vAlign w:val="bottom"/>
          </w:tcPr>
          <w:p w14:paraId="7193D2DF">
            <w:pPr>
              <w:pStyle w:val="34"/>
              <w:adjustRightInd w:val="0"/>
              <w:snapToGrid w:val="0"/>
              <w:jc w:val="right"/>
              <w:rPr>
                <w:rFonts w:eastAsia="宋体"/>
                <w:color w:val="auto"/>
                <w:sz w:val="21"/>
                <w:szCs w:val="21"/>
                <w:lang w:eastAsia="zh-CN"/>
              </w:rPr>
            </w:pPr>
          </w:p>
          <w:p w14:paraId="7FCC0F8C">
            <w:pPr>
              <w:adjustRightInd w:val="0"/>
              <w:snapToGrid w:val="0"/>
              <w:ind w:left="5669"/>
              <w:rPr>
                <w:color w:val="auto"/>
                <w:spacing w:val="-3"/>
                <w:szCs w:val="21"/>
              </w:rPr>
            </w:pPr>
            <w:r>
              <w:rPr>
                <w:color w:val="auto"/>
                <w:spacing w:val="-3"/>
                <w:szCs w:val="21"/>
              </w:rPr>
              <w:t>监理单位</w:t>
            </w:r>
          </w:p>
          <w:p w14:paraId="166D9B8A">
            <w:pPr>
              <w:adjustRightInd w:val="0"/>
              <w:snapToGrid w:val="0"/>
              <w:ind w:left="5669"/>
              <w:rPr>
                <w:color w:val="auto"/>
                <w:spacing w:val="-3"/>
                <w:szCs w:val="21"/>
              </w:rPr>
            </w:pPr>
            <w:r>
              <w:rPr>
                <w:color w:val="auto"/>
                <w:spacing w:val="-3"/>
                <w:szCs w:val="21"/>
              </w:rPr>
              <w:t>专业监理工程师：</w:t>
            </w:r>
          </w:p>
          <w:p w14:paraId="15D40B27">
            <w:pPr>
              <w:adjustRightInd w:val="0"/>
              <w:snapToGrid w:val="0"/>
              <w:ind w:left="5669"/>
              <w:rPr>
                <w:color w:val="auto"/>
                <w:spacing w:val="-3"/>
                <w:szCs w:val="21"/>
              </w:rPr>
            </w:pPr>
          </w:p>
          <w:p w14:paraId="2A6C0B86">
            <w:pPr>
              <w:pStyle w:val="34"/>
              <w:adjustRightInd w:val="0"/>
              <w:snapToGrid w:val="0"/>
              <w:jc w:val="right"/>
              <w:rPr>
                <w:rFonts w:eastAsia="宋体"/>
                <w:color w:val="auto"/>
                <w:sz w:val="21"/>
                <w:szCs w:val="21"/>
                <w:lang w:eastAsia="zh-CN"/>
              </w:rPr>
            </w:pPr>
            <w:r>
              <w:rPr>
                <w:rFonts w:eastAsia="宋体"/>
                <w:color w:val="auto"/>
                <w:spacing w:val="-7"/>
                <w:sz w:val="21"/>
                <w:szCs w:val="21"/>
              </w:rPr>
              <w:t>年</w:t>
            </w:r>
            <w:r>
              <w:rPr>
                <w:rFonts w:eastAsia="宋体"/>
                <w:color w:val="auto"/>
                <w:spacing w:val="3"/>
                <w:sz w:val="21"/>
                <w:szCs w:val="21"/>
              </w:rPr>
              <w:t xml:space="preserve">    </w:t>
            </w:r>
            <w:r>
              <w:rPr>
                <w:rFonts w:eastAsia="宋体"/>
                <w:color w:val="auto"/>
                <w:spacing w:val="-7"/>
                <w:sz w:val="21"/>
                <w:szCs w:val="21"/>
              </w:rPr>
              <w:t>月</w:t>
            </w:r>
            <w:r>
              <w:rPr>
                <w:rFonts w:eastAsia="宋体"/>
                <w:color w:val="auto"/>
                <w:spacing w:val="9"/>
                <w:sz w:val="21"/>
                <w:szCs w:val="21"/>
              </w:rPr>
              <w:t xml:space="preserve">    </w:t>
            </w:r>
            <w:r>
              <w:rPr>
                <w:rFonts w:eastAsia="宋体"/>
                <w:color w:val="auto"/>
                <w:spacing w:val="-7"/>
                <w:sz w:val="21"/>
                <w:szCs w:val="21"/>
              </w:rPr>
              <w:t>日</w:t>
            </w:r>
          </w:p>
          <w:p w14:paraId="72405D20">
            <w:pPr>
              <w:pStyle w:val="34"/>
              <w:adjustRightInd w:val="0"/>
              <w:snapToGrid w:val="0"/>
              <w:jc w:val="right"/>
              <w:rPr>
                <w:rFonts w:eastAsia="宋体"/>
                <w:color w:val="auto"/>
                <w:spacing w:val="-7"/>
                <w:sz w:val="21"/>
                <w:szCs w:val="21"/>
              </w:rPr>
            </w:pPr>
          </w:p>
        </w:tc>
      </w:tr>
    </w:tbl>
    <w:p w14:paraId="7740F4C6">
      <w:pPr>
        <w:spacing w:before="335" w:line="212" w:lineRule="auto"/>
        <w:rPr>
          <w:color w:val="auto"/>
        </w:rPr>
      </w:pPr>
    </w:p>
    <w:p w14:paraId="0C0DA69C">
      <w:pPr>
        <w:rPr>
          <w:color w:val="auto"/>
        </w:rPr>
        <w:sectPr>
          <w:pgSz w:w="11906" w:h="16838"/>
          <w:pgMar w:top="1610" w:right="1349" w:bottom="1213" w:left="1293" w:header="851" w:footer="992" w:gutter="0"/>
          <w:cols w:space="720" w:num="1"/>
          <w:docGrid w:type="linesAndChars" w:linePitch="333" w:charSpace="2165"/>
        </w:sectPr>
      </w:pPr>
    </w:p>
    <w:p w14:paraId="2FBEF330">
      <w:pPr>
        <w:jc w:val="center"/>
        <w:rPr>
          <w:rFonts w:eastAsia="黑体"/>
          <w:color w:val="auto"/>
          <w:spacing w:val="-1"/>
          <w:szCs w:val="21"/>
        </w:rPr>
      </w:pPr>
      <w:r>
        <w:rPr>
          <w:rFonts w:eastAsia="黑体"/>
          <w:color w:val="auto"/>
          <w:spacing w:val="-1"/>
          <w:szCs w:val="21"/>
        </w:rPr>
        <w:t>表</w:t>
      </w:r>
      <w:r>
        <w:rPr>
          <w:rFonts w:hint="eastAsia" w:eastAsia="黑体"/>
          <w:color w:val="auto"/>
          <w:spacing w:val="-1"/>
          <w:szCs w:val="21"/>
        </w:rPr>
        <w:t>B</w:t>
      </w:r>
      <w:r>
        <w:rPr>
          <w:rFonts w:eastAsia="黑体"/>
          <w:color w:val="auto"/>
          <w:spacing w:val="-1"/>
          <w:szCs w:val="21"/>
        </w:rPr>
        <w:t>.</w:t>
      </w:r>
      <w:r>
        <w:rPr>
          <w:rFonts w:hint="eastAsia" w:eastAsia="黑体"/>
          <w:color w:val="auto"/>
          <w:spacing w:val="-1"/>
          <w:szCs w:val="21"/>
        </w:rPr>
        <w:t>2</w:t>
      </w:r>
      <w:r>
        <w:rPr>
          <w:rFonts w:eastAsia="黑体"/>
          <w:color w:val="auto"/>
          <w:spacing w:val="-1"/>
          <w:szCs w:val="21"/>
        </w:rPr>
        <w:t xml:space="preserve">  模块单元钢筋、预埋件质量验收记录表</w:t>
      </w:r>
    </w:p>
    <w:p w14:paraId="3680B65B">
      <w:pPr>
        <w:spacing w:line="38" w:lineRule="exact"/>
        <w:rPr>
          <w:color w:val="auto"/>
        </w:rPr>
      </w:pPr>
    </w:p>
    <w:tbl>
      <w:tblPr>
        <w:tblStyle w:val="17"/>
        <w:tblW w:w="1013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0" w:type="dxa"/>
          <w:bottom w:w="0" w:type="dxa"/>
          <w:right w:w="0" w:type="dxa"/>
        </w:tblCellMar>
      </w:tblPr>
      <w:tblGrid>
        <w:gridCol w:w="517"/>
        <w:gridCol w:w="856"/>
        <w:gridCol w:w="481"/>
        <w:gridCol w:w="2071"/>
        <w:gridCol w:w="1169"/>
        <w:gridCol w:w="1087"/>
        <w:gridCol w:w="1111"/>
        <w:gridCol w:w="1325"/>
        <w:gridCol w:w="1521"/>
      </w:tblGrid>
      <w:tr w14:paraId="215A056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67" w:hRule="atLeast"/>
          <w:jc w:val="center"/>
        </w:trPr>
        <w:tc>
          <w:tcPr>
            <w:tcW w:w="1373" w:type="dxa"/>
            <w:gridSpan w:val="2"/>
            <w:vAlign w:val="center"/>
          </w:tcPr>
          <w:p w14:paraId="69772009">
            <w:pPr>
              <w:jc w:val="center"/>
              <w:rPr>
                <w:color w:val="auto"/>
                <w:szCs w:val="21"/>
              </w:rPr>
            </w:pPr>
            <w:r>
              <w:rPr>
                <w:color w:val="auto"/>
                <w:spacing w:val="6"/>
                <w:szCs w:val="21"/>
              </w:rPr>
              <w:t>工程名称</w:t>
            </w:r>
          </w:p>
        </w:tc>
        <w:tc>
          <w:tcPr>
            <w:tcW w:w="8765" w:type="dxa"/>
            <w:gridSpan w:val="7"/>
            <w:vAlign w:val="center"/>
          </w:tcPr>
          <w:p w14:paraId="1777E014">
            <w:pPr>
              <w:jc w:val="center"/>
              <w:rPr>
                <w:color w:val="auto"/>
                <w:szCs w:val="21"/>
              </w:rPr>
            </w:pPr>
          </w:p>
        </w:tc>
      </w:tr>
      <w:tr w14:paraId="635AE3A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67" w:hRule="atLeast"/>
          <w:jc w:val="center"/>
        </w:trPr>
        <w:tc>
          <w:tcPr>
            <w:tcW w:w="1373" w:type="dxa"/>
            <w:gridSpan w:val="2"/>
            <w:vAlign w:val="center"/>
          </w:tcPr>
          <w:p w14:paraId="56E5DE5F">
            <w:pPr>
              <w:jc w:val="center"/>
              <w:rPr>
                <w:color w:val="auto"/>
                <w:spacing w:val="8"/>
                <w:szCs w:val="21"/>
              </w:rPr>
            </w:pPr>
            <w:r>
              <w:rPr>
                <w:color w:val="auto"/>
                <w:spacing w:val="8"/>
                <w:szCs w:val="21"/>
              </w:rPr>
              <w:t>模块单元</w:t>
            </w:r>
          </w:p>
          <w:p w14:paraId="5796B0AE">
            <w:pPr>
              <w:jc w:val="center"/>
              <w:rPr>
                <w:color w:val="auto"/>
                <w:szCs w:val="21"/>
              </w:rPr>
            </w:pPr>
            <w:r>
              <w:rPr>
                <w:rFonts w:hint="eastAsia"/>
                <w:color w:val="auto"/>
                <w:spacing w:val="8"/>
                <w:szCs w:val="21"/>
              </w:rPr>
              <w:t>型号</w:t>
            </w:r>
          </w:p>
        </w:tc>
        <w:tc>
          <w:tcPr>
            <w:tcW w:w="3721" w:type="dxa"/>
            <w:gridSpan w:val="3"/>
            <w:vAlign w:val="center"/>
          </w:tcPr>
          <w:p w14:paraId="3247B0E3">
            <w:pPr>
              <w:jc w:val="center"/>
              <w:rPr>
                <w:color w:val="auto"/>
                <w:szCs w:val="21"/>
              </w:rPr>
            </w:pPr>
          </w:p>
        </w:tc>
        <w:tc>
          <w:tcPr>
            <w:tcW w:w="1087" w:type="dxa"/>
            <w:vAlign w:val="center"/>
          </w:tcPr>
          <w:p w14:paraId="795201D1">
            <w:pPr>
              <w:jc w:val="center"/>
              <w:rPr>
                <w:color w:val="auto"/>
                <w:szCs w:val="21"/>
              </w:rPr>
            </w:pPr>
            <w:r>
              <w:rPr>
                <w:color w:val="auto"/>
                <w:spacing w:val="5"/>
                <w:szCs w:val="21"/>
              </w:rPr>
              <w:t>产品</w:t>
            </w:r>
            <w:r>
              <w:rPr>
                <w:rFonts w:hint="eastAsia"/>
                <w:color w:val="auto"/>
                <w:spacing w:val="5"/>
                <w:szCs w:val="21"/>
              </w:rPr>
              <w:t>型号</w:t>
            </w:r>
          </w:p>
        </w:tc>
        <w:tc>
          <w:tcPr>
            <w:tcW w:w="3957" w:type="dxa"/>
            <w:gridSpan w:val="3"/>
            <w:vAlign w:val="center"/>
          </w:tcPr>
          <w:p w14:paraId="752391C2">
            <w:pPr>
              <w:jc w:val="center"/>
              <w:rPr>
                <w:color w:val="auto"/>
                <w:szCs w:val="21"/>
              </w:rPr>
            </w:pPr>
          </w:p>
        </w:tc>
      </w:tr>
      <w:tr w14:paraId="6CAD799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67" w:hRule="atLeast"/>
          <w:jc w:val="center"/>
        </w:trPr>
        <w:tc>
          <w:tcPr>
            <w:tcW w:w="1373" w:type="dxa"/>
            <w:gridSpan w:val="2"/>
            <w:vAlign w:val="center"/>
          </w:tcPr>
          <w:p w14:paraId="4F8FEBB9">
            <w:pPr>
              <w:jc w:val="center"/>
              <w:rPr>
                <w:color w:val="auto"/>
                <w:szCs w:val="21"/>
              </w:rPr>
            </w:pPr>
            <w:r>
              <w:rPr>
                <w:rFonts w:hint="eastAsia"/>
                <w:color w:val="auto"/>
                <w:spacing w:val="5"/>
                <w:szCs w:val="21"/>
              </w:rPr>
              <w:t>生产</w:t>
            </w:r>
            <w:r>
              <w:rPr>
                <w:color w:val="auto"/>
                <w:spacing w:val="5"/>
                <w:szCs w:val="21"/>
              </w:rPr>
              <w:t>批号</w:t>
            </w:r>
          </w:p>
        </w:tc>
        <w:tc>
          <w:tcPr>
            <w:tcW w:w="3721" w:type="dxa"/>
            <w:gridSpan w:val="3"/>
            <w:vAlign w:val="center"/>
          </w:tcPr>
          <w:p w14:paraId="0FF7BF80">
            <w:pPr>
              <w:jc w:val="center"/>
              <w:rPr>
                <w:color w:val="auto"/>
                <w:szCs w:val="21"/>
              </w:rPr>
            </w:pPr>
          </w:p>
        </w:tc>
        <w:tc>
          <w:tcPr>
            <w:tcW w:w="1087" w:type="dxa"/>
            <w:vAlign w:val="center"/>
          </w:tcPr>
          <w:p w14:paraId="62A18627">
            <w:pPr>
              <w:jc w:val="center"/>
              <w:rPr>
                <w:color w:val="auto"/>
                <w:szCs w:val="21"/>
              </w:rPr>
            </w:pPr>
            <w:r>
              <w:rPr>
                <w:color w:val="auto"/>
                <w:spacing w:val="5"/>
                <w:szCs w:val="21"/>
              </w:rPr>
              <w:t>检查日期</w:t>
            </w:r>
          </w:p>
        </w:tc>
        <w:tc>
          <w:tcPr>
            <w:tcW w:w="3957" w:type="dxa"/>
            <w:gridSpan w:val="3"/>
            <w:vAlign w:val="center"/>
          </w:tcPr>
          <w:p w14:paraId="2D0560D9">
            <w:pPr>
              <w:jc w:val="center"/>
              <w:rPr>
                <w:color w:val="auto"/>
                <w:szCs w:val="21"/>
              </w:rPr>
            </w:pPr>
          </w:p>
        </w:tc>
      </w:tr>
      <w:tr w14:paraId="7C59AEF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67" w:hRule="atLeast"/>
          <w:jc w:val="center"/>
        </w:trPr>
        <w:tc>
          <w:tcPr>
            <w:tcW w:w="3925" w:type="dxa"/>
            <w:gridSpan w:val="4"/>
            <w:vMerge w:val="restart"/>
            <w:vAlign w:val="center"/>
          </w:tcPr>
          <w:p w14:paraId="757547F2">
            <w:pPr>
              <w:jc w:val="center"/>
              <w:rPr>
                <w:color w:val="auto"/>
                <w:szCs w:val="21"/>
              </w:rPr>
            </w:pPr>
            <w:r>
              <w:rPr>
                <w:color w:val="auto"/>
                <w:spacing w:val="10"/>
                <w:szCs w:val="21"/>
              </w:rPr>
              <w:t>检查项目及内容</w:t>
            </w:r>
          </w:p>
        </w:tc>
        <w:tc>
          <w:tcPr>
            <w:tcW w:w="1169" w:type="dxa"/>
            <w:vMerge w:val="restart"/>
            <w:vAlign w:val="center"/>
          </w:tcPr>
          <w:p w14:paraId="3C747479">
            <w:pPr>
              <w:adjustRightInd w:val="0"/>
              <w:snapToGrid w:val="0"/>
              <w:jc w:val="center"/>
              <w:rPr>
                <w:color w:val="auto"/>
                <w:szCs w:val="21"/>
              </w:rPr>
            </w:pPr>
            <w:r>
              <w:rPr>
                <w:color w:val="auto"/>
                <w:spacing w:val="7"/>
                <w:szCs w:val="21"/>
              </w:rPr>
              <w:t>设计要求及</w:t>
            </w:r>
            <w:r>
              <w:rPr>
                <w:color w:val="auto"/>
                <w:spacing w:val="5"/>
                <w:szCs w:val="21"/>
              </w:rPr>
              <w:t>规范规定</w:t>
            </w:r>
          </w:p>
        </w:tc>
        <w:tc>
          <w:tcPr>
            <w:tcW w:w="5044" w:type="dxa"/>
            <w:gridSpan w:val="4"/>
            <w:vAlign w:val="center"/>
          </w:tcPr>
          <w:p w14:paraId="23F65266">
            <w:pPr>
              <w:adjustRightInd w:val="0"/>
              <w:snapToGrid w:val="0"/>
              <w:jc w:val="center"/>
              <w:rPr>
                <w:color w:val="auto"/>
                <w:szCs w:val="21"/>
              </w:rPr>
            </w:pPr>
            <w:r>
              <w:rPr>
                <w:color w:val="auto"/>
                <w:spacing w:val="-2"/>
                <w:szCs w:val="21"/>
              </w:rPr>
              <w:t>检查</w:t>
            </w:r>
          </w:p>
        </w:tc>
      </w:tr>
      <w:tr w14:paraId="2E76DBF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67" w:hRule="atLeast"/>
          <w:jc w:val="center"/>
        </w:trPr>
        <w:tc>
          <w:tcPr>
            <w:tcW w:w="3925" w:type="dxa"/>
            <w:gridSpan w:val="4"/>
            <w:vMerge w:val="continue"/>
            <w:vAlign w:val="center"/>
          </w:tcPr>
          <w:p w14:paraId="0184942B">
            <w:pPr>
              <w:jc w:val="center"/>
              <w:rPr>
                <w:color w:val="auto"/>
                <w:szCs w:val="21"/>
              </w:rPr>
            </w:pPr>
          </w:p>
        </w:tc>
        <w:tc>
          <w:tcPr>
            <w:tcW w:w="1169" w:type="dxa"/>
            <w:vMerge w:val="continue"/>
            <w:vAlign w:val="center"/>
          </w:tcPr>
          <w:p w14:paraId="30C3A15B">
            <w:pPr>
              <w:adjustRightInd w:val="0"/>
              <w:snapToGrid w:val="0"/>
              <w:jc w:val="center"/>
              <w:rPr>
                <w:color w:val="auto"/>
                <w:szCs w:val="21"/>
              </w:rPr>
            </w:pPr>
          </w:p>
        </w:tc>
        <w:tc>
          <w:tcPr>
            <w:tcW w:w="1087" w:type="dxa"/>
            <w:vAlign w:val="center"/>
          </w:tcPr>
          <w:p w14:paraId="40823609">
            <w:pPr>
              <w:adjustRightInd w:val="0"/>
              <w:snapToGrid w:val="0"/>
              <w:jc w:val="center"/>
              <w:rPr>
                <w:color w:val="auto"/>
                <w:szCs w:val="21"/>
              </w:rPr>
            </w:pPr>
            <w:r>
              <w:rPr>
                <w:color w:val="auto"/>
                <w:spacing w:val="-2"/>
                <w:szCs w:val="21"/>
              </w:rPr>
              <w:t>合格</w:t>
            </w:r>
          </w:p>
        </w:tc>
        <w:tc>
          <w:tcPr>
            <w:tcW w:w="1111" w:type="dxa"/>
            <w:vAlign w:val="center"/>
          </w:tcPr>
          <w:p w14:paraId="36B0EE3C">
            <w:pPr>
              <w:adjustRightInd w:val="0"/>
              <w:snapToGrid w:val="0"/>
              <w:jc w:val="center"/>
              <w:rPr>
                <w:color w:val="auto"/>
                <w:szCs w:val="21"/>
              </w:rPr>
            </w:pPr>
            <w:r>
              <w:rPr>
                <w:color w:val="auto"/>
                <w:szCs w:val="21"/>
              </w:rPr>
              <w:t>不合格</w:t>
            </w:r>
          </w:p>
        </w:tc>
        <w:tc>
          <w:tcPr>
            <w:tcW w:w="1325" w:type="dxa"/>
            <w:vAlign w:val="center"/>
          </w:tcPr>
          <w:p w14:paraId="5ACFA389">
            <w:pPr>
              <w:adjustRightInd w:val="0"/>
              <w:snapToGrid w:val="0"/>
              <w:jc w:val="center"/>
              <w:rPr>
                <w:color w:val="auto"/>
                <w:szCs w:val="21"/>
              </w:rPr>
            </w:pPr>
            <w:r>
              <w:rPr>
                <w:color w:val="auto"/>
                <w:spacing w:val="8"/>
                <w:szCs w:val="21"/>
              </w:rPr>
              <w:t>质量检查员</w:t>
            </w:r>
          </w:p>
        </w:tc>
        <w:tc>
          <w:tcPr>
            <w:tcW w:w="1521" w:type="dxa"/>
            <w:vAlign w:val="center"/>
          </w:tcPr>
          <w:p w14:paraId="69AB0E67">
            <w:pPr>
              <w:adjustRightInd w:val="0"/>
              <w:snapToGrid w:val="0"/>
              <w:jc w:val="center"/>
              <w:rPr>
                <w:color w:val="auto"/>
                <w:szCs w:val="21"/>
              </w:rPr>
            </w:pPr>
            <w:r>
              <w:rPr>
                <w:color w:val="auto"/>
                <w:spacing w:val="8"/>
                <w:szCs w:val="21"/>
              </w:rPr>
              <w:t>质量复核人</w:t>
            </w:r>
          </w:p>
        </w:tc>
      </w:tr>
      <w:tr w14:paraId="1875827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restart"/>
            <w:vAlign w:val="center"/>
          </w:tcPr>
          <w:p w14:paraId="37B6435E">
            <w:pPr>
              <w:pStyle w:val="34"/>
              <w:jc w:val="center"/>
              <w:rPr>
                <w:rFonts w:eastAsia="宋体"/>
                <w:color w:val="auto"/>
                <w:sz w:val="21"/>
                <w:szCs w:val="21"/>
              </w:rPr>
            </w:pPr>
            <w:r>
              <w:rPr>
                <w:rFonts w:eastAsia="宋体"/>
                <w:color w:val="auto"/>
                <w:sz w:val="21"/>
                <w:szCs w:val="21"/>
              </w:rPr>
              <w:t>1</w:t>
            </w:r>
          </w:p>
        </w:tc>
        <w:tc>
          <w:tcPr>
            <w:tcW w:w="1337" w:type="dxa"/>
            <w:gridSpan w:val="2"/>
            <w:vMerge w:val="restart"/>
            <w:vAlign w:val="center"/>
          </w:tcPr>
          <w:p w14:paraId="1B300BC7">
            <w:pPr>
              <w:jc w:val="center"/>
              <w:rPr>
                <w:color w:val="auto"/>
                <w:szCs w:val="21"/>
              </w:rPr>
            </w:pPr>
            <w:r>
              <w:rPr>
                <w:color w:val="auto"/>
                <w:spacing w:val="10"/>
                <w:szCs w:val="21"/>
              </w:rPr>
              <w:t>钢筋、预埋件原材料</w:t>
            </w:r>
          </w:p>
        </w:tc>
        <w:tc>
          <w:tcPr>
            <w:tcW w:w="2071" w:type="dxa"/>
            <w:vAlign w:val="center"/>
          </w:tcPr>
          <w:p w14:paraId="1CCF6BC2">
            <w:pPr>
              <w:jc w:val="center"/>
              <w:rPr>
                <w:color w:val="auto"/>
                <w:spacing w:val="10"/>
                <w:szCs w:val="21"/>
              </w:rPr>
            </w:pPr>
          </w:p>
        </w:tc>
        <w:tc>
          <w:tcPr>
            <w:tcW w:w="1169" w:type="dxa"/>
            <w:vAlign w:val="center"/>
          </w:tcPr>
          <w:p w14:paraId="1837CBB1">
            <w:pPr>
              <w:jc w:val="center"/>
              <w:rPr>
                <w:color w:val="auto"/>
                <w:szCs w:val="21"/>
              </w:rPr>
            </w:pPr>
          </w:p>
        </w:tc>
        <w:tc>
          <w:tcPr>
            <w:tcW w:w="1087" w:type="dxa"/>
            <w:vAlign w:val="center"/>
          </w:tcPr>
          <w:p w14:paraId="1EFE1161">
            <w:pPr>
              <w:jc w:val="center"/>
              <w:rPr>
                <w:color w:val="auto"/>
                <w:szCs w:val="21"/>
              </w:rPr>
            </w:pPr>
          </w:p>
        </w:tc>
        <w:tc>
          <w:tcPr>
            <w:tcW w:w="1111" w:type="dxa"/>
            <w:vAlign w:val="center"/>
          </w:tcPr>
          <w:p w14:paraId="5F56C314">
            <w:pPr>
              <w:jc w:val="center"/>
              <w:rPr>
                <w:color w:val="auto"/>
                <w:szCs w:val="21"/>
              </w:rPr>
            </w:pPr>
          </w:p>
        </w:tc>
        <w:tc>
          <w:tcPr>
            <w:tcW w:w="1325" w:type="dxa"/>
            <w:vAlign w:val="center"/>
          </w:tcPr>
          <w:p w14:paraId="356772A8">
            <w:pPr>
              <w:jc w:val="center"/>
              <w:rPr>
                <w:color w:val="auto"/>
                <w:szCs w:val="21"/>
              </w:rPr>
            </w:pPr>
          </w:p>
        </w:tc>
        <w:tc>
          <w:tcPr>
            <w:tcW w:w="1521" w:type="dxa"/>
            <w:vAlign w:val="center"/>
          </w:tcPr>
          <w:p w14:paraId="6019CE3B">
            <w:pPr>
              <w:jc w:val="center"/>
              <w:rPr>
                <w:color w:val="auto"/>
                <w:szCs w:val="21"/>
              </w:rPr>
            </w:pPr>
          </w:p>
        </w:tc>
      </w:tr>
      <w:tr w14:paraId="6BBACE0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3E98F4F7">
            <w:pPr>
              <w:jc w:val="center"/>
              <w:rPr>
                <w:color w:val="auto"/>
              </w:rPr>
            </w:pPr>
          </w:p>
        </w:tc>
        <w:tc>
          <w:tcPr>
            <w:tcW w:w="1337" w:type="dxa"/>
            <w:gridSpan w:val="2"/>
            <w:vMerge w:val="continue"/>
            <w:vAlign w:val="center"/>
          </w:tcPr>
          <w:p w14:paraId="31636F4B">
            <w:pPr>
              <w:jc w:val="center"/>
              <w:rPr>
                <w:color w:val="auto"/>
              </w:rPr>
            </w:pPr>
          </w:p>
        </w:tc>
        <w:tc>
          <w:tcPr>
            <w:tcW w:w="2071" w:type="dxa"/>
            <w:vAlign w:val="center"/>
          </w:tcPr>
          <w:p w14:paraId="1D6BBD8E">
            <w:pPr>
              <w:jc w:val="center"/>
              <w:rPr>
                <w:color w:val="auto"/>
                <w:spacing w:val="10"/>
                <w:szCs w:val="21"/>
              </w:rPr>
            </w:pPr>
          </w:p>
        </w:tc>
        <w:tc>
          <w:tcPr>
            <w:tcW w:w="1169" w:type="dxa"/>
            <w:vAlign w:val="center"/>
          </w:tcPr>
          <w:p w14:paraId="588860B7">
            <w:pPr>
              <w:jc w:val="center"/>
              <w:rPr>
                <w:color w:val="auto"/>
                <w:spacing w:val="10"/>
                <w:szCs w:val="21"/>
              </w:rPr>
            </w:pPr>
          </w:p>
        </w:tc>
        <w:tc>
          <w:tcPr>
            <w:tcW w:w="1087" w:type="dxa"/>
            <w:vAlign w:val="center"/>
          </w:tcPr>
          <w:p w14:paraId="032DE3E4">
            <w:pPr>
              <w:jc w:val="center"/>
              <w:rPr>
                <w:color w:val="auto"/>
                <w:spacing w:val="10"/>
                <w:szCs w:val="21"/>
              </w:rPr>
            </w:pPr>
          </w:p>
        </w:tc>
        <w:tc>
          <w:tcPr>
            <w:tcW w:w="1111" w:type="dxa"/>
            <w:vAlign w:val="center"/>
          </w:tcPr>
          <w:p w14:paraId="3381E9A9">
            <w:pPr>
              <w:jc w:val="center"/>
              <w:rPr>
                <w:color w:val="auto"/>
                <w:spacing w:val="10"/>
                <w:szCs w:val="21"/>
              </w:rPr>
            </w:pPr>
          </w:p>
        </w:tc>
        <w:tc>
          <w:tcPr>
            <w:tcW w:w="1325" w:type="dxa"/>
            <w:vAlign w:val="center"/>
          </w:tcPr>
          <w:p w14:paraId="05F56B49">
            <w:pPr>
              <w:jc w:val="center"/>
              <w:rPr>
                <w:color w:val="auto"/>
                <w:spacing w:val="10"/>
                <w:szCs w:val="21"/>
              </w:rPr>
            </w:pPr>
          </w:p>
        </w:tc>
        <w:tc>
          <w:tcPr>
            <w:tcW w:w="1521" w:type="dxa"/>
            <w:vAlign w:val="center"/>
          </w:tcPr>
          <w:p w14:paraId="4E173EDA">
            <w:pPr>
              <w:jc w:val="center"/>
              <w:rPr>
                <w:color w:val="auto"/>
                <w:spacing w:val="10"/>
                <w:szCs w:val="21"/>
              </w:rPr>
            </w:pPr>
          </w:p>
        </w:tc>
      </w:tr>
      <w:tr w14:paraId="12E2FAE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7FB753FF">
            <w:pPr>
              <w:jc w:val="center"/>
              <w:rPr>
                <w:color w:val="auto"/>
                <w:spacing w:val="10"/>
                <w:szCs w:val="21"/>
              </w:rPr>
            </w:pPr>
          </w:p>
        </w:tc>
        <w:tc>
          <w:tcPr>
            <w:tcW w:w="1337" w:type="dxa"/>
            <w:gridSpan w:val="2"/>
            <w:vMerge w:val="continue"/>
            <w:vAlign w:val="center"/>
          </w:tcPr>
          <w:p w14:paraId="51C383F2">
            <w:pPr>
              <w:jc w:val="center"/>
              <w:rPr>
                <w:color w:val="auto"/>
                <w:spacing w:val="10"/>
                <w:szCs w:val="21"/>
              </w:rPr>
            </w:pPr>
          </w:p>
        </w:tc>
        <w:tc>
          <w:tcPr>
            <w:tcW w:w="2071" w:type="dxa"/>
            <w:vAlign w:val="center"/>
          </w:tcPr>
          <w:p w14:paraId="6E95D578">
            <w:pPr>
              <w:jc w:val="center"/>
              <w:rPr>
                <w:color w:val="auto"/>
                <w:spacing w:val="10"/>
                <w:szCs w:val="21"/>
              </w:rPr>
            </w:pPr>
          </w:p>
        </w:tc>
        <w:tc>
          <w:tcPr>
            <w:tcW w:w="1169" w:type="dxa"/>
            <w:vAlign w:val="center"/>
          </w:tcPr>
          <w:p w14:paraId="484484C7">
            <w:pPr>
              <w:jc w:val="center"/>
              <w:rPr>
                <w:color w:val="auto"/>
                <w:spacing w:val="10"/>
                <w:szCs w:val="21"/>
              </w:rPr>
            </w:pPr>
          </w:p>
        </w:tc>
        <w:tc>
          <w:tcPr>
            <w:tcW w:w="1087" w:type="dxa"/>
            <w:vAlign w:val="center"/>
          </w:tcPr>
          <w:p w14:paraId="258AED2A">
            <w:pPr>
              <w:jc w:val="center"/>
              <w:rPr>
                <w:color w:val="auto"/>
                <w:spacing w:val="10"/>
                <w:szCs w:val="21"/>
              </w:rPr>
            </w:pPr>
          </w:p>
        </w:tc>
        <w:tc>
          <w:tcPr>
            <w:tcW w:w="1111" w:type="dxa"/>
            <w:vAlign w:val="center"/>
          </w:tcPr>
          <w:p w14:paraId="0E0CB1D3">
            <w:pPr>
              <w:jc w:val="center"/>
              <w:rPr>
                <w:color w:val="auto"/>
                <w:spacing w:val="10"/>
                <w:szCs w:val="21"/>
              </w:rPr>
            </w:pPr>
          </w:p>
        </w:tc>
        <w:tc>
          <w:tcPr>
            <w:tcW w:w="1325" w:type="dxa"/>
            <w:vAlign w:val="center"/>
          </w:tcPr>
          <w:p w14:paraId="0AAA479C">
            <w:pPr>
              <w:jc w:val="center"/>
              <w:rPr>
                <w:color w:val="auto"/>
                <w:spacing w:val="10"/>
                <w:szCs w:val="21"/>
              </w:rPr>
            </w:pPr>
          </w:p>
        </w:tc>
        <w:tc>
          <w:tcPr>
            <w:tcW w:w="1521" w:type="dxa"/>
            <w:vAlign w:val="center"/>
          </w:tcPr>
          <w:p w14:paraId="58AF5AD2">
            <w:pPr>
              <w:jc w:val="center"/>
              <w:rPr>
                <w:color w:val="auto"/>
                <w:spacing w:val="10"/>
                <w:szCs w:val="21"/>
              </w:rPr>
            </w:pPr>
          </w:p>
        </w:tc>
      </w:tr>
      <w:tr w14:paraId="7776AB2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1E5AF238">
            <w:pPr>
              <w:jc w:val="center"/>
              <w:rPr>
                <w:color w:val="auto"/>
                <w:spacing w:val="10"/>
                <w:szCs w:val="21"/>
              </w:rPr>
            </w:pPr>
          </w:p>
        </w:tc>
        <w:tc>
          <w:tcPr>
            <w:tcW w:w="1337" w:type="dxa"/>
            <w:gridSpan w:val="2"/>
            <w:vMerge w:val="continue"/>
            <w:vAlign w:val="center"/>
          </w:tcPr>
          <w:p w14:paraId="1BAA72DA">
            <w:pPr>
              <w:jc w:val="center"/>
              <w:rPr>
                <w:color w:val="auto"/>
                <w:spacing w:val="10"/>
                <w:szCs w:val="21"/>
              </w:rPr>
            </w:pPr>
          </w:p>
        </w:tc>
        <w:tc>
          <w:tcPr>
            <w:tcW w:w="2071" w:type="dxa"/>
            <w:vAlign w:val="center"/>
          </w:tcPr>
          <w:p w14:paraId="4051C47F">
            <w:pPr>
              <w:jc w:val="center"/>
              <w:rPr>
                <w:color w:val="auto"/>
                <w:spacing w:val="10"/>
                <w:szCs w:val="21"/>
              </w:rPr>
            </w:pPr>
          </w:p>
        </w:tc>
        <w:tc>
          <w:tcPr>
            <w:tcW w:w="1169" w:type="dxa"/>
            <w:vAlign w:val="center"/>
          </w:tcPr>
          <w:p w14:paraId="1BF8D399">
            <w:pPr>
              <w:jc w:val="center"/>
              <w:rPr>
                <w:color w:val="auto"/>
                <w:spacing w:val="10"/>
                <w:szCs w:val="21"/>
              </w:rPr>
            </w:pPr>
          </w:p>
        </w:tc>
        <w:tc>
          <w:tcPr>
            <w:tcW w:w="1087" w:type="dxa"/>
            <w:vAlign w:val="center"/>
          </w:tcPr>
          <w:p w14:paraId="22358CE5">
            <w:pPr>
              <w:jc w:val="center"/>
              <w:rPr>
                <w:color w:val="auto"/>
                <w:spacing w:val="10"/>
                <w:szCs w:val="21"/>
              </w:rPr>
            </w:pPr>
          </w:p>
        </w:tc>
        <w:tc>
          <w:tcPr>
            <w:tcW w:w="1111" w:type="dxa"/>
            <w:vAlign w:val="center"/>
          </w:tcPr>
          <w:p w14:paraId="43E73FB6">
            <w:pPr>
              <w:jc w:val="center"/>
              <w:rPr>
                <w:color w:val="auto"/>
                <w:spacing w:val="10"/>
                <w:szCs w:val="21"/>
              </w:rPr>
            </w:pPr>
          </w:p>
        </w:tc>
        <w:tc>
          <w:tcPr>
            <w:tcW w:w="1325" w:type="dxa"/>
            <w:vAlign w:val="center"/>
          </w:tcPr>
          <w:p w14:paraId="660084DF">
            <w:pPr>
              <w:jc w:val="center"/>
              <w:rPr>
                <w:color w:val="auto"/>
                <w:spacing w:val="10"/>
                <w:szCs w:val="21"/>
              </w:rPr>
            </w:pPr>
          </w:p>
        </w:tc>
        <w:tc>
          <w:tcPr>
            <w:tcW w:w="1521" w:type="dxa"/>
            <w:vAlign w:val="center"/>
          </w:tcPr>
          <w:p w14:paraId="32DC596B">
            <w:pPr>
              <w:jc w:val="center"/>
              <w:rPr>
                <w:color w:val="auto"/>
                <w:spacing w:val="10"/>
                <w:szCs w:val="21"/>
              </w:rPr>
            </w:pPr>
          </w:p>
        </w:tc>
      </w:tr>
      <w:tr w14:paraId="29D9944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restart"/>
            <w:vAlign w:val="center"/>
          </w:tcPr>
          <w:p w14:paraId="74FD8F4D">
            <w:pPr>
              <w:pStyle w:val="34"/>
              <w:jc w:val="center"/>
              <w:rPr>
                <w:rFonts w:eastAsia="宋体"/>
                <w:color w:val="auto"/>
                <w:sz w:val="21"/>
                <w:szCs w:val="21"/>
              </w:rPr>
            </w:pPr>
            <w:r>
              <w:rPr>
                <w:rFonts w:eastAsia="宋体"/>
                <w:color w:val="auto"/>
                <w:sz w:val="21"/>
                <w:szCs w:val="21"/>
              </w:rPr>
              <w:t>2</w:t>
            </w:r>
          </w:p>
        </w:tc>
        <w:tc>
          <w:tcPr>
            <w:tcW w:w="1337" w:type="dxa"/>
            <w:gridSpan w:val="2"/>
            <w:vMerge w:val="restart"/>
            <w:vAlign w:val="center"/>
          </w:tcPr>
          <w:p w14:paraId="0DDE67CC">
            <w:pPr>
              <w:jc w:val="center"/>
              <w:rPr>
                <w:color w:val="auto"/>
                <w:szCs w:val="21"/>
              </w:rPr>
            </w:pPr>
            <w:r>
              <w:rPr>
                <w:color w:val="auto"/>
                <w:spacing w:val="10"/>
                <w:szCs w:val="21"/>
              </w:rPr>
              <w:t>钢筋制作及预埋件安装</w:t>
            </w:r>
          </w:p>
        </w:tc>
        <w:tc>
          <w:tcPr>
            <w:tcW w:w="2071" w:type="dxa"/>
            <w:vAlign w:val="center"/>
          </w:tcPr>
          <w:p w14:paraId="5AC0740B">
            <w:pPr>
              <w:jc w:val="center"/>
              <w:rPr>
                <w:color w:val="auto"/>
                <w:spacing w:val="10"/>
                <w:szCs w:val="21"/>
              </w:rPr>
            </w:pPr>
          </w:p>
        </w:tc>
        <w:tc>
          <w:tcPr>
            <w:tcW w:w="1169" w:type="dxa"/>
            <w:vAlign w:val="center"/>
          </w:tcPr>
          <w:p w14:paraId="44E58FB3">
            <w:pPr>
              <w:jc w:val="center"/>
              <w:rPr>
                <w:color w:val="auto"/>
                <w:szCs w:val="21"/>
              </w:rPr>
            </w:pPr>
          </w:p>
        </w:tc>
        <w:tc>
          <w:tcPr>
            <w:tcW w:w="1087" w:type="dxa"/>
            <w:vAlign w:val="center"/>
          </w:tcPr>
          <w:p w14:paraId="502E13D3">
            <w:pPr>
              <w:jc w:val="center"/>
              <w:rPr>
                <w:color w:val="auto"/>
                <w:szCs w:val="21"/>
              </w:rPr>
            </w:pPr>
          </w:p>
        </w:tc>
        <w:tc>
          <w:tcPr>
            <w:tcW w:w="1111" w:type="dxa"/>
            <w:vAlign w:val="center"/>
          </w:tcPr>
          <w:p w14:paraId="0F1771A6">
            <w:pPr>
              <w:jc w:val="center"/>
              <w:rPr>
                <w:color w:val="auto"/>
                <w:szCs w:val="21"/>
              </w:rPr>
            </w:pPr>
          </w:p>
        </w:tc>
        <w:tc>
          <w:tcPr>
            <w:tcW w:w="1325" w:type="dxa"/>
            <w:vAlign w:val="center"/>
          </w:tcPr>
          <w:p w14:paraId="057C6341">
            <w:pPr>
              <w:jc w:val="center"/>
              <w:rPr>
                <w:color w:val="auto"/>
                <w:szCs w:val="21"/>
              </w:rPr>
            </w:pPr>
          </w:p>
        </w:tc>
        <w:tc>
          <w:tcPr>
            <w:tcW w:w="1521" w:type="dxa"/>
            <w:vAlign w:val="center"/>
          </w:tcPr>
          <w:p w14:paraId="4E9F37A3">
            <w:pPr>
              <w:jc w:val="center"/>
              <w:rPr>
                <w:color w:val="auto"/>
                <w:szCs w:val="21"/>
              </w:rPr>
            </w:pPr>
          </w:p>
        </w:tc>
      </w:tr>
      <w:tr w14:paraId="23AE7EA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5CD8AB55">
            <w:pPr>
              <w:jc w:val="center"/>
              <w:rPr>
                <w:color w:val="auto"/>
              </w:rPr>
            </w:pPr>
          </w:p>
        </w:tc>
        <w:tc>
          <w:tcPr>
            <w:tcW w:w="1337" w:type="dxa"/>
            <w:gridSpan w:val="2"/>
            <w:vMerge w:val="continue"/>
            <w:vAlign w:val="center"/>
          </w:tcPr>
          <w:p w14:paraId="4259CEA1">
            <w:pPr>
              <w:jc w:val="center"/>
              <w:rPr>
                <w:color w:val="auto"/>
              </w:rPr>
            </w:pPr>
          </w:p>
        </w:tc>
        <w:tc>
          <w:tcPr>
            <w:tcW w:w="2071" w:type="dxa"/>
            <w:vAlign w:val="center"/>
          </w:tcPr>
          <w:p w14:paraId="6CF1E962">
            <w:pPr>
              <w:jc w:val="center"/>
              <w:rPr>
                <w:color w:val="auto"/>
                <w:spacing w:val="10"/>
                <w:szCs w:val="21"/>
              </w:rPr>
            </w:pPr>
          </w:p>
        </w:tc>
        <w:tc>
          <w:tcPr>
            <w:tcW w:w="1169" w:type="dxa"/>
            <w:vAlign w:val="center"/>
          </w:tcPr>
          <w:p w14:paraId="06EA95DF">
            <w:pPr>
              <w:jc w:val="center"/>
              <w:rPr>
                <w:color w:val="auto"/>
                <w:spacing w:val="10"/>
                <w:szCs w:val="21"/>
              </w:rPr>
            </w:pPr>
          </w:p>
        </w:tc>
        <w:tc>
          <w:tcPr>
            <w:tcW w:w="1087" w:type="dxa"/>
            <w:vAlign w:val="center"/>
          </w:tcPr>
          <w:p w14:paraId="0308236D">
            <w:pPr>
              <w:jc w:val="center"/>
              <w:rPr>
                <w:color w:val="auto"/>
                <w:spacing w:val="10"/>
                <w:szCs w:val="21"/>
              </w:rPr>
            </w:pPr>
          </w:p>
        </w:tc>
        <w:tc>
          <w:tcPr>
            <w:tcW w:w="1111" w:type="dxa"/>
            <w:vAlign w:val="center"/>
          </w:tcPr>
          <w:p w14:paraId="2D975E74">
            <w:pPr>
              <w:jc w:val="center"/>
              <w:rPr>
                <w:color w:val="auto"/>
                <w:spacing w:val="10"/>
                <w:szCs w:val="21"/>
              </w:rPr>
            </w:pPr>
          </w:p>
        </w:tc>
        <w:tc>
          <w:tcPr>
            <w:tcW w:w="1325" w:type="dxa"/>
            <w:vAlign w:val="center"/>
          </w:tcPr>
          <w:p w14:paraId="3493F37C">
            <w:pPr>
              <w:jc w:val="center"/>
              <w:rPr>
                <w:color w:val="auto"/>
                <w:spacing w:val="10"/>
                <w:szCs w:val="21"/>
              </w:rPr>
            </w:pPr>
          </w:p>
        </w:tc>
        <w:tc>
          <w:tcPr>
            <w:tcW w:w="1521" w:type="dxa"/>
            <w:vAlign w:val="center"/>
          </w:tcPr>
          <w:p w14:paraId="38DD97D1">
            <w:pPr>
              <w:jc w:val="center"/>
              <w:rPr>
                <w:color w:val="auto"/>
                <w:spacing w:val="10"/>
                <w:szCs w:val="21"/>
              </w:rPr>
            </w:pPr>
          </w:p>
        </w:tc>
      </w:tr>
      <w:tr w14:paraId="6FE76FC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1DAC8C52">
            <w:pPr>
              <w:jc w:val="center"/>
              <w:rPr>
                <w:color w:val="auto"/>
                <w:spacing w:val="10"/>
                <w:szCs w:val="21"/>
              </w:rPr>
            </w:pPr>
          </w:p>
        </w:tc>
        <w:tc>
          <w:tcPr>
            <w:tcW w:w="1337" w:type="dxa"/>
            <w:gridSpan w:val="2"/>
            <w:vMerge w:val="continue"/>
            <w:vAlign w:val="center"/>
          </w:tcPr>
          <w:p w14:paraId="5092605F">
            <w:pPr>
              <w:jc w:val="center"/>
              <w:rPr>
                <w:color w:val="auto"/>
                <w:spacing w:val="10"/>
                <w:szCs w:val="21"/>
              </w:rPr>
            </w:pPr>
          </w:p>
        </w:tc>
        <w:tc>
          <w:tcPr>
            <w:tcW w:w="2071" w:type="dxa"/>
            <w:vAlign w:val="center"/>
          </w:tcPr>
          <w:p w14:paraId="3355E911">
            <w:pPr>
              <w:jc w:val="center"/>
              <w:rPr>
                <w:color w:val="auto"/>
                <w:spacing w:val="10"/>
                <w:szCs w:val="21"/>
              </w:rPr>
            </w:pPr>
          </w:p>
        </w:tc>
        <w:tc>
          <w:tcPr>
            <w:tcW w:w="1169" w:type="dxa"/>
            <w:vAlign w:val="center"/>
          </w:tcPr>
          <w:p w14:paraId="32CD8E1A">
            <w:pPr>
              <w:jc w:val="center"/>
              <w:rPr>
                <w:color w:val="auto"/>
                <w:spacing w:val="10"/>
                <w:szCs w:val="21"/>
              </w:rPr>
            </w:pPr>
          </w:p>
        </w:tc>
        <w:tc>
          <w:tcPr>
            <w:tcW w:w="1087" w:type="dxa"/>
            <w:vAlign w:val="center"/>
          </w:tcPr>
          <w:p w14:paraId="5A6F289E">
            <w:pPr>
              <w:jc w:val="center"/>
              <w:rPr>
                <w:color w:val="auto"/>
                <w:spacing w:val="10"/>
                <w:szCs w:val="21"/>
              </w:rPr>
            </w:pPr>
          </w:p>
        </w:tc>
        <w:tc>
          <w:tcPr>
            <w:tcW w:w="1111" w:type="dxa"/>
            <w:vAlign w:val="center"/>
          </w:tcPr>
          <w:p w14:paraId="0625C25C">
            <w:pPr>
              <w:jc w:val="center"/>
              <w:rPr>
                <w:color w:val="auto"/>
                <w:spacing w:val="10"/>
                <w:szCs w:val="21"/>
              </w:rPr>
            </w:pPr>
          </w:p>
        </w:tc>
        <w:tc>
          <w:tcPr>
            <w:tcW w:w="1325" w:type="dxa"/>
            <w:vAlign w:val="center"/>
          </w:tcPr>
          <w:p w14:paraId="7D942BCC">
            <w:pPr>
              <w:jc w:val="center"/>
              <w:rPr>
                <w:color w:val="auto"/>
                <w:spacing w:val="10"/>
                <w:szCs w:val="21"/>
              </w:rPr>
            </w:pPr>
          </w:p>
        </w:tc>
        <w:tc>
          <w:tcPr>
            <w:tcW w:w="1521" w:type="dxa"/>
            <w:vAlign w:val="center"/>
          </w:tcPr>
          <w:p w14:paraId="63586EEB">
            <w:pPr>
              <w:jc w:val="center"/>
              <w:rPr>
                <w:color w:val="auto"/>
                <w:spacing w:val="10"/>
                <w:szCs w:val="21"/>
              </w:rPr>
            </w:pPr>
          </w:p>
        </w:tc>
      </w:tr>
      <w:tr w14:paraId="0D40B76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1A975A89">
            <w:pPr>
              <w:jc w:val="center"/>
              <w:rPr>
                <w:color w:val="auto"/>
                <w:spacing w:val="10"/>
                <w:szCs w:val="21"/>
              </w:rPr>
            </w:pPr>
          </w:p>
        </w:tc>
        <w:tc>
          <w:tcPr>
            <w:tcW w:w="1337" w:type="dxa"/>
            <w:gridSpan w:val="2"/>
            <w:vMerge w:val="continue"/>
            <w:vAlign w:val="center"/>
          </w:tcPr>
          <w:p w14:paraId="76FCF2C9">
            <w:pPr>
              <w:jc w:val="center"/>
              <w:rPr>
                <w:color w:val="auto"/>
                <w:spacing w:val="10"/>
                <w:szCs w:val="21"/>
              </w:rPr>
            </w:pPr>
          </w:p>
        </w:tc>
        <w:tc>
          <w:tcPr>
            <w:tcW w:w="2071" w:type="dxa"/>
            <w:vAlign w:val="center"/>
          </w:tcPr>
          <w:p w14:paraId="777EF139">
            <w:pPr>
              <w:jc w:val="center"/>
              <w:rPr>
                <w:color w:val="auto"/>
                <w:spacing w:val="10"/>
                <w:szCs w:val="21"/>
              </w:rPr>
            </w:pPr>
          </w:p>
        </w:tc>
        <w:tc>
          <w:tcPr>
            <w:tcW w:w="1169" w:type="dxa"/>
            <w:vAlign w:val="center"/>
          </w:tcPr>
          <w:p w14:paraId="5C313E0F">
            <w:pPr>
              <w:jc w:val="center"/>
              <w:rPr>
                <w:color w:val="auto"/>
                <w:spacing w:val="10"/>
                <w:szCs w:val="21"/>
              </w:rPr>
            </w:pPr>
          </w:p>
        </w:tc>
        <w:tc>
          <w:tcPr>
            <w:tcW w:w="1087" w:type="dxa"/>
            <w:vAlign w:val="center"/>
          </w:tcPr>
          <w:p w14:paraId="1E06D48B">
            <w:pPr>
              <w:jc w:val="center"/>
              <w:rPr>
                <w:color w:val="auto"/>
                <w:spacing w:val="10"/>
                <w:szCs w:val="21"/>
              </w:rPr>
            </w:pPr>
          </w:p>
        </w:tc>
        <w:tc>
          <w:tcPr>
            <w:tcW w:w="1111" w:type="dxa"/>
            <w:vAlign w:val="center"/>
          </w:tcPr>
          <w:p w14:paraId="1128E787">
            <w:pPr>
              <w:jc w:val="center"/>
              <w:rPr>
                <w:color w:val="auto"/>
                <w:spacing w:val="10"/>
                <w:szCs w:val="21"/>
              </w:rPr>
            </w:pPr>
          </w:p>
        </w:tc>
        <w:tc>
          <w:tcPr>
            <w:tcW w:w="1325" w:type="dxa"/>
            <w:vAlign w:val="center"/>
          </w:tcPr>
          <w:p w14:paraId="0F60B704">
            <w:pPr>
              <w:jc w:val="center"/>
              <w:rPr>
                <w:color w:val="auto"/>
                <w:spacing w:val="10"/>
                <w:szCs w:val="21"/>
              </w:rPr>
            </w:pPr>
          </w:p>
        </w:tc>
        <w:tc>
          <w:tcPr>
            <w:tcW w:w="1521" w:type="dxa"/>
            <w:vAlign w:val="center"/>
          </w:tcPr>
          <w:p w14:paraId="363B6614">
            <w:pPr>
              <w:jc w:val="center"/>
              <w:rPr>
                <w:color w:val="auto"/>
                <w:spacing w:val="10"/>
                <w:szCs w:val="21"/>
              </w:rPr>
            </w:pPr>
          </w:p>
        </w:tc>
      </w:tr>
      <w:tr w14:paraId="4785751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restart"/>
            <w:vAlign w:val="center"/>
          </w:tcPr>
          <w:p w14:paraId="0A36A56E">
            <w:pPr>
              <w:pStyle w:val="34"/>
              <w:jc w:val="center"/>
              <w:rPr>
                <w:rFonts w:eastAsia="宋体"/>
                <w:color w:val="auto"/>
                <w:sz w:val="21"/>
                <w:szCs w:val="21"/>
              </w:rPr>
            </w:pPr>
            <w:r>
              <w:rPr>
                <w:rFonts w:eastAsia="宋体"/>
                <w:color w:val="auto"/>
                <w:sz w:val="21"/>
                <w:szCs w:val="21"/>
              </w:rPr>
              <w:t>3</w:t>
            </w:r>
          </w:p>
        </w:tc>
        <w:tc>
          <w:tcPr>
            <w:tcW w:w="1337" w:type="dxa"/>
            <w:gridSpan w:val="2"/>
            <w:vMerge w:val="restart"/>
            <w:vAlign w:val="center"/>
          </w:tcPr>
          <w:p w14:paraId="236C2B11">
            <w:pPr>
              <w:jc w:val="center"/>
              <w:rPr>
                <w:color w:val="auto"/>
                <w:szCs w:val="21"/>
              </w:rPr>
            </w:pPr>
            <w:r>
              <w:rPr>
                <w:color w:val="auto"/>
                <w:spacing w:val="-4"/>
                <w:szCs w:val="21"/>
              </w:rPr>
              <w:t>隐蔽验收</w:t>
            </w:r>
          </w:p>
        </w:tc>
        <w:tc>
          <w:tcPr>
            <w:tcW w:w="2071" w:type="dxa"/>
            <w:vAlign w:val="center"/>
          </w:tcPr>
          <w:p w14:paraId="27065EC2">
            <w:pPr>
              <w:jc w:val="center"/>
              <w:rPr>
                <w:color w:val="auto"/>
                <w:spacing w:val="-4"/>
                <w:szCs w:val="21"/>
              </w:rPr>
            </w:pPr>
          </w:p>
        </w:tc>
        <w:tc>
          <w:tcPr>
            <w:tcW w:w="1169" w:type="dxa"/>
            <w:vAlign w:val="center"/>
          </w:tcPr>
          <w:p w14:paraId="04FF4D2F">
            <w:pPr>
              <w:jc w:val="center"/>
              <w:rPr>
                <w:color w:val="auto"/>
                <w:szCs w:val="21"/>
              </w:rPr>
            </w:pPr>
          </w:p>
        </w:tc>
        <w:tc>
          <w:tcPr>
            <w:tcW w:w="1087" w:type="dxa"/>
            <w:vAlign w:val="center"/>
          </w:tcPr>
          <w:p w14:paraId="7B682136">
            <w:pPr>
              <w:jc w:val="center"/>
              <w:rPr>
                <w:color w:val="auto"/>
                <w:szCs w:val="21"/>
              </w:rPr>
            </w:pPr>
          </w:p>
        </w:tc>
        <w:tc>
          <w:tcPr>
            <w:tcW w:w="1111" w:type="dxa"/>
            <w:vAlign w:val="center"/>
          </w:tcPr>
          <w:p w14:paraId="721C66A3">
            <w:pPr>
              <w:jc w:val="center"/>
              <w:rPr>
                <w:color w:val="auto"/>
                <w:szCs w:val="21"/>
              </w:rPr>
            </w:pPr>
          </w:p>
        </w:tc>
        <w:tc>
          <w:tcPr>
            <w:tcW w:w="1325" w:type="dxa"/>
            <w:vAlign w:val="center"/>
          </w:tcPr>
          <w:p w14:paraId="157D4E54">
            <w:pPr>
              <w:jc w:val="center"/>
              <w:rPr>
                <w:color w:val="auto"/>
                <w:szCs w:val="21"/>
              </w:rPr>
            </w:pPr>
          </w:p>
        </w:tc>
        <w:tc>
          <w:tcPr>
            <w:tcW w:w="1521" w:type="dxa"/>
            <w:vAlign w:val="center"/>
          </w:tcPr>
          <w:p w14:paraId="458E941A">
            <w:pPr>
              <w:jc w:val="center"/>
              <w:rPr>
                <w:color w:val="auto"/>
                <w:szCs w:val="21"/>
              </w:rPr>
            </w:pPr>
          </w:p>
        </w:tc>
      </w:tr>
      <w:tr w14:paraId="5A0E56D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094DD1A3">
            <w:pPr>
              <w:jc w:val="center"/>
              <w:rPr>
                <w:color w:val="auto"/>
              </w:rPr>
            </w:pPr>
          </w:p>
        </w:tc>
        <w:tc>
          <w:tcPr>
            <w:tcW w:w="1337" w:type="dxa"/>
            <w:gridSpan w:val="2"/>
            <w:vMerge w:val="continue"/>
            <w:vAlign w:val="center"/>
          </w:tcPr>
          <w:p w14:paraId="5166990C">
            <w:pPr>
              <w:jc w:val="center"/>
              <w:rPr>
                <w:color w:val="auto"/>
              </w:rPr>
            </w:pPr>
          </w:p>
        </w:tc>
        <w:tc>
          <w:tcPr>
            <w:tcW w:w="2071" w:type="dxa"/>
            <w:vAlign w:val="center"/>
          </w:tcPr>
          <w:p w14:paraId="06972769">
            <w:pPr>
              <w:jc w:val="center"/>
              <w:rPr>
                <w:color w:val="auto"/>
                <w:spacing w:val="-4"/>
                <w:szCs w:val="21"/>
              </w:rPr>
            </w:pPr>
          </w:p>
        </w:tc>
        <w:tc>
          <w:tcPr>
            <w:tcW w:w="1169" w:type="dxa"/>
            <w:vAlign w:val="center"/>
          </w:tcPr>
          <w:p w14:paraId="16AC081A">
            <w:pPr>
              <w:jc w:val="center"/>
              <w:rPr>
                <w:color w:val="auto"/>
                <w:spacing w:val="-4"/>
                <w:szCs w:val="21"/>
              </w:rPr>
            </w:pPr>
          </w:p>
        </w:tc>
        <w:tc>
          <w:tcPr>
            <w:tcW w:w="1087" w:type="dxa"/>
            <w:vAlign w:val="center"/>
          </w:tcPr>
          <w:p w14:paraId="2C071F5A">
            <w:pPr>
              <w:jc w:val="center"/>
              <w:rPr>
                <w:color w:val="auto"/>
                <w:spacing w:val="-4"/>
                <w:szCs w:val="21"/>
              </w:rPr>
            </w:pPr>
          </w:p>
        </w:tc>
        <w:tc>
          <w:tcPr>
            <w:tcW w:w="1111" w:type="dxa"/>
            <w:vAlign w:val="center"/>
          </w:tcPr>
          <w:p w14:paraId="251E469E">
            <w:pPr>
              <w:jc w:val="center"/>
              <w:rPr>
                <w:color w:val="auto"/>
                <w:spacing w:val="-4"/>
                <w:szCs w:val="21"/>
              </w:rPr>
            </w:pPr>
          </w:p>
        </w:tc>
        <w:tc>
          <w:tcPr>
            <w:tcW w:w="1325" w:type="dxa"/>
            <w:vAlign w:val="center"/>
          </w:tcPr>
          <w:p w14:paraId="0D6583DA">
            <w:pPr>
              <w:jc w:val="center"/>
              <w:rPr>
                <w:color w:val="auto"/>
                <w:spacing w:val="-4"/>
                <w:szCs w:val="21"/>
              </w:rPr>
            </w:pPr>
          </w:p>
        </w:tc>
        <w:tc>
          <w:tcPr>
            <w:tcW w:w="1521" w:type="dxa"/>
            <w:vAlign w:val="center"/>
          </w:tcPr>
          <w:p w14:paraId="355FF5A8">
            <w:pPr>
              <w:jc w:val="center"/>
              <w:rPr>
                <w:color w:val="auto"/>
                <w:spacing w:val="-4"/>
                <w:szCs w:val="21"/>
              </w:rPr>
            </w:pPr>
          </w:p>
        </w:tc>
      </w:tr>
      <w:tr w14:paraId="7C06605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5CE1D190">
            <w:pPr>
              <w:jc w:val="center"/>
              <w:rPr>
                <w:color w:val="auto"/>
                <w:spacing w:val="-4"/>
                <w:szCs w:val="21"/>
              </w:rPr>
            </w:pPr>
          </w:p>
        </w:tc>
        <w:tc>
          <w:tcPr>
            <w:tcW w:w="1337" w:type="dxa"/>
            <w:gridSpan w:val="2"/>
            <w:vMerge w:val="continue"/>
            <w:vAlign w:val="center"/>
          </w:tcPr>
          <w:p w14:paraId="4D75FBDE">
            <w:pPr>
              <w:jc w:val="center"/>
              <w:rPr>
                <w:color w:val="auto"/>
                <w:spacing w:val="-4"/>
                <w:szCs w:val="21"/>
              </w:rPr>
            </w:pPr>
          </w:p>
        </w:tc>
        <w:tc>
          <w:tcPr>
            <w:tcW w:w="2071" w:type="dxa"/>
            <w:vAlign w:val="center"/>
          </w:tcPr>
          <w:p w14:paraId="548C47A2">
            <w:pPr>
              <w:jc w:val="center"/>
              <w:rPr>
                <w:color w:val="auto"/>
                <w:spacing w:val="-4"/>
                <w:szCs w:val="21"/>
              </w:rPr>
            </w:pPr>
          </w:p>
        </w:tc>
        <w:tc>
          <w:tcPr>
            <w:tcW w:w="1169" w:type="dxa"/>
            <w:vAlign w:val="center"/>
          </w:tcPr>
          <w:p w14:paraId="131748FE">
            <w:pPr>
              <w:jc w:val="center"/>
              <w:rPr>
                <w:color w:val="auto"/>
                <w:spacing w:val="-4"/>
                <w:szCs w:val="21"/>
              </w:rPr>
            </w:pPr>
          </w:p>
        </w:tc>
        <w:tc>
          <w:tcPr>
            <w:tcW w:w="1087" w:type="dxa"/>
            <w:vAlign w:val="center"/>
          </w:tcPr>
          <w:p w14:paraId="7C9BAF35">
            <w:pPr>
              <w:jc w:val="center"/>
              <w:rPr>
                <w:color w:val="auto"/>
                <w:spacing w:val="-4"/>
                <w:szCs w:val="21"/>
              </w:rPr>
            </w:pPr>
          </w:p>
        </w:tc>
        <w:tc>
          <w:tcPr>
            <w:tcW w:w="1111" w:type="dxa"/>
            <w:vAlign w:val="center"/>
          </w:tcPr>
          <w:p w14:paraId="111E476F">
            <w:pPr>
              <w:jc w:val="center"/>
              <w:rPr>
                <w:color w:val="auto"/>
                <w:spacing w:val="-4"/>
                <w:szCs w:val="21"/>
              </w:rPr>
            </w:pPr>
          </w:p>
        </w:tc>
        <w:tc>
          <w:tcPr>
            <w:tcW w:w="1325" w:type="dxa"/>
            <w:vAlign w:val="center"/>
          </w:tcPr>
          <w:p w14:paraId="5ADC4669">
            <w:pPr>
              <w:jc w:val="center"/>
              <w:rPr>
                <w:color w:val="auto"/>
                <w:spacing w:val="-4"/>
                <w:szCs w:val="21"/>
              </w:rPr>
            </w:pPr>
          </w:p>
        </w:tc>
        <w:tc>
          <w:tcPr>
            <w:tcW w:w="1521" w:type="dxa"/>
            <w:vAlign w:val="center"/>
          </w:tcPr>
          <w:p w14:paraId="6C17B1E2">
            <w:pPr>
              <w:jc w:val="center"/>
              <w:rPr>
                <w:color w:val="auto"/>
                <w:spacing w:val="-4"/>
                <w:szCs w:val="21"/>
              </w:rPr>
            </w:pPr>
          </w:p>
        </w:tc>
      </w:tr>
      <w:tr w14:paraId="2F553AC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513" w:hRule="atLeast"/>
          <w:jc w:val="center"/>
        </w:trPr>
        <w:tc>
          <w:tcPr>
            <w:tcW w:w="517" w:type="dxa"/>
            <w:vMerge w:val="continue"/>
            <w:vAlign w:val="center"/>
          </w:tcPr>
          <w:p w14:paraId="23884729">
            <w:pPr>
              <w:jc w:val="center"/>
              <w:rPr>
                <w:color w:val="auto"/>
                <w:spacing w:val="-4"/>
                <w:szCs w:val="21"/>
              </w:rPr>
            </w:pPr>
          </w:p>
        </w:tc>
        <w:tc>
          <w:tcPr>
            <w:tcW w:w="1337" w:type="dxa"/>
            <w:gridSpan w:val="2"/>
            <w:vMerge w:val="continue"/>
            <w:vAlign w:val="center"/>
          </w:tcPr>
          <w:p w14:paraId="74641C27">
            <w:pPr>
              <w:jc w:val="center"/>
              <w:rPr>
                <w:color w:val="auto"/>
                <w:spacing w:val="-4"/>
                <w:szCs w:val="21"/>
              </w:rPr>
            </w:pPr>
          </w:p>
        </w:tc>
        <w:tc>
          <w:tcPr>
            <w:tcW w:w="2071" w:type="dxa"/>
            <w:vAlign w:val="center"/>
          </w:tcPr>
          <w:p w14:paraId="0DC227E9">
            <w:pPr>
              <w:jc w:val="center"/>
              <w:rPr>
                <w:color w:val="auto"/>
                <w:spacing w:val="-4"/>
                <w:szCs w:val="21"/>
              </w:rPr>
            </w:pPr>
          </w:p>
        </w:tc>
        <w:tc>
          <w:tcPr>
            <w:tcW w:w="1169" w:type="dxa"/>
            <w:vAlign w:val="center"/>
          </w:tcPr>
          <w:p w14:paraId="312DF090">
            <w:pPr>
              <w:jc w:val="center"/>
              <w:rPr>
                <w:color w:val="auto"/>
                <w:spacing w:val="-4"/>
                <w:szCs w:val="21"/>
              </w:rPr>
            </w:pPr>
          </w:p>
        </w:tc>
        <w:tc>
          <w:tcPr>
            <w:tcW w:w="1087" w:type="dxa"/>
            <w:vAlign w:val="center"/>
          </w:tcPr>
          <w:p w14:paraId="324EB6B8">
            <w:pPr>
              <w:jc w:val="center"/>
              <w:rPr>
                <w:color w:val="auto"/>
                <w:spacing w:val="-4"/>
                <w:szCs w:val="21"/>
              </w:rPr>
            </w:pPr>
          </w:p>
        </w:tc>
        <w:tc>
          <w:tcPr>
            <w:tcW w:w="1111" w:type="dxa"/>
            <w:vAlign w:val="center"/>
          </w:tcPr>
          <w:p w14:paraId="2FD6FFD0">
            <w:pPr>
              <w:jc w:val="center"/>
              <w:rPr>
                <w:color w:val="auto"/>
                <w:spacing w:val="-4"/>
                <w:szCs w:val="21"/>
              </w:rPr>
            </w:pPr>
          </w:p>
        </w:tc>
        <w:tc>
          <w:tcPr>
            <w:tcW w:w="1325" w:type="dxa"/>
            <w:vAlign w:val="center"/>
          </w:tcPr>
          <w:p w14:paraId="55A6F967">
            <w:pPr>
              <w:jc w:val="center"/>
              <w:rPr>
                <w:color w:val="auto"/>
                <w:spacing w:val="-4"/>
                <w:szCs w:val="21"/>
              </w:rPr>
            </w:pPr>
          </w:p>
        </w:tc>
        <w:tc>
          <w:tcPr>
            <w:tcW w:w="1521" w:type="dxa"/>
            <w:vAlign w:val="center"/>
          </w:tcPr>
          <w:p w14:paraId="537F3A75">
            <w:pPr>
              <w:jc w:val="center"/>
              <w:rPr>
                <w:color w:val="auto"/>
                <w:spacing w:val="-4"/>
                <w:szCs w:val="21"/>
              </w:rPr>
            </w:pPr>
          </w:p>
        </w:tc>
      </w:tr>
      <w:tr w14:paraId="0299336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1726" w:hRule="atLeast"/>
          <w:jc w:val="center"/>
        </w:trPr>
        <w:tc>
          <w:tcPr>
            <w:tcW w:w="10138" w:type="dxa"/>
            <w:gridSpan w:val="9"/>
            <w:vAlign w:val="center"/>
          </w:tcPr>
          <w:p w14:paraId="28E31571">
            <w:pPr>
              <w:jc w:val="center"/>
              <w:rPr>
                <w:color w:val="auto"/>
                <w:spacing w:val="-3"/>
                <w:szCs w:val="21"/>
              </w:rPr>
            </w:pPr>
          </w:p>
          <w:p w14:paraId="5B3553C5">
            <w:pPr>
              <w:jc w:val="center"/>
              <w:rPr>
                <w:color w:val="auto"/>
                <w:spacing w:val="-3"/>
                <w:szCs w:val="21"/>
              </w:rPr>
            </w:pPr>
          </w:p>
          <w:p w14:paraId="7EAE56FE">
            <w:pPr>
              <w:adjustRightInd w:val="0"/>
              <w:snapToGrid w:val="0"/>
              <w:ind w:left="5669"/>
              <w:rPr>
                <w:color w:val="auto"/>
                <w:spacing w:val="-3"/>
                <w:szCs w:val="21"/>
              </w:rPr>
            </w:pPr>
            <w:r>
              <w:rPr>
                <w:color w:val="auto"/>
                <w:spacing w:val="-3"/>
                <w:szCs w:val="21"/>
              </w:rPr>
              <w:t>模块单元生产单位</w:t>
            </w:r>
          </w:p>
          <w:p w14:paraId="42622195">
            <w:pPr>
              <w:adjustRightInd w:val="0"/>
              <w:snapToGrid w:val="0"/>
              <w:ind w:left="5669"/>
              <w:rPr>
                <w:color w:val="auto"/>
                <w:spacing w:val="-3"/>
                <w:szCs w:val="21"/>
              </w:rPr>
            </w:pPr>
            <w:r>
              <w:rPr>
                <w:color w:val="auto"/>
                <w:spacing w:val="-3"/>
                <w:szCs w:val="21"/>
              </w:rPr>
              <w:t>项目负责人：</w:t>
            </w:r>
          </w:p>
          <w:p w14:paraId="0531AA66">
            <w:pPr>
              <w:adjustRightInd w:val="0"/>
              <w:snapToGrid w:val="0"/>
              <w:jc w:val="center"/>
              <w:rPr>
                <w:color w:val="auto"/>
                <w:spacing w:val="-7"/>
                <w:szCs w:val="21"/>
              </w:rPr>
            </w:pPr>
          </w:p>
          <w:p w14:paraId="13860B82">
            <w:pPr>
              <w:adjustRightInd w:val="0"/>
              <w:snapToGrid w:val="0"/>
              <w:spacing w:before="117"/>
              <w:jc w:val="right"/>
              <w:rPr>
                <w:color w:val="auto"/>
                <w:szCs w:val="21"/>
              </w:rPr>
            </w:pPr>
            <w:r>
              <w:rPr>
                <w:color w:val="auto"/>
                <w:spacing w:val="-7"/>
                <w:szCs w:val="21"/>
              </w:rPr>
              <w:t>年</w:t>
            </w:r>
            <w:r>
              <w:rPr>
                <w:color w:val="auto"/>
                <w:spacing w:val="3"/>
                <w:szCs w:val="21"/>
              </w:rPr>
              <w:t xml:space="preserve">    </w:t>
            </w:r>
            <w:r>
              <w:rPr>
                <w:color w:val="auto"/>
                <w:spacing w:val="-7"/>
                <w:szCs w:val="21"/>
              </w:rPr>
              <w:t>月</w:t>
            </w:r>
            <w:r>
              <w:rPr>
                <w:color w:val="auto"/>
                <w:spacing w:val="9"/>
                <w:szCs w:val="21"/>
              </w:rPr>
              <w:t xml:space="preserve">    </w:t>
            </w:r>
            <w:r>
              <w:rPr>
                <w:color w:val="auto"/>
                <w:spacing w:val="-7"/>
                <w:szCs w:val="21"/>
              </w:rPr>
              <w:t>日</w:t>
            </w:r>
          </w:p>
        </w:tc>
      </w:tr>
      <w:tr w14:paraId="0C87F07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trHeight w:val="1726" w:hRule="atLeast"/>
          <w:jc w:val="center"/>
        </w:trPr>
        <w:tc>
          <w:tcPr>
            <w:tcW w:w="10138" w:type="dxa"/>
            <w:gridSpan w:val="9"/>
            <w:tcBorders>
              <w:bottom w:val="single" w:color="auto" w:sz="12" w:space="0"/>
            </w:tcBorders>
            <w:vAlign w:val="center"/>
          </w:tcPr>
          <w:p w14:paraId="340AE311">
            <w:pPr>
              <w:ind w:left="5669"/>
              <w:jc w:val="left"/>
              <w:rPr>
                <w:color w:val="auto"/>
                <w:spacing w:val="-3"/>
                <w:szCs w:val="21"/>
              </w:rPr>
            </w:pPr>
          </w:p>
          <w:p w14:paraId="2F7C025C">
            <w:pPr>
              <w:ind w:left="5669"/>
              <w:jc w:val="left"/>
              <w:rPr>
                <w:color w:val="auto"/>
                <w:spacing w:val="-3"/>
                <w:szCs w:val="21"/>
              </w:rPr>
            </w:pPr>
          </w:p>
          <w:p w14:paraId="07D5438E">
            <w:pPr>
              <w:adjustRightInd w:val="0"/>
              <w:snapToGrid w:val="0"/>
              <w:ind w:left="5669"/>
              <w:rPr>
                <w:color w:val="auto"/>
                <w:spacing w:val="-3"/>
                <w:szCs w:val="21"/>
              </w:rPr>
            </w:pPr>
            <w:r>
              <w:rPr>
                <w:color w:val="auto"/>
                <w:spacing w:val="-3"/>
                <w:szCs w:val="21"/>
              </w:rPr>
              <w:t>监理单位</w:t>
            </w:r>
          </w:p>
          <w:p w14:paraId="3F643583">
            <w:pPr>
              <w:adjustRightInd w:val="0"/>
              <w:snapToGrid w:val="0"/>
              <w:ind w:left="5669"/>
              <w:rPr>
                <w:color w:val="auto"/>
                <w:spacing w:val="-3"/>
                <w:szCs w:val="21"/>
              </w:rPr>
            </w:pPr>
            <w:r>
              <w:rPr>
                <w:color w:val="auto"/>
                <w:spacing w:val="-3"/>
                <w:szCs w:val="21"/>
              </w:rPr>
              <w:t>专业监理工程师：</w:t>
            </w:r>
          </w:p>
          <w:p w14:paraId="6DA54967">
            <w:pPr>
              <w:pStyle w:val="34"/>
              <w:adjustRightInd w:val="0"/>
              <w:snapToGrid w:val="0"/>
              <w:jc w:val="right"/>
              <w:rPr>
                <w:rFonts w:eastAsia="宋体"/>
                <w:color w:val="auto"/>
                <w:spacing w:val="-7"/>
                <w:sz w:val="21"/>
                <w:szCs w:val="21"/>
                <w:lang w:eastAsia="zh-CN"/>
              </w:rPr>
            </w:pPr>
          </w:p>
          <w:p w14:paraId="46A765F7">
            <w:pPr>
              <w:spacing w:before="117" w:line="219" w:lineRule="auto"/>
              <w:jc w:val="right"/>
              <w:rPr>
                <w:color w:val="auto"/>
                <w:spacing w:val="-7"/>
                <w:szCs w:val="21"/>
              </w:rPr>
            </w:pPr>
            <w:r>
              <w:rPr>
                <w:color w:val="auto"/>
                <w:spacing w:val="-7"/>
                <w:szCs w:val="21"/>
              </w:rPr>
              <w:t>年</w:t>
            </w:r>
            <w:r>
              <w:rPr>
                <w:color w:val="auto"/>
                <w:spacing w:val="3"/>
                <w:szCs w:val="21"/>
              </w:rPr>
              <w:t xml:space="preserve">    </w:t>
            </w:r>
            <w:r>
              <w:rPr>
                <w:color w:val="auto"/>
                <w:spacing w:val="-7"/>
                <w:szCs w:val="21"/>
              </w:rPr>
              <w:t>月</w:t>
            </w:r>
            <w:r>
              <w:rPr>
                <w:color w:val="auto"/>
                <w:spacing w:val="9"/>
                <w:szCs w:val="21"/>
              </w:rPr>
              <w:t xml:space="preserve">    </w:t>
            </w:r>
            <w:r>
              <w:rPr>
                <w:color w:val="auto"/>
                <w:spacing w:val="-7"/>
                <w:szCs w:val="21"/>
              </w:rPr>
              <w:t>日</w:t>
            </w:r>
          </w:p>
        </w:tc>
      </w:tr>
    </w:tbl>
    <w:p w14:paraId="0F89321D">
      <w:pPr>
        <w:outlineLvl w:val="1"/>
        <w:rPr>
          <w:bCs/>
          <w:color w:val="auto"/>
        </w:rPr>
        <w:sectPr>
          <w:pgSz w:w="11906" w:h="16838"/>
          <w:pgMar w:top="1610" w:right="1349" w:bottom="1213" w:left="1293" w:header="851" w:footer="992" w:gutter="0"/>
          <w:cols w:space="720" w:num="1"/>
          <w:docGrid w:type="linesAndChars" w:linePitch="333" w:charSpace="2165"/>
        </w:sectPr>
      </w:pPr>
    </w:p>
    <w:p w14:paraId="3037A0CC">
      <w:pPr>
        <w:jc w:val="center"/>
        <w:rPr>
          <w:rFonts w:eastAsia="黑体"/>
          <w:color w:val="auto"/>
          <w:spacing w:val="-1"/>
          <w:szCs w:val="21"/>
        </w:rPr>
      </w:pPr>
      <w:r>
        <w:rPr>
          <w:rFonts w:eastAsia="黑体"/>
          <w:color w:val="auto"/>
          <w:spacing w:val="-1"/>
          <w:szCs w:val="21"/>
        </w:rPr>
        <w:t>表</w:t>
      </w:r>
      <w:r>
        <w:rPr>
          <w:rFonts w:hint="eastAsia" w:eastAsia="黑体"/>
          <w:color w:val="auto"/>
          <w:spacing w:val="-1"/>
          <w:szCs w:val="21"/>
        </w:rPr>
        <w:t>B</w:t>
      </w:r>
      <w:r>
        <w:rPr>
          <w:rFonts w:eastAsia="黑体"/>
          <w:color w:val="auto"/>
          <w:spacing w:val="-1"/>
          <w:szCs w:val="21"/>
        </w:rPr>
        <w:t>.</w:t>
      </w:r>
      <w:r>
        <w:rPr>
          <w:rFonts w:hint="eastAsia" w:eastAsia="黑体"/>
          <w:color w:val="auto"/>
          <w:spacing w:val="-1"/>
          <w:szCs w:val="21"/>
        </w:rPr>
        <w:t>3</w:t>
      </w:r>
      <w:r>
        <w:rPr>
          <w:rFonts w:eastAsia="黑体"/>
          <w:color w:val="auto"/>
          <w:spacing w:val="-1"/>
          <w:szCs w:val="21"/>
        </w:rPr>
        <w:t xml:space="preserve">  模块单元混凝土质量验收记录表</w:t>
      </w:r>
    </w:p>
    <w:p w14:paraId="1F66A9E8">
      <w:pPr>
        <w:spacing w:line="38" w:lineRule="exact"/>
        <w:rPr>
          <w:color w:val="auto"/>
        </w:rPr>
      </w:pPr>
    </w:p>
    <w:tbl>
      <w:tblPr>
        <w:tblStyle w:val="17"/>
        <w:tblW w:w="9926" w:type="dxa"/>
        <w:jc w:val="center"/>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914"/>
        <w:gridCol w:w="1740"/>
        <w:gridCol w:w="1600"/>
        <w:gridCol w:w="1155"/>
        <w:gridCol w:w="713"/>
        <w:gridCol w:w="1597"/>
        <w:gridCol w:w="1581"/>
      </w:tblGrid>
      <w:tr w14:paraId="51E54A04">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1525" w:type="dxa"/>
            <w:gridSpan w:val="2"/>
            <w:vAlign w:val="center"/>
          </w:tcPr>
          <w:p w14:paraId="166DFCE8">
            <w:pPr>
              <w:jc w:val="center"/>
              <w:rPr>
                <w:color w:val="auto"/>
                <w:szCs w:val="21"/>
              </w:rPr>
            </w:pPr>
            <w:r>
              <w:rPr>
                <w:color w:val="auto"/>
                <w:spacing w:val="-3"/>
                <w:szCs w:val="21"/>
              </w:rPr>
              <w:t>工程名称</w:t>
            </w:r>
          </w:p>
        </w:tc>
        <w:tc>
          <w:tcPr>
            <w:tcW w:w="8311" w:type="dxa"/>
            <w:gridSpan w:val="6"/>
            <w:vAlign w:val="center"/>
          </w:tcPr>
          <w:p w14:paraId="67973D3A">
            <w:pPr>
              <w:jc w:val="center"/>
              <w:rPr>
                <w:color w:val="auto"/>
                <w:szCs w:val="21"/>
              </w:rPr>
            </w:pPr>
          </w:p>
        </w:tc>
      </w:tr>
      <w:tr w14:paraId="55BA1BCD">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1525" w:type="dxa"/>
            <w:gridSpan w:val="2"/>
            <w:vAlign w:val="center"/>
          </w:tcPr>
          <w:p w14:paraId="615F6779">
            <w:pPr>
              <w:jc w:val="center"/>
              <w:rPr>
                <w:color w:val="auto"/>
                <w:szCs w:val="21"/>
              </w:rPr>
            </w:pPr>
            <w:r>
              <w:rPr>
                <w:color w:val="auto"/>
                <w:szCs w:val="21"/>
              </w:rPr>
              <w:t>模块单元</w:t>
            </w:r>
            <w:r>
              <w:rPr>
                <w:rFonts w:hint="eastAsia"/>
                <w:color w:val="auto"/>
                <w:szCs w:val="21"/>
              </w:rPr>
              <w:t>型号</w:t>
            </w:r>
          </w:p>
        </w:tc>
        <w:tc>
          <w:tcPr>
            <w:tcW w:w="3309" w:type="dxa"/>
            <w:gridSpan w:val="2"/>
            <w:vAlign w:val="center"/>
          </w:tcPr>
          <w:p w14:paraId="7F274CD2">
            <w:pPr>
              <w:jc w:val="center"/>
              <w:rPr>
                <w:color w:val="auto"/>
                <w:szCs w:val="21"/>
              </w:rPr>
            </w:pPr>
          </w:p>
        </w:tc>
        <w:tc>
          <w:tcPr>
            <w:tcW w:w="1145" w:type="dxa"/>
            <w:vAlign w:val="center"/>
          </w:tcPr>
          <w:p w14:paraId="353AD712">
            <w:pPr>
              <w:jc w:val="center"/>
              <w:rPr>
                <w:color w:val="auto"/>
                <w:szCs w:val="21"/>
              </w:rPr>
            </w:pPr>
            <w:r>
              <w:rPr>
                <w:color w:val="auto"/>
                <w:spacing w:val="-1"/>
                <w:szCs w:val="21"/>
              </w:rPr>
              <w:t>产品</w:t>
            </w:r>
            <w:r>
              <w:rPr>
                <w:rFonts w:hint="eastAsia"/>
                <w:color w:val="auto"/>
                <w:spacing w:val="-1"/>
                <w:szCs w:val="21"/>
              </w:rPr>
              <w:t>型号</w:t>
            </w:r>
          </w:p>
        </w:tc>
        <w:tc>
          <w:tcPr>
            <w:tcW w:w="3857" w:type="dxa"/>
            <w:gridSpan w:val="3"/>
            <w:vAlign w:val="center"/>
          </w:tcPr>
          <w:p w14:paraId="19D3E4A4">
            <w:pPr>
              <w:jc w:val="center"/>
              <w:rPr>
                <w:color w:val="auto"/>
                <w:szCs w:val="21"/>
              </w:rPr>
            </w:pPr>
          </w:p>
        </w:tc>
      </w:tr>
      <w:tr w14:paraId="4C599D49">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1525" w:type="dxa"/>
            <w:gridSpan w:val="2"/>
            <w:vAlign w:val="center"/>
          </w:tcPr>
          <w:p w14:paraId="5374ADFC">
            <w:pPr>
              <w:jc w:val="center"/>
              <w:rPr>
                <w:color w:val="auto"/>
                <w:szCs w:val="21"/>
              </w:rPr>
            </w:pPr>
            <w:r>
              <w:rPr>
                <w:rFonts w:hint="eastAsia"/>
                <w:color w:val="auto"/>
                <w:spacing w:val="-3"/>
                <w:szCs w:val="21"/>
              </w:rPr>
              <w:t>生产</w:t>
            </w:r>
            <w:r>
              <w:rPr>
                <w:color w:val="auto"/>
                <w:spacing w:val="-3"/>
                <w:szCs w:val="21"/>
              </w:rPr>
              <w:t>批号</w:t>
            </w:r>
          </w:p>
        </w:tc>
        <w:tc>
          <w:tcPr>
            <w:tcW w:w="3309" w:type="dxa"/>
            <w:gridSpan w:val="2"/>
            <w:vAlign w:val="center"/>
          </w:tcPr>
          <w:p w14:paraId="44B38E27">
            <w:pPr>
              <w:jc w:val="center"/>
              <w:rPr>
                <w:color w:val="auto"/>
                <w:szCs w:val="21"/>
              </w:rPr>
            </w:pPr>
          </w:p>
        </w:tc>
        <w:tc>
          <w:tcPr>
            <w:tcW w:w="1145" w:type="dxa"/>
            <w:vAlign w:val="center"/>
          </w:tcPr>
          <w:p w14:paraId="4AFB8716">
            <w:pPr>
              <w:jc w:val="center"/>
              <w:rPr>
                <w:color w:val="auto"/>
                <w:szCs w:val="21"/>
              </w:rPr>
            </w:pPr>
            <w:r>
              <w:rPr>
                <w:color w:val="auto"/>
                <w:spacing w:val="-1"/>
                <w:szCs w:val="21"/>
              </w:rPr>
              <w:t>检查日期</w:t>
            </w:r>
          </w:p>
        </w:tc>
        <w:tc>
          <w:tcPr>
            <w:tcW w:w="3857" w:type="dxa"/>
            <w:gridSpan w:val="3"/>
            <w:vAlign w:val="center"/>
          </w:tcPr>
          <w:p w14:paraId="4D94DE0D">
            <w:pPr>
              <w:jc w:val="center"/>
              <w:rPr>
                <w:color w:val="auto"/>
                <w:szCs w:val="21"/>
              </w:rPr>
            </w:pPr>
          </w:p>
        </w:tc>
      </w:tr>
      <w:tr w14:paraId="1234DCA8">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3249" w:type="dxa"/>
            <w:gridSpan w:val="3"/>
            <w:vMerge w:val="restart"/>
            <w:tcBorders>
              <w:bottom w:val="nil"/>
            </w:tcBorders>
            <w:vAlign w:val="center"/>
          </w:tcPr>
          <w:p w14:paraId="26888281">
            <w:pPr>
              <w:jc w:val="center"/>
              <w:rPr>
                <w:color w:val="auto"/>
                <w:szCs w:val="21"/>
              </w:rPr>
            </w:pPr>
            <w:r>
              <w:rPr>
                <w:color w:val="auto"/>
                <w:spacing w:val="2"/>
                <w:szCs w:val="21"/>
              </w:rPr>
              <w:t>检查项目及内容</w:t>
            </w:r>
          </w:p>
        </w:tc>
        <w:tc>
          <w:tcPr>
            <w:tcW w:w="1585" w:type="dxa"/>
            <w:vMerge w:val="restart"/>
            <w:tcBorders>
              <w:bottom w:val="nil"/>
            </w:tcBorders>
            <w:vAlign w:val="center"/>
          </w:tcPr>
          <w:p w14:paraId="7960D840">
            <w:pPr>
              <w:jc w:val="center"/>
              <w:rPr>
                <w:color w:val="auto"/>
                <w:szCs w:val="21"/>
              </w:rPr>
            </w:pPr>
            <w:r>
              <w:rPr>
                <w:color w:val="auto"/>
                <w:spacing w:val="-1"/>
                <w:szCs w:val="21"/>
              </w:rPr>
              <w:t>设计要求及规范规定</w:t>
            </w:r>
          </w:p>
        </w:tc>
        <w:tc>
          <w:tcPr>
            <w:tcW w:w="5002" w:type="dxa"/>
            <w:gridSpan w:val="4"/>
            <w:vAlign w:val="center"/>
          </w:tcPr>
          <w:p w14:paraId="01548270">
            <w:pPr>
              <w:jc w:val="center"/>
              <w:rPr>
                <w:color w:val="auto"/>
                <w:szCs w:val="21"/>
              </w:rPr>
            </w:pPr>
            <w:r>
              <w:rPr>
                <w:color w:val="auto"/>
                <w:spacing w:val="-4"/>
                <w:szCs w:val="21"/>
              </w:rPr>
              <w:t>检查</w:t>
            </w:r>
          </w:p>
        </w:tc>
      </w:tr>
      <w:tr w14:paraId="771BA26C">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58" w:hRule="atLeast"/>
          <w:jc w:val="center"/>
        </w:trPr>
        <w:tc>
          <w:tcPr>
            <w:tcW w:w="3249" w:type="dxa"/>
            <w:gridSpan w:val="3"/>
            <w:vMerge w:val="continue"/>
            <w:tcBorders>
              <w:top w:val="nil"/>
            </w:tcBorders>
            <w:vAlign w:val="center"/>
          </w:tcPr>
          <w:p w14:paraId="35593000">
            <w:pPr>
              <w:jc w:val="center"/>
              <w:rPr>
                <w:color w:val="auto"/>
                <w:szCs w:val="21"/>
              </w:rPr>
            </w:pPr>
          </w:p>
        </w:tc>
        <w:tc>
          <w:tcPr>
            <w:tcW w:w="1585" w:type="dxa"/>
            <w:vMerge w:val="continue"/>
            <w:tcBorders>
              <w:top w:val="nil"/>
            </w:tcBorders>
            <w:vAlign w:val="center"/>
          </w:tcPr>
          <w:p w14:paraId="7D9DAF79">
            <w:pPr>
              <w:jc w:val="center"/>
              <w:rPr>
                <w:color w:val="auto"/>
                <w:szCs w:val="21"/>
              </w:rPr>
            </w:pPr>
          </w:p>
        </w:tc>
        <w:tc>
          <w:tcPr>
            <w:tcW w:w="1852" w:type="dxa"/>
            <w:gridSpan w:val="2"/>
            <w:vAlign w:val="center"/>
          </w:tcPr>
          <w:p w14:paraId="0293F604">
            <w:pPr>
              <w:jc w:val="center"/>
              <w:rPr>
                <w:color w:val="auto"/>
                <w:szCs w:val="21"/>
              </w:rPr>
            </w:pPr>
            <w:r>
              <w:rPr>
                <w:rFonts w:hint="eastAsia"/>
                <w:color w:val="auto"/>
                <w:spacing w:val="-4"/>
                <w:szCs w:val="21"/>
              </w:rPr>
              <w:t>检查结果</w:t>
            </w:r>
          </w:p>
        </w:tc>
        <w:tc>
          <w:tcPr>
            <w:tcW w:w="1583" w:type="dxa"/>
            <w:vAlign w:val="center"/>
          </w:tcPr>
          <w:p w14:paraId="50593429">
            <w:pPr>
              <w:jc w:val="center"/>
              <w:rPr>
                <w:color w:val="auto"/>
                <w:szCs w:val="21"/>
              </w:rPr>
            </w:pPr>
            <w:r>
              <w:rPr>
                <w:color w:val="auto"/>
                <w:spacing w:val="-1"/>
                <w:szCs w:val="21"/>
              </w:rPr>
              <w:t>质量检查员</w:t>
            </w:r>
          </w:p>
        </w:tc>
        <w:tc>
          <w:tcPr>
            <w:tcW w:w="1567" w:type="dxa"/>
            <w:vAlign w:val="center"/>
          </w:tcPr>
          <w:p w14:paraId="36B62D65">
            <w:pPr>
              <w:jc w:val="center"/>
              <w:rPr>
                <w:color w:val="auto"/>
                <w:szCs w:val="21"/>
              </w:rPr>
            </w:pPr>
            <w:r>
              <w:rPr>
                <w:color w:val="auto"/>
                <w:spacing w:val="-1"/>
                <w:szCs w:val="21"/>
              </w:rPr>
              <w:t>质量复核人</w:t>
            </w:r>
          </w:p>
        </w:tc>
      </w:tr>
      <w:tr w14:paraId="002E1B82">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19" w:type="dxa"/>
            <w:vMerge w:val="restart"/>
            <w:vAlign w:val="center"/>
          </w:tcPr>
          <w:p w14:paraId="3D850162">
            <w:pPr>
              <w:pStyle w:val="34"/>
              <w:adjustRightInd w:val="0"/>
              <w:snapToGrid w:val="0"/>
              <w:jc w:val="center"/>
              <w:rPr>
                <w:rFonts w:eastAsia="宋体"/>
                <w:color w:val="auto"/>
                <w:sz w:val="21"/>
                <w:szCs w:val="21"/>
                <w:lang w:eastAsia="zh-CN"/>
              </w:rPr>
            </w:pPr>
            <w:r>
              <w:rPr>
                <w:rFonts w:eastAsia="宋体"/>
                <w:color w:val="auto"/>
                <w:sz w:val="21"/>
                <w:szCs w:val="21"/>
              </w:rPr>
              <w:t>1</w:t>
            </w:r>
          </w:p>
        </w:tc>
        <w:tc>
          <w:tcPr>
            <w:tcW w:w="906" w:type="dxa"/>
            <w:vMerge w:val="restart"/>
            <w:vAlign w:val="center"/>
          </w:tcPr>
          <w:p w14:paraId="267BAC81">
            <w:pPr>
              <w:pStyle w:val="34"/>
              <w:adjustRightInd w:val="0"/>
              <w:snapToGrid w:val="0"/>
              <w:jc w:val="center"/>
              <w:rPr>
                <w:rFonts w:eastAsia="宋体"/>
                <w:color w:val="auto"/>
                <w:spacing w:val="-4"/>
                <w:sz w:val="21"/>
                <w:szCs w:val="36"/>
              </w:rPr>
            </w:pPr>
            <w:r>
              <w:rPr>
                <w:rFonts w:eastAsia="宋体"/>
                <w:color w:val="auto"/>
                <w:spacing w:val="-4"/>
                <w:sz w:val="21"/>
                <w:szCs w:val="36"/>
              </w:rPr>
              <w:t>原材料</w:t>
            </w:r>
          </w:p>
          <w:p w14:paraId="681A3F25">
            <w:pPr>
              <w:pStyle w:val="34"/>
              <w:adjustRightInd w:val="0"/>
              <w:snapToGrid w:val="0"/>
              <w:jc w:val="center"/>
              <w:rPr>
                <w:rFonts w:eastAsia="宋体"/>
                <w:color w:val="auto"/>
                <w:sz w:val="21"/>
                <w:szCs w:val="21"/>
              </w:rPr>
            </w:pPr>
            <w:r>
              <w:rPr>
                <w:rFonts w:eastAsia="宋体"/>
                <w:color w:val="auto"/>
                <w:spacing w:val="-4"/>
                <w:sz w:val="21"/>
                <w:szCs w:val="36"/>
              </w:rPr>
              <w:t>检验</w:t>
            </w:r>
          </w:p>
        </w:tc>
        <w:tc>
          <w:tcPr>
            <w:tcW w:w="1724" w:type="dxa"/>
            <w:vAlign w:val="center"/>
          </w:tcPr>
          <w:p w14:paraId="71BD00D0">
            <w:pPr>
              <w:adjustRightInd w:val="0"/>
              <w:snapToGrid w:val="0"/>
              <w:jc w:val="center"/>
              <w:rPr>
                <w:color w:val="auto"/>
                <w:spacing w:val="-4"/>
                <w:szCs w:val="21"/>
              </w:rPr>
            </w:pPr>
            <w:r>
              <w:rPr>
                <w:rFonts w:hint="eastAsia"/>
                <w:color w:val="auto"/>
                <w:spacing w:val="-4"/>
                <w:szCs w:val="21"/>
              </w:rPr>
              <w:t>水泥</w:t>
            </w:r>
          </w:p>
        </w:tc>
        <w:tc>
          <w:tcPr>
            <w:tcW w:w="1585" w:type="dxa"/>
            <w:vAlign w:val="center"/>
          </w:tcPr>
          <w:p w14:paraId="18F6929A">
            <w:pPr>
              <w:adjustRightInd w:val="0"/>
              <w:snapToGrid w:val="0"/>
              <w:jc w:val="center"/>
              <w:rPr>
                <w:color w:val="auto"/>
                <w:szCs w:val="21"/>
              </w:rPr>
            </w:pPr>
          </w:p>
        </w:tc>
        <w:tc>
          <w:tcPr>
            <w:tcW w:w="1852" w:type="dxa"/>
            <w:gridSpan w:val="2"/>
            <w:vAlign w:val="center"/>
          </w:tcPr>
          <w:p w14:paraId="3B9052DF">
            <w:pPr>
              <w:adjustRightInd w:val="0"/>
              <w:snapToGrid w:val="0"/>
              <w:jc w:val="center"/>
              <w:rPr>
                <w:color w:val="auto"/>
                <w:szCs w:val="21"/>
              </w:rPr>
            </w:pPr>
          </w:p>
        </w:tc>
        <w:tc>
          <w:tcPr>
            <w:tcW w:w="1583" w:type="dxa"/>
            <w:vAlign w:val="center"/>
          </w:tcPr>
          <w:p w14:paraId="61B86129">
            <w:pPr>
              <w:adjustRightInd w:val="0"/>
              <w:snapToGrid w:val="0"/>
              <w:jc w:val="center"/>
              <w:rPr>
                <w:color w:val="auto"/>
                <w:szCs w:val="21"/>
              </w:rPr>
            </w:pPr>
          </w:p>
        </w:tc>
        <w:tc>
          <w:tcPr>
            <w:tcW w:w="1567" w:type="dxa"/>
            <w:vAlign w:val="center"/>
          </w:tcPr>
          <w:p w14:paraId="19F2ABB7">
            <w:pPr>
              <w:adjustRightInd w:val="0"/>
              <w:snapToGrid w:val="0"/>
              <w:jc w:val="center"/>
              <w:rPr>
                <w:color w:val="auto"/>
                <w:szCs w:val="21"/>
              </w:rPr>
            </w:pPr>
          </w:p>
        </w:tc>
      </w:tr>
      <w:tr w14:paraId="67B9E5C2">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19" w:type="dxa"/>
            <w:vMerge w:val="continue"/>
            <w:vAlign w:val="center"/>
          </w:tcPr>
          <w:p w14:paraId="41D9C2A5">
            <w:pPr>
              <w:adjustRightInd w:val="0"/>
              <w:snapToGrid w:val="0"/>
              <w:jc w:val="center"/>
              <w:rPr>
                <w:color w:val="auto"/>
              </w:rPr>
            </w:pPr>
          </w:p>
        </w:tc>
        <w:tc>
          <w:tcPr>
            <w:tcW w:w="906" w:type="dxa"/>
            <w:vMerge w:val="continue"/>
            <w:vAlign w:val="center"/>
          </w:tcPr>
          <w:p w14:paraId="5C1870E0">
            <w:pPr>
              <w:adjustRightInd w:val="0"/>
              <w:snapToGrid w:val="0"/>
              <w:jc w:val="center"/>
              <w:rPr>
                <w:color w:val="auto"/>
              </w:rPr>
            </w:pPr>
          </w:p>
        </w:tc>
        <w:tc>
          <w:tcPr>
            <w:tcW w:w="1724" w:type="dxa"/>
            <w:vAlign w:val="center"/>
          </w:tcPr>
          <w:p w14:paraId="3C5FE4BD">
            <w:pPr>
              <w:adjustRightInd w:val="0"/>
              <w:snapToGrid w:val="0"/>
              <w:jc w:val="center"/>
              <w:rPr>
                <w:color w:val="auto"/>
                <w:spacing w:val="-4"/>
                <w:szCs w:val="21"/>
              </w:rPr>
            </w:pPr>
            <w:r>
              <w:rPr>
                <w:rFonts w:hint="eastAsia"/>
                <w:color w:val="auto"/>
                <w:spacing w:val="-4"/>
                <w:szCs w:val="21"/>
              </w:rPr>
              <w:t>砂石</w:t>
            </w:r>
          </w:p>
        </w:tc>
        <w:tc>
          <w:tcPr>
            <w:tcW w:w="1585" w:type="dxa"/>
            <w:vAlign w:val="center"/>
          </w:tcPr>
          <w:p w14:paraId="23C3F716">
            <w:pPr>
              <w:adjustRightInd w:val="0"/>
              <w:snapToGrid w:val="0"/>
              <w:jc w:val="center"/>
              <w:rPr>
                <w:color w:val="auto"/>
                <w:spacing w:val="-4"/>
                <w:szCs w:val="21"/>
              </w:rPr>
            </w:pPr>
          </w:p>
        </w:tc>
        <w:tc>
          <w:tcPr>
            <w:tcW w:w="1852" w:type="dxa"/>
            <w:gridSpan w:val="2"/>
            <w:vAlign w:val="center"/>
          </w:tcPr>
          <w:p w14:paraId="750E43BF">
            <w:pPr>
              <w:adjustRightInd w:val="0"/>
              <w:snapToGrid w:val="0"/>
              <w:jc w:val="center"/>
              <w:rPr>
                <w:color w:val="auto"/>
                <w:spacing w:val="-4"/>
                <w:szCs w:val="21"/>
              </w:rPr>
            </w:pPr>
          </w:p>
        </w:tc>
        <w:tc>
          <w:tcPr>
            <w:tcW w:w="1583" w:type="dxa"/>
            <w:vAlign w:val="center"/>
          </w:tcPr>
          <w:p w14:paraId="25C7EBA6">
            <w:pPr>
              <w:adjustRightInd w:val="0"/>
              <w:snapToGrid w:val="0"/>
              <w:jc w:val="center"/>
              <w:rPr>
                <w:color w:val="auto"/>
                <w:spacing w:val="-4"/>
                <w:szCs w:val="21"/>
              </w:rPr>
            </w:pPr>
          </w:p>
        </w:tc>
        <w:tc>
          <w:tcPr>
            <w:tcW w:w="1567" w:type="dxa"/>
            <w:vAlign w:val="center"/>
          </w:tcPr>
          <w:p w14:paraId="50C2D56A">
            <w:pPr>
              <w:adjustRightInd w:val="0"/>
              <w:snapToGrid w:val="0"/>
              <w:jc w:val="center"/>
              <w:rPr>
                <w:color w:val="auto"/>
                <w:spacing w:val="-4"/>
                <w:szCs w:val="21"/>
              </w:rPr>
            </w:pPr>
          </w:p>
        </w:tc>
      </w:tr>
      <w:tr w14:paraId="326273E7">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19" w:type="dxa"/>
            <w:vMerge w:val="continue"/>
            <w:vAlign w:val="center"/>
          </w:tcPr>
          <w:p w14:paraId="4502D8A1">
            <w:pPr>
              <w:adjustRightInd w:val="0"/>
              <w:snapToGrid w:val="0"/>
              <w:jc w:val="center"/>
              <w:rPr>
                <w:color w:val="auto"/>
                <w:spacing w:val="-4"/>
                <w:szCs w:val="21"/>
              </w:rPr>
            </w:pPr>
          </w:p>
        </w:tc>
        <w:tc>
          <w:tcPr>
            <w:tcW w:w="906" w:type="dxa"/>
            <w:vMerge w:val="continue"/>
            <w:vAlign w:val="center"/>
          </w:tcPr>
          <w:p w14:paraId="424F56C5">
            <w:pPr>
              <w:adjustRightInd w:val="0"/>
              <w:snapToGrid w:val="0"/>
              <w:jc w:val="center"/>
              <w:rPr>
                <w:color w:val="auto"/>
                <w:spacing w:val="-4"/>
                <w:szCs w:val="21"/>
              </w:rPr>
            </w:pPr>
          </w:p>
        </w:tc>
        <w:tc>
          <w:tcPr>
            <w:tcW w:w="1724" w:type="dxa"/>
            <w:vAlign w:val="center"/>
          </w:tcPr>
          <w:p w14:paraId="76681CCC">
            <w:pPr>
              <w:adjustRightInd w:val="0"/>
              <w:snapToGrid w:val="0"/>
              <w:jc w:val="center"/>
              <w:rPr>
                <w:color w:val="auto"/>
                <w:spacing w:val="-4"/>
                <w:szCs w:val="21"/>
              </w:rPr>
            </w:pPr>
            <w:r>
              <w:rPr>
                <w:rFonts w:hint="eastAsia"/>
                <w:color w:val="auto"/>
                <w:spacing w:val="-4"/>
                <w:szCs w:val="21"/>
              </w:rPr>
              <w:t>掺和物</w:t>
            </w:r>
          </w:p>
        </w:tc>
        <w:tc>
          <w:tcPr>
            <w:tcW w:w="1585" w:type="dxa"/>
            <w:vAlign w:val="center"/>
          </w:tcPr>
          <w:p w14:paraId="54D7C123">
            <w:pPr>
              <w:adjustRightInd w:val="0"/>
              <w:snapToGrid w:val="0"/>
              <w:jc w:val="center"/>
              <w:rPr>
                <w:color w:val="auto"/>
                <w:spacing w:val="-4"/>
                <w:szCs w:val="21"/>
              </w:rPr>
            </w:pPr>
          </w:p>
        </w:tc>
        <w:tc>
          <w:tcPr>
            <w:tcW w:w="1852" w:type="dxa"/>
            <w:gridSpan w:val="2"/>
            <w:vAlign w:val="center"/>
          </w:tcPr>
          <w:p w14:paraId="015FB1A0">
            <w:pPr>
              <w:adjustRightInd w:val="0"/>
              <w:snapToGrid w:val="0"/>
              <w:jc w:val="center"/>
              <w:rPr>
                <w:color w:val="auto"/>
                <w:spacing w:val="-4"/>
                <w:szCs w:val="21"/>
              </w:rPr>
            </w:pPr>
          </w:p>
        </w:tc>
        <w:tc>
          <w:tcPr>
            <w:tcW w:w="1583" w:type="dxa"/>
            <w:vAlign w:val="center"/>
          </w:tcPr>
          <w:p w14:paraId="28F6BAC3">
            <w:pPr>
              <w:adjustRightInd w:val="0"/>
              <w:snapToGrid w:val="0"/>
              <w:jc w:val="center"/>
              <w:rPr>
                <w:color w:val="auto"/>
                <w:spacing w:val="-4"/>
                <w:szCs w:val="21"/>
              </w:rPr>
            </w:pPr>
          </w:p>
        </w:tc>
        <w:tc>
          <w:tcPr>
            <w:tcW w:w="1567" w:type="dxa"/>
            <w:vAlign w:val="center"/>
          </w:tcPr>
          <w:p w14:paraId="3862C559">
            <w:pPr>
              <w:adjustRightInd w:val="0"/>
              <w:snapToGrid w:val="0"/>
              <w:jc w:val="center"/>
              <w:rPr>
                <w:color w:val="auto"/>
                <w:spacing w:val="-4"/>
                <w:szCs w:val="21"/>
              </w:rPr>
            </w:pPr>
          </w:p>
        </w:tc>
      </w:tr>
      <w:tr w14:paraId="1153954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19" w:type="dxa"/>
            <w:vMerge w:val="continue"/>
            <w:vAlign w:val="center"/>
          </w:tcPr>
          <w:p w14:paraId="6570475B">
            <w:pPr>
              <w:adjustRightInd w:val="0"/>
              <w:snapToGrid w:val="0"/>
              <w:jc w:val="center"/>
              <w:rPr>
                <w:color w:val="auto"/>
                <w:spacing w:val="-4"/>
                <w:szCs w:val="21"/>
              </w:rPr>
            </w:pPr>
          </w:p>
        </w:tc>
        <w:tc>
          <w:tcPr>
            <w:tcW w:w="906" w:type="dxa"/>
            <w:vMerge w:val="continue"/>
            <w:vAlign w:val="center"/>
          </w:tcPr>
          <w:p w14:paraId="4534A574">
            <w:pPr>
              <w:adjustRightInd w:val="0"/>
              <w:snapToGrid w:val="0"/>
              <w:jc w:val="center"/>
              <w:rPr>
                <w:color w:val="auto"/>
                <w:spacing w:val="-4"/>
                <w:szCs w:val="21"/>
              </w:rPr>
            </w:pPr>
          </w:p>
        </w:tc>
        <w:tc>
          <w:tcPr>
            <w:tcW w:w="1724" w:type="dxa"/>
            <w:vAlign w:val="center"/>
          </w:tcPr>
          <w:p w14:paraId="4E32B17A">
            <w:pPr>
              <w:adjustRightInd w:val="0"/>
              <w:snapToGrid w:val="0"/>
              <w:jc w:val="center"/>
              <w:rPr>
                <w:color w:val="auto"/>
                <w:spacing w:val="-4"/>
                <w:szCs w:val="21"/>
              </w:rPr>
            </w:pPr>
          </w:p>
        </w:tc>
        <w:tc>
          <w:tcPr>
            <w:tcW w:w="1585" w:type="dxa"/>
            <w:vAlign w:val="center"/>
          </w:tcPr>
          <w:p w14:paraId="16B0ACDC">
            <w:pPr>
              <w:adjustRightInd w:val="0"/>
              <w:snapToGrid w:val="0"/>
              <w:jc w:val="center"/>
              <w:rPr>
                <w:color w:val="auto"/>
                <w:spacing w:val="-4"/>
                <w:szCs w:val="21"/>
              </w:rPr>
            </w:pPr>
          </w:p>
        </w:tc>
        <w:tc>
          <w:tcPr>
            <w:tcW w:w="1852" w:type="dxa"/>
            <w:gridSpan w:val="2"/>
            <w:vAlign w:val="center"/>
          </w:tcPr>
          <w:p w14:paraId="0EAC4EE9">
            <w:pPr>
              <w:adjustRightInd w:val="0"/>
              <w:snapToGrid w:val="0"/>
              <w:jc w:val="center"/>
              <w:rPr>
                <w:color w:val="auto"/>
                <w:spacing w:val="-4"/>
                <w:szCs w:val="21"/>
              </w:rPr>
            </w:pPr>
          </w:p>
        </w:tc>
        <w:tc>
          <w:tcPr>
            <w:tcW w:w="1583" w:type="dxa"/>
            <w:vAlign w:val="center"/>
          </w:tcPr>
          <w:p w14:paraId="0CB4D1F9">
            <w:pPr>
              <w:adjustRightInd w:val="0"/>
              <w:snapToGrid w:val="0"/>
              <w:jc w:val="center"/>
              <w:rPr>
                <w:color w:val="auto"/>
                <w:spacing w:val="-4"/>
                <w:szCs w:val="21"/>
              </w:rPr>
            </w:pPr>
          </w:p>
        </w:tc>
        <w:tc>
          <w:tcPr>
            <w:tcW w:w="1567" w:type="dxa"/>
            <w:vAlign w:val="center"/>
          </w:tcPr>
          <w:p w14:paraId="4D35B3BF">
            <w:pPr>
              <w:adjustRightInd w:val="0"/>
              <w:snapToGrid w:val="0"/>
              <w:jc w:val="center"/>
              <w:rPr>
                <w:color w:val="auto"/>
                <w:spacing w:val="-4"/>
                <w:szCs w:val="21"/>
              </w:rPr>
            </w:pPr>
          </w:p>
        </w:tc>
      </w:tr>
      <w:tr w14:paraId="4C1891AA">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19" w:type="dxa"/>
            <w:vMerge w:val="restart"/>
            <w:vAlign w:val="center"/>
          </w:tcPr>
          <w:p w14:paraId="00697E00">
            <w:pPr>
              <w:pStyle w:val="34"/>
              <w:adjustRightInd w:val="0"/>
              <w:snapToGrid w:val="0"/>
              <w:jc w:val="center"/>
              <w:rPr>
                <w:rFonts w:eastAsia="宋体"/>
                <w:color w:val="auto"/>
                <w:sz w:val="21"/>
                <w:szCs w:val="21"/>
                <w:lang w:eastAsia="zh-CN"/>
              </w:rPr>
            </w:pPr>
            <w:r>
              <w:rPr>
                <w:rFonts w:eastAsia="宋体"/>
                <w:color w:val="auto"/>
                <w:sz w:val="21"/>
                <w:szCs w:val="21"/>
              </w:rPr>
              <w:t>2</w:t>
            </w:r>
          </w:p>
        </w:tc>
        <w:tc>
          <w:tcPr>
            <w:tcW w:w="906" w:type="dxa"/>
            <w:vMerge w:val="restart"/>
            <w:vAlign w:val="center"/>
          </w:tcPr>
          <w:p w14:paraId="6DA486CC">
            <w:pPr>
              <w:pStyle w:val="34"/>
              <w:adjustRightInd w:val="0"/>
              <w:snapToGrid w:val="0"/>
              <w:jc w:val="center"/>
              <w:rPr>
                <w:rFonts w:eastAsia="宋体"/>
                <w:color w:val="auto"/>
                <w:sz w:val="21"/>
                <w:szCs w:val="21"/>
              </w:rPr>
            </w:pPr>
            <w:r>
              <w:rPr>
                <w:rFonts w:hint="eastAsia" w:eastAsia="宋体"/>
                <w:color w:val="auto"/>
                <w:sz w:val="21"/>
                <w:szCs w:val="21"/>
                <w:lang w:eastAsia="zh-CN"/>
              </w:rPr>
              <w:t>混凝土施工</w:t>
            </w:r>
          </w:p>
        </w:tc>
        <w:tc>
          <w:tcPr>
            <w:tcW w:w="1724" w:type="dxa"/>
            <w:vAlign w:val="center"/>
          </w:tcPr>
          <w:p w14:paraId="5F22A0B2">
            <w:pPr>
              <w:adjustRightInd w:val="0"/>
              <w:snapToGrid w:val="0"/>
              <w:jc w:val="center"/>
              <w:rPr>
                <w:color w:val="auto"/>
                <w:szCs w:val="21"/>
              </w:rPr>
            </w:pPr>
            <w:r>
              <w:rPr>
                <w:rFonts w:hint="eastAsia"/>
                <w:color w:val="auto"/>
                <w:spacing w:val="-2"/>
                <w:szCs w:val="21"/>
              </w:rPr>
              <w:t>外观质量</w:t>
            </w:r>
          </w:p>
        </w:tc>
        <w:tc>
          <w:tcPr>
            <w:tcW w:w="1585" w:type="dxa"/>
            <w:vAlign w:val="center"/>
          </w:tcPr>
          <w:p w14:paraId="64281CA7">
            <w:pPr>
              <w:adjustRightInd w:val="0"/>
              <w:snapToGrid w:val="0"/>
              <w:jc w:val="center"/>
              <w:rPr>
                <w:color w:val="auto"/>
                <w:szCs w:val="21"/>
              </w:rPr>
            </w:pPr>
          </w:p>
        </w:tc>
        <w:tc>
          <w:tcPr>
            <w:tcW w:w="1852" w:type="dxa"/>
            <w:gridSpan w:val="2"/>
            <w:vAlign w:val="center"/>
          </w:tcPr>
          <w:p w14:paraId="34805193">
            <w:pPr>
              <w:adjustRightInd w:val="0"/>
              <w:snapToGrid w:val="0"/>
              <w:jc w:val="center"/>
              <w:rPr>
                <w:color w:val="auto"/>
                <w:szCs w:val="21"/>
              </w:rPr>
            </w:pPr>
          </w:p>
        </w:tc>
        <w:tc>
          <w:tcPr>
            <w:tcW w:w="1583" w:type="dxa"/>
            <w:vAlign w:val="center"/>
          </w:tcPr>
          <w:p w14:paraId="53A6E1F0">
            <w:pPr>
              <w:adjustRightInd w:val="0"/>
              <w:snapToGrid w:val="0"/>
              <w:jc w:val="center"/>
              <w:rPr>
                <w:color w:val="auto"/>
                <w:szCs w:val="21"/>
              </w:rPr>
            </w:pPr>
          </w:p>
        </w:tc>
        <w:tc>
          <w:tcPr>
            <w:tcW w:w="1567" w:type="dxa"/>
            <w:vAlign w:val="center"/>
          </w:tcPr>
          <w:p w14:paraId="15296143">
            <w:pPr>
              <w:adjustRightInd w:val="0"/>
              <w:snapToGrid w:val="0"/>
              <w:jc w:val="center"/>
              <w:rPr>
                <w:color w:val="auto"/>
                <w:szCs w:val="21"/>
              </w:rPr>
            </w:pPr>
          </w:p>
        </w:tc>
      </w:tr>
      <w:tr w14:paraId="18381E5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19" w:type="dxa"/>
            <w:vMerge w:val="continue"/>
            <w:vAlign w:val="center"/>
          </w:tcPr>
          <w:p w14:paraId="033A4349">
            <w:pPr>
              <w:adjustRightInd w:val="0"/>
              <w:snapToGrid w:val="0"/>
              <w:jc w:val="center"/>
              <w:rPr>
                <w:color w:val="auto"/>
              </w:rPr>
            </w:pPr>
          </w:p>
        </w:tc>
        <w:tc>
          <w:tcPr>
            <w:tcW w:w="906" w:type="dxa"/>
            <w:vMerge w:val="continue"/>
            <w:vAlign w:val="center"/>
          </w:tcPr>
          <w:p w14:paraId="6BE3BA9E">
            <w:pPr>
              <w:adjustRightInd w:val="0"/>
              <w:snapToGrid w:val="0"/>
              <w:jc w:val="center"/>
              <w:rPr>
                <w:color w:val="auto"/>
              </w:rPr>
            </w:pPr>
          </w:p>
        </w:tc>
        <w:tc>
          <w:tcPr>
            <w:tcW w:w="1724" w:type="dxa"/>
            <w:vAlign w:val="center"/>
          </w:tcPr>
          <w:p w14:paraId="7B94479C">
            <w:pPr>
              <w:adjustRightInd w:val="0"/>
              <w:snapToGrid w:val="0"/>
              <w:jc w:val="center"/>
              <w:rPr>
                <w:color w:val="auto"/>
                <w:spacing w:val="-2"/>
                <w:szCs w:val="21"/>
              </w:rPr>
            </w:pPr>
            <w:r>
              <w:rPr>
                <w:rFonts w:hint="eastAsia"/>
                <w:color w:val="auto"/>
                <w:spacing w:val="-2"/>
                <w:szCs w:val="21"/>
              </w:rPr>
              <w:t>粗糙面或键槽</w:t>
            </w:r>
          </w:p>
        </w:tc>
        <w:tc>
          <w:tcPr>
            <w:tcW w:w="1585" w:type="dxa"/>
            <w:vAlign w:val="center"/>
          </w:tcPr>
          <w:p w14:paraId="0BB660ED">
            <w:pPr>
              <w:adjustRightInd w:val="0"/>
              <w:snapToGrid w:val="0"/>
              <w:jc w:val="center"/>
              <w:rPr>
                <w:color w:val="auto"/>
                <w:spacing w:val="-2"/>
                <w:szCs w:val="21"/>
              </w:rPr>
            </w:pPr>
          </w:p>
        </w:tc>
        <w:tc>
          <w:tcPr>
            <w:tcW w:w="1852" w:type="dxa"/>
            <w:gridSpan w:val="2"/>
            <w:vAlign w:val="center"/>
          </w:tcPr>
          <w:p w14:paraId="1CADEF47">
            <w:pPr>
              <w:adjustRightInd w:val="0"/>
              <w:snapToGrid w:val="0"/>
              <w:jc w:val="center"/>
              <w:rPr>
                <w:color w:val="auto"/>
                <w:spacing w:val="-2"/>
                <w:szCs w:val="21"/>
              </w:rPr>
            </w:pPr>
          </w:p>
        </w:tc>
        <w:tc>
          <w:tcPr>
            <w:tcW w:w="1583" w:type="dxa"/>
            <w:vAlign w:val="center"/>
          </w:tcPr>
          <w:p w14:paraId="0B9538C4">
            <w:pPr>
              <w:adjustRightInd w:val="0"/>
              <w:snapToGrid w:val="0"/>
              <w:jc w:val="center"/>
              <w:rPr>
                <w:color w:val="auto"/>
                <w:spacing w:val="-2"/>
                <w:szCs w:val="21"/>
              </w:rPr>
            </w:pPr>
          </w:p>
        </w:tc>
        <w:tc>
          <w:tcPr>
            <w:tcW w:w="1567" w:type="dxa"/>
            <w:vAlign w:val="center"/>
          </w:tcPr>
          <w:p w14:paraId="00A9A82E">
            <w:pPr>
              <w:adjustRightInd w:val="0"/>
              <w:snapToGrid w:val="0"/>
              <w:jc w:val="center"/>
              <w:rPr>
                <w:color w:val="auto"/>
                <w:spacing w:val="-2"/>
                <w:szCs w:val="21"/>
              </w:rPr>
            </w:pPr>
          </w:p>
        </w:tc>
      </w:tr>
      <w:tr w14:paraId="734BE452">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19" w:type="dxa"/>
            <w:vMerge w:val="continue"/>
            <w:vAlign w:val="center"/>
          </w:tcPr>
          <w:p w14:paraId="01EF757E">
            <w:pPr>
              <w:adjustRightInd w:val="0"/>
              <w:snapToGrid w:val="0"/>
              <w:jc w:val="center"/>
              <w:rPr>
                <w:color w:val="auto"/>
                <w:spacing w:val="-2"/>
                <w:szCs w:val="21"/>
              </w:rPr>
            </w:pPr>
          </w:p>
        </w:tc>
        <w:tc>
          <w:tcPr>
            <w:tcW w:w="906" w:type="dxa"/>
            <w:vMerge w:val="continue"/>
            <w:vAlign w:val="center"/>
          </w:tcPr>
          <w:p w14:paraId="3A6224CA">
            <w:pPr>
              <w:adjustRightInd w:val="0"/>
              <w:snapToGrid w:val="0"/>
              <w:jc w:val="center"/>
              <w:rPr>
                <w:color w:val="auto"/>
                <w:spacing w:val="-2"/>
                <w:szCs w:val="21"/>
              </w:rPr>
            </w:pPr>
          </w:p>
        </w:tc>
        <w:tc>
          <w:tcPr>
            <w:tcW w:w="1724" w:type="dxa"/>
            <w:vAlign w:val="center"/>
          </w:tcPr>
          <w:p w14:paraId="6840730C">
            <w:pPr>
              <w:adjustRightInd w:val="0"/>
              <w:snapToGrid w:val="0"/>
              <w:jc w:val="center"/>
              <w:rPr>
                <w:color w:val="auto"/>
                <w:spacing w:val="-2"/>
                <w:szCs w:val="21"/>
              </w:rPr>
            </w:pPr>
          </w:p>
        </w:tc>
        <w:tc>
          <w:tcPr>
            <w:tcW w:w="1585" w:type="dxa"/>
            <w:vAlign w:val="center"/>
          </w:tcPr>
          <w:p w14:paraId="4C8D877B">
            <w:pPr>
              <w:adjustRightInd w:val="0"/>
              <w:snapToGrid w:val="0"/>
              <w:jc w:val="center"/>
              <w:rPr>
                <w:color w:val="auto"/>
                <w:spacing w:val="-2"/>
                <w:szCs w:val="21"/>
              </w:rPr>
            </w:pPr>
          </w:p>
        </w:tc>
        <w:tc>
          <w:tcPr>
            <w:tcW w:w="1852" w:type="dxa"/>
            <w:gridSpan w:val="2"/>
            <w:vAlign w:val="center"/>
          </w:tcPr>
          <w:p w14:paraId="62016CBA">
            <w:pPr>
              <w:adjustRightInd w:val="0"/>
              <w:snapToGrid w:val="0"/>
              <w:jc w:val="center"/>
              <w:rPr>
                <w:color w:val="auto"/>
                <w:spacing w:val="-2"/>
                <w:szCs w:val="21"/>
              </w:rPr>
            </w:pPr>
          </w:p>
        </w:tc>
        <w:tc>
          <w:tcPr>
            <w:tcW w:w="1583" w:type="dxa"/>
            <w:vAlign w:val="center"/>
          </w:tcPr>
          <w:p w14:paraId="25F80244">
            <w:pPr>
              <w:adjustRightInd w:val="0"/>
              <w:snapToGrid w:val="0"/>
              <w:jc w:val="center"/>
              <w:rPr>
                <w:color w:val="auto"/>
                <w:spacing w:val="-2"/>
                <w:szCs w:val="21"/>
              </w:rPr>
            </w:pPr>
          </w:p>
        </w:tc>
        <w:tc>
          <w:tcPr>
            <w:tcW w:w="1567" w:type="dxa"/>
            <w:vAlign w:val="center"/>
          </w:tcPr>
          <w:p w14:paraId="2E792EC7">
            <w:pPr>
              <w:adjustRightInd w:val="0"/>
              <w:snapToGrid w:val="0"/>
              <w:jc w:val="center"/>
              <w:rPr>
                <w:color w:val="auto"/>
                <w:spacing w:val="-2"/>
                <w:szCs w:val="21"/>
              </w:rPr>
            </w:pPr>
          </w:p>
        </w:tc>
      </w:tr>
      <w:tr w14:paraId="2C2F098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19" w:type="dxa"/>
            <w:vMerge w:val="continue"/>
            <w:vAlign w:val="center"/>
          </w:tcPr>
          <w:p w14:paraId="53FA8292">
            <w:pPr>
              <w:adjustRightInd w:val="0"/>
              <w:snapToGrid w:val="0"/>
              <w:jc w:val="center"/>
              <w:rPr>
                <w:color w:val="auto"/>
                <w:spacing w:val="-2"/>
                <w:szCs w:val="21"/>
              </w:rPr>
            </w:pPr>
          </w:p>
        </w:tc>
        <w:tc>
          <w:tcPr>
            <w:tcW w:w="906" w:type="dxa"/>
            <w:vMerge w:val="continue"/>
            <w:vAlign w:val="center"/>
          </w:tcPr>
          <w:p w14:paraId="01F8178C">
            <w:pPr>
              <w:adjustRightInd w:val="0"/>
              <w:snapToGrid w:val="0"/>
              <w:jc w:val="center"/>
              <w:rPr>
                <w:color w:val="auto"/>
                <w:spacing w:val="-2"/>
                <w:szCs w:val="21"/>
              </w:rPr>
            </w:pPr>
          </w:p>
        </w:tc>
        <w:tc>
          <w:tcPr>
            <w:tcW w:w="1724" w:type="dxa"/>
            <w:vAlign w:val="center"/>
          </w:tcPr>
          <w:p w14:paraId="44F66E47">
            <w:pPr>
              <w:adjustRightInd w:val="0"/>
              <w:snapToGrid w:val="0"/>
              <w:jc w:val="center"/>
              <w:rPr>
                <w:color w:val="auto"/>
                <w:spacing w:val="-2"/>
                <w:szCs w:val="21"/>
              </w:rPr>
            </w:pPr>
          </w:p>
        </w:tc>
        <w:tc>
          <w:tcPr>
            <w:tcW w:w="1585" w:type="dxa"/>
            <w:vAlign w:val="center"/>
          </w:tcPr>
          <w:p w14:paraId="723D5865">
            <w:pPr>
              <w:adjustRightInd w:val="0"/>
              <w:snapToGrid w:val="0"/>
              <w:jc w:val="center"/>
              <w:rPr>
                <w:color w:val="auto"/>
                <w:spacing w:val="-2"/>
                <w:szCs w:val="21"/>
              </w:rPr>
            </w:pPr>
          </w:p>
        </w:tc>
        <w:tc>
          <w:tcPr>
            <w:tcW w:w="1852" w:type="dxa"/>
            <w:gridSpan w:val="2"/>
            <w:vAlign w:val="center"/>
          </w:tcPr>
          <w:p w14:paraId="6457705D">
            <w:pPr>
              <w:adjustRightInd w:val="0"/>
              <w:snapToGrid w:val="0"/>
              <w:jc w:val="center"/>
              <w:rPr>
                <w:color w:val="auto"/>
                <w:spacing w:val="-2"/>
                <w:szCs w:val="21"/>
              </w:rPr>
            </w:pPr>
          </w:p>
        </w:tc>
        <w:tc>
          <w:tcPr>
            <w:tcW w:w="1583" w:type="dxa"/>
            <w:vAlign w:val="center"/>
          </w:tcPr>
          <w:p w14:paraId="1BC11919">
            <w:pPr>
              <w:adjustRightInd w:val="0"/>
              <w:snapToGrid w:val="0"/>
              <w:jc w:val="center"/>
              <w:rPr>
                <w:color w:val="auto"/>
                <w:spacing w:val="-2"/>
                <w:szCs w:val="21"/>
              </w:rPr>
            </w:pPr>
          </w:p>
        </w:tc>
        <w:tc>
          <w:tcPr>
            <w:tcW w:w="1567" w:type="dxa"/>
            <w:vAlign w:val="center"/>
          </w:tcPr>
          <w:p w14:paraId="1A3D49FA">
            <w:pPr>
              <w:adjustRightInd w:val="0"/>
              <w:snapToGrid w:val="0"/>
              <w:jc w:val="center"/>
              <w:rPr>
                <w:color w:val="auto"/>
                <w:spacing w:val="-2"/>
                <w:szCs w:val="21"/>
              </w:rPr>
            </w:pPr>
          </w:p>
        </w:tc>
      </w:tr>
      <w:tr w14:paraId="0ECAD759">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619" w:type="dxa"/>
            <w:vMerge w:val="restart"/>
            <w:shd w:val="clear" w:color="auto" w:fill="auto"/>
            <w:vAlign w:val="center"/>
          </w:tcPr>
          <w:p w14:paraId="5E9E9C1D">
            <w:pPr>
              <w:pStyle w:val="34"/>
              <w:adjustRightInd w:val="0"/>
              <w:snapToGrid w:val="0"/>
              <w:jc w:val="center"/>
              <w:rPr>
                <w:rFonts w:eastAsia="宋体"/>
                <w:color w:val="auto"/>
                <w:sz w:val="21"/>
                <w:szCs w:val="21"/>
                <w:lang w:eastAsia="zh-CN"/>
              </w:rPr>
            </w:pPr>
            <w:r>
              <w:rPr>
                <w:rFonts w:hint="eastAsia" w:eastAsia="宋体"/>
                <w:color w:val="auto"/>
                <w:sz w:val="21"/>
                <w:szCs w:val="21"/>
                <w:lang w:eastAsia="zh-CN"/>
              </w:rPr>
              <w:t>3</w:t>
            </w:r>
          </w:p>
        </w:tc>
        <w:tc>
          <w:tcPr>
            <w:tcW w:w="906" w:type="dxa"/>
            <w:vMerge w:val="restart"/>
            <w:shd w:val="clear" w:color="auto" w:fill="auto"/>
            <w:vAlign w:val="center"/>
          </w:tcPr>
          <w:p w14:paraId="6D217CA2">
            <w:pPr>
              <w:pStyle w:val="34"/>
              <w:adjustRightInd w:val="0"/>
              <w:snapToGrid w:val="0"/>
              <w:jc w:val="center"/>
              <w:rPr>
                <w:rFonts w:eastAsia="宋体"/>
                <w:color w:val="auto"/>
                <w:sz w:val="21"/>
                <w:szCs w:val="21"/>
                <w:lang w:eastAsia="zh-CN"/>
              </w:rPr>
            </w:pPr>
            <w:r>
              <w:rPr>
                <w:rFonts w:eastAsia="宋体"/>
                <w:color w:val="auto"/>
                <w:spacing w:val="-2"/>
                <w:sz w:val="21"/>
                <w:szCs w:val="21"/>
              </w:rPr>
              <w:t>成品质量检测</w:t>
            </w:r>
          </w:p>
        </w:tc>
        <w:tc>
          <w:tcPr>
            <w:tcW w:w="1724" w:type="dxa"/>
            <w:shd w:val="clear" w:color="auto" w:fill="auto"/>
            <w:vAlign w:val="center"/>
          </w:tcPr>
          <w:p w14:paraId="1BBFFF0E">
            <w:pPr>
              <w:adjustRightInd w:val="0"/>
              <w:snapToGrid w:val="0"/>
              <w:jc w:val="center"/>
              <w:rPr>
                <w:color w:val="auto"/>
                <w:spacing w:val="-2"/>
                <w:szCs w:val="21"/>
              </w:rPr>
            </w:pPr>
            <w:r>
              <w:rPr>
                <w:rFonts w:hint="eastAsia"/>
                <w:color w:val="auto"/>
                <w:spacing w:val="-2"/>
                <w:szCs w:val="21"/>
              </w:rPr>
              <w:t>混凝土强度</w:t>
            </w:r>
          </w:p>
        </w:tc>
        <w:tc>
          <w:tcPr>
            <w:tcW w:w="1585" w:type="dxa"/>
            <w:shd w:val="clear" w:color="auto" w:fill="auto"/>
            <w:vAlign w:val="center"/>
          </w:tcPr>
          <w:p w14:paraId="791CBE1E">
            <w:pPr>
              <w:adjustRightInd w:val="0"/>
              <w:snapToGrid w:val="0"/>
              <w:jc w:val="center"/>
              <w:rPr>
                <w:color w:val="auto"/>
                <w:szCs w:val="21"/>
              </w:rPr>
            </w:pPr>
          </w:p>
        </w:tc>
        <w:tc>
          <w:tcPr>
            <w:tcW w:w="1852" w:type="dxa"/>
            <w:gridSpan w:val="2"/>
            <w:shd w:val="clear" w:color="auto" w:fill="auto"/>
            <w:vAlign w:val="center"/>
          </w:tcPr>
          <w:p w14:paraId="074175B4">
            <w:pPr>
              <w:adjustRightInd w:val="0"/>
              <w:snapToGrid w:val="0"/>
              <w:jc w:val="center"/>
              <w:rPr>
                <w:color w:val="auto"/>
                <w:szCs w:val="21"/>
              </w:rPr>
            </w:pPr>
          </w:p>
        </w:tc>
        <w:tc>
          <w:tcPr>
            <w:tcW w:w="1583" w:type="dxa"/>
            <w:shd w:val="clear" w:color="auto" w:fill="auto"/>
            <w:vAlign w:val="center"/>
          </w:tcPr>
          <w:p w14:paraId="4BB01EC9">
            <w:pPr>
              <w:adjustRightInd w:val="0"/>
              <w:snapToGrid w:val="0"/>
              <w:jc w:val="center"/>
              <w:rPr>
                <w:color w:val="auto"/>
                <w:szCs w:val="21"/>
              </w:rPr>
            </w:pPr>
          </w:p>
        </w:tc>
        <w:tc>
          <w:tcPr>
            <w:tcW w:w="1567" w:type="dxa"/>
            <w:shd w:val="clear" w:color="auto" w:fill="auto"/>
            <w:vAlign w:val="center"/>
          </w:tcPr>
          <w:p w14:paraId="3C05171A">
            <w:pPr>
              <w:adjustRightInd w:val="0"/>
              <w:snapToGrid w:val="0"/>
              <w:jc w:val="center"/>
              <w:rPr>
                <w:color w:val="auto"/>
                <w:szCs w:val="21"/>
              </w:rPr>
            </w:pPr>
          </w:p>
        </w:tc>
      </w:tr>
      <w:tr w14:paraId="1B6DE0CC">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619" w:type="dxa"/>
            <w:vMerge w:val="continue"/>
            <w:shd w:val="clear" w:color="auto" w:fill="auto"/>
            <w:vAlign w:val="center"/>
          </w:tcPr>
          <w:p w14:paraId="017EB362">
            <w:pPr>
              <w:adjustRightInd w:val="0"/>
              <w:snapToGrid w:val="0"/>
              <w:jc w:val="center"/>
              <w:rPr>
                <w:color w:val="auto"/>
              </w:rPr>
            </w:pPr>
          </w:p>
        </w:tc>
        <w:tc>
          <w:tcPr>
            <w:tcW w:w="906" w:type="dxa"/>
            <w:vMerge w:val="continue"/>
            <w:shd w:val="clear" w:color="auto" w:fill="auto"/>
            <w:vAlign w:val="center"/>
          </w:tcPr>
          <w:p w14:paraId="11BE3F6E">
            <w:pPr>
              <w:adjustRightInd w:val="0"/>
              <w:snapToGrid w:val="0"/>
              <w:jc w:val="center"/>
              <w:rPr>
                <w:color w:val="auto"/>
              </w:rPr>
            </w:pPr>
          </w:p>
        </w:tc>
        <w:tc>
          <w:tcPr>
            <w:tcW w:w="1724" w:type="dxa"/>
            <w:shd w:val="clear" w:color="auto" w:fill="auto"/>
            <w:vAlign w:val="center"/>
          </w:tcPr>
          <w:p w14:paraId="1A503B52">
            <w:pPr>
              <w:adjustRightInd w:val="0"/>
              <w:snapToGrid w:val="0"/>
              <w:jc w:val="center"/>
              <w:rPr>
                <w:color w:val="auto"/>
                <w:spacing w:val="-2"/>
                <w:szCs w:val="21"/>
              </w:rPr>
            </w:pPr>
            <w:r>
              <w:rPr>
                <w:rFonts w:hint="eastAsia"/>
                <w:color w:val="auto"/>
                <w:spacing w:val="-2"/>
                <w:szCs w:val="21"/>
              </w:rPr>
              <w:t>钢筋保护层厚度</w:t>
            </w:r>
          </w:p>
        </w:tc>
        <w:tc>
          <w:tcPr>
            <w:tcW w:w="1585" w:type="dxa"/>
            <w:shd w:val="clear" w:color="auto" w:fill="auto"/>
            <w:vAlign w:val="center"/>
          </w:tcPr>
          <w:p w14:paraId="4ED1A7EA">
            <w:pPr>
              <w:adjustRightInd w:val="0"/>
              <w:snapToGrid w:val="0"/>
              <w:jc w:val="center"/>
              <w:rPr>
                <w:color w:val="auto"/>
                <w:spacing w:val="-2"/>
                <w:szCs w:val="21"/>
              </w:rPr>
            </w:pPr>
          </w:p>
        </w:tc>
        <w:tc>
          <w:tcPr>
            <w:tcW w:w="1852" w:type="dxa"/>
            <w:gridSpan w:val="2"/>
            <w:shd w:val="clear" w:color="auto" w:fill="auto"/>
            <w:vAlign w:val="center"/>
          </w:tcPr>
          <w:p w14:paraId="1AF6FD21">
            <w:pPr>
              <w:adjustRightInd w:val="0"/>
              <w:snapToGrid w:val="0"/>
              <w:jc w:val="center"/>
              <w:rPr>
                <w:color w:val="auto"/>
                <w:spacing w:val="-2"/>
                <w:szCs w:val="21"/>
              </w:rPr>
            </w:pPr>
          </w:p>
        </w:tc>
        <w:tc>
          <w:tcPr>
            <w:tcW w:w="1583" w:type="dxa"/>
            <w:shd w:val="clear" w:color="auto" w:fill="auto"/>
            <w:vAlign w:val="center"/>
          </w:tcPr>
          <w:p w14:paraId="35DEE9A9">
            <w:pPr>
              <w:adjustRightInd w:val="0"/>
              <w:snapToGrid w:val="0"/>
              <w:jc w:val="center"/>
              <w:rPr>
                <w:color w:val="auto"/>
                <w:spacing w:val="-2"/>
                <w:szCs w:val="21"/>
              </w:rPr>
            </w:pPr>
          </w:p>
        </w:tc>
        <w:tc>
          <w:tcPr>
            <w:tcW w:w="1567" w:type="dxa"/>
            <w:shd w:val="clear" w:color="auto" w:fill="auto"/>
            <w:vAlign w:val="center"/>
          </w:tcPr>
          <w:p w14:paraId="1A84B50E">
            <w:pPr>
              <w:adjustRightInd w:val="0"/>
              <w:snapToGrid w:val="0"/>
              <w:jc w:val="center"/>
              <w:rPr>
                <w:color w:val="auto"/>
                <w:spacing w:val="-2"/>
                <w:szCs w:val="21"/>
              </w:rPr>
            </w:pPr>
          </w:p>
        </w:tc>
      </w:tr>
      <w:tr w14:paraId="01F5DD5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619" w:type="dxa"/>
            <w:vMerge w:val="continue"/>
            <w:shd w:val="clear" w:color="auto" w:fill="auto"/>
            <w:vAlign w:val="center"/>
          </w:tcPr>
          <w:p w14:paraId="13CF1E66">
            <w:pPr>
              <w:adjustRightInd w:val="0"/>
              <w:snapToGrid w:val="0"/>
              <w:jc w:val="center"/>
              <w:rPr>
                <w:color w:val="auto"/>
                <w:spacing w:val="-2"/>
                <w:szCs w:val="21"/>
              </w:rPr>
            </w:pPr>
          </w:p>
        </w:tc>
        <w:tc>
          <w:tcPr>
            <w:tcW w:w="906" w:type="dxa"/>
            <w:vMerge w:val="continue"/>
            <w:shd w:val="clear" w:color="auto" w:fill="auto"/>
            <w:vAlign w:val="center"/>
          </w:tcPr>
          <w:p w14:paraId="21698A80">
            <w:pPr>
              <w:adjustRightInd w:val="0"/>
              <w:snapToGrid w:val="0"/>
              <w:jc w:val="center"/>
              <w:rPr>
                <w:color w:val="auto"/>
                <w:spacing w:val="-2"/>
                <w:szCs w:val="21"/>
              </w:rPr>
            </w:pPr>
          </w:p>
        </w:tc>
        <w:tc>
          <w:tcPr>
            <w:tcW w:w="1724" w:type="dxa"/>
            <w:shd w:val="clear" w:color="auto" w:fill="auto"/>
            <w:vAlign w:val="center"/>
          </w:tcPr>
          <w:p w14:paraId="7B78DC73">
            <w:pPr>
              <w:adjustRightInd w:val="0"/>
              <w:snapToGrid w:val="0"/>
              <w:jc w:val="center"/>
              <w:rPr>
                <w:color w:val="auto"/>
                <w:spacing w:val="-2"/>
                <w:szCs w:val="21"/>
              </w:rPr>
            </w:pPr>
            <w:r>
              <w:rPr>
                <w:rFonts w:hint="eastAsia"/>
                <w:color w:val="auto"/>
                <w:spacing w:val="-2"/>
                <w:szCs w:val="21"/>
              </w:rPr>
              <w:t>尺寸偏差</w:t>
            </w:r>
          </w:p>
        </w:tc>
        <w:tc>
          <w:tcPr>
            <w:tcW w:w="1585" w:type="dxa"/>
            <w:shd w:val="clear" w:color="auto" w:fill="auto"/>
            <w:vAlign w:val="center"/>
          </w:tcPr>
          <w:p w14:paraId="4865F090">
            <w:pPr>
              <w:adjustRightInd w:val="0"/>
              <w:snapToGrid w:val="0"/>
              <w:jc w:val="center"/>
              <w:rPr>
                <w:color w:val="auto"/>
                <w:spacing w:val="-2"/>
                <w:szCs w:val="21"/>
              </w:rPr>
            </w:pPr>
          </w:p>
        </w:tc>
        <w:tc>
          <w:tcPr>
            <w:tcW w:w="1852" w:type="dxa"/>
            <w:gridSpan w:val="2"/>
            <w:shd w:val="clear" w:color="auto" w:fill="auto"/>
            <w:vAlign w:val="center"/>
          </w:tcPr>
          <w:p w14:paraId="62409DE7">
            <w:pPr>
              <w:adjustRightInd w:val="0"/>
              <w:snapToGrid w:val="0"/>
              <w:jc w:val="center"/>
              <w:rPr>
                <w:color w:val="auto"/>
                <w:spacing w:val="-2"/>
                <w:szCs w:val="21"/>
              </w:rPr>
            </w:pPr>
          </w:p>
        </w:tc>
        <w:tc>
          <w:tcPr>
            <w:tcW w:w="1583" w:type="dxa"/>
            <w:shd w:val="clear" w:color="auto" w:fill="auto"/>
            <w:vAlign w:val="center"/>
          </w:tcPr>
          <w:p w14:paraId="17B48F00">
            <w:pPr>
              <w:adjustRightInd w:val="0"/>
              <w:snapToGrid w:val="0"/>
              <w:jc w:val="center"/>
              <w:rPr>
                <w:color w:val="auto"/>
                <w:spacing w:val="-2"/>
                <w:szCs w:val="21"/>
              </w:rPr>
            </w:pPr>
          </w:p>
        </w:tc>
        <w:tc>
          <w:tcPr>
            <w:tcW w:w="1567" w:type="dxa"/>
            <w:shd w:val="clear" w:color="auto" w:fill="auto"/>
            <w:vAlign w:val="center"/>
          </w:tcPr>
          <w:p w14:paraId="3D3D9304">
            <w:pPr>
              <w:adjustRightInd w:val="0"/>
              <w:snapToGrid w:val="0"/>
              <w:jc w:val="center"/>
              <w:rPr>
                <w:color w:val="auto"/>
                <w:spacing w:val="-2"/>
                <w:szCs w:val="21"/>
              </w:rPr>
            </w:pPr>
          </w:p>
        </w:tc>
      </w:tr>
      <w:tr w14:paraId="7BACC15D">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619" w:type="dxa"/>
            <w:vMerge w:val="continue"/>
            <w:shd w:val="clear" w:color="auto" w:fill="auto"/>
            <w:vAlign w:val="center"/>
          </w:tcPr>
          <w:p w14:paraId="59B28665">
            <w:pPr>
              <w:adjustRightInd w:val="0"/>
              <w:snapToGrid w:val="0"/>
              <w:jc w:val="center"/>
              <w:rPr>
                <w:color w:val="auto"/>
                <w:spacing w:val="-2"/>
                <w:szCs w:val="21"/>
              </w:rPr>
            </w:pPr>
          </w:p>
        </w:tc>
        <w:tc>
          <w:tcPr>
            <w:tcW w:w="906" w:type="dxa"/>
            <w:vMerge w:val="continue"/>
            <w:shd w:val="clear" w:color="auto" w:fill="auto"/>
            <w:vAlign w:val="center"/>
          </w:tcPr>
          <w:p w14:paraId="2CF19382">
            <w:pPr>
              <w:adjustRightInd w:val="0"/>
              <w:snapToGrid w:val="0"/>
              <w:jc w:val="center"/>
              <w:rPr>
                <w:color w:val="auto"/>
                <w:spacing w:val="-2"/>
                <w:szCs w:val="21"/>
              </w:rPr>
            </w:pPr>
          </w:p>
        </w:tc>
        <w:tc>
          <w:tcPr>
            <w:tcW w:w="1724" w:type="dxa"/>
            <w:shd w:val="clear" w:color="auto" w:fill="auto"/>
            <w:vAlign w:val="center"/>
          </w:tcPr>
          <w:p w14:paraId="1A012106">
            <w:pPr>
              <w:adjustRightInd w:val="0"/>
              <w:snapToGrid w:val="0"/>
              <w:jc w:val="center"/>
              <w:rPr>
                <w:color w:val="auto"/>
                <w:spacing w:val="-2"/>
                <w:szCs w:val="21"/>
              </w:rPr>
            </w:pPr>
          </w:p>
        </w:tc>
        <w:tc>
          <w:tcPr>
            <w:tcW w:w="1585" w:type="dxa"/>
            <w:shd w:val="clear" w:color="auto" w:fill="auto"/>
            <w:vAlign w:val="center"/>
          </w:tcPr>
          <w:p w14:paraId="0D4F5744">
            <w:pPr>
              <w:adjustRightInd w:val="0"/>
              <w:snapToGrid w:val="0"/>
              <w:jc w:val="center"/>
              <w:rPr>
                <w:color w:val="auto"/>
                <w:spacing w:val="-2"/>
                <w:szCs w:val="21"/>
              </w:rPr>
            </w:pPr>
          </w:p>
        </w:tc>
        <w:tc>
          <w:tcPr>
            <w:tcW w:w="1852" w:type="dxa"/>
            <w:gridSpan w:val="2"/>
            <w:shd w:val="clear" w:color="auto" w:fill="auto"/>
            <w:vAlign w:val="center"/>
          </w:tcPr>
          <w:p w14:paraId="70D6DAE7">
            <w:pPr>
              <w:adjustRightInd w:val="0"/>
              <w:snapToGrid w:val="0"/>
              <w:jc w:val="center"/>
              <w:rPr>
                <w:color w:val="auto"/>
                <w:spacing w:val="-2"/>
                <w:szCs w:val="21"/>
              </w:rPr>
            </w:pPr>
          </w:p>
        </w:tc>
        <w:tc>
          <w:tcPr>
            <w:tcW w:w="1583" w:type="dxa"/>
            <w:shd w:val="clear" w:color="auto" w:fill="auto"/>
            <w:vAlign w:val="center"/>
          </w:tcPr>
          <w:p w14:paraId="246909CF">
            <w:pPr>
              <w:adjustRightInd w:val="0"/>
              <w:snapToGrid w:val="0"/>
              <w:jc w:val="center"/>
              <w:rPr>
                <w:color w:val="auto"/>
                <w:spacing w:val="-2"/>
                <w:szCs w:val="21"/>
              </w:rPr>
            </w:pPr>
          </w:p>
        </w:tc>
        <w:tc>
          <w:tcPr>
            <w:tcW w:w="1567" w:type="dxa"/>
            <w:shd w:val="clear" w:color="auto" w:fill="auto"/>
            <w:vAlign w:val="center"/>
          </w:tcPr>
          <w:p w14:paraId="6D67E22F">
            <w:pPr>
              <w:adjustRightInd w:val="0"/>
              <w:snapToGrid w:val="0"/>
              <w:jc w:val="center"/>
              <w:rPr>
                <w:color w:val="auto"/>
                <w:spacing w:val="-2"/>
                <w:szCs w:val="21"/>
              </w:rPr>
            </w:pPr>
          </w:p>
        </w:tc>
      </w:tr>
      <w:tr w14:paraId="6361FE6A">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619" w:type="dxa"/>
            <w:vMerge w:val="restart"/>
            <w:shd w:val="clear" w:color="auto" w:fill="auto"/>
            <w:vAlign w:val="center"/>
          </w:tcPr>
          <w:p w14:paraId="575DC4CE">
            <w:pPr>
              <w:pStyle w:val="34"/>
              <w:adjustRightInd w:val="0"/>
              <w:snapToGrid w:val="0"/>
              <w:jc w:val="center"/>
              <w:rPr>
                <w:rFonts w:eastAsia="宋体"/>
                <w:color w:val="auto"/>
                <w:sz w:val="21"/>
                <w:szCs w:val="21"/>
                <w:lang w:eastAsia="zh-CN"/>
              </w:rPr>
            </w:pPr>
            <w:r>
              <w:rPr>
                <w:rFonts w:hint="eastAsia" w:eastAsia="宋体"/>
                <w:color w:val="auto"/>
                <w:sz w:val="21"/>
                <w:szCs w:val="21"/>
                <w:lang w:eastAsia="zh-CN"/>
              </w:rPr>
              <w:t>4</w:t>
            </w:r>
          </w:p>
        </w:tc>
        <w:tc>
          <w:tcPr>
            <w:tcW w:w="906" w:type="dxa"/>
            <w:vMerge w:val="restart"/>
            <w:shd w:val="clear" w:color="auto" w:fill="auto"/>
            <w:vAlign w:val="center"/>
          </w:tcPr>
          <w:p w14:paraId="6209E3F0">
            <w:pPr>
              <w:pStyle w:val="34"/>
              <w:adjustRightInd w:val="0"/>
              <w:snapToGrid w:val="0"/>
              <w:jc w:val="center"/>
              <w:rPr>
                <w:rFonts w:eastAsia="宋体"/>
                <w:color w:val="auto"/>
                <w:sz w:val="21"/>
                <w:szCs w:val="21"/>
              </w:rPr>
            </w:pPr>
            <w:r>
              <w:rPr>
                <w:rFonts w:hint="eastAsia" w:eastAsia="宋体"/>
                <w:color w:val="auto"/>
                <w:sz w:val="21"/>
                <w:szCs w:val="21"/>
                <w:lang w:eastAsia="zh-CN"/>
              </w:rPr>
              <w:t>其他</w:t>
            </w:r>
          </w:p>
        </w:tc>
        <w:tc>
          <w:tcPr>
            <w:tcW w:w="1724" w:type="dxa"/>
            <w:shd w:val="clear" w:color="auto" w:fill="auto"/>
            <w:vAlign w:val="center"/>
          </w:tcPr>
          <w:p w14:paraId="4EBCEC61">
            <w:pPr>
              <w:adjustRightInd w:val="0"/>
              <w:snapToGrid w:val="0"/>
              <w:jc w:val="center"/>
              <w:rPr>
                <w:color w:val="auto"/>
                <w:spacing w:val="-2"/>
                <w:szCs w:val="21"/>
              </w:rPr>
            </w:pPr>
          </w:p>
        </w:tc>
        <w:tc>
          <w:tcPr>
            <w:tcW w:w="1585" w:type="dxa"/>
            <w:shd w:val="clear" w:color="auto" w:fill="auto"/>
            <w:vAlign w:val="center"/>
          </w:tcPr>
          <w:p w14:paraId="1BBC219E">
            <w:pPr>
              <w:adjustRightInd w:val="0"/>
              <w:snapToGrid w:val="0"/>
              <w:jc w:val="center"/>
              <w:rPr>
                <w:color w:val="auto"/>
                <w:szCs w:val="21"/>
              </w:rPr>
            </w:pPr>
          </w:p>
        </w:tc>
        <w:tc>
          <w:tcPr>
            <w:tcW w:w="1852" w:type="dxa"/>
            <w:gridSpan w:val="2"/>
            <w:shd w:val="clear" w:color="auto" w:fill="auto"/>
            <w:vAlign w:val="center"/>
          </w:tcPr>
          <w:p w14:paraId="2FDDC7F9">
            <w:pPr>
              <w:adjustRightInd w:val="0"/>
              <w:snapToGrid w:val="0"/>
              <w:jc w:val="center"/>
              <w:rPr>
                <w:color w:val="auto"/>
                <w:szCs w:val="21"/>
              </w:rPr>
            </w:pPr>
          </w:p>
        </w:tc>
        <w:tc>
          <w:tcPr>
            <w:tcW w:w="1583" w:type="dxa"/>
            <w:shd w:val="clear" w:color="auto" w:fill="auto"/>
            <w:vAlign w:val="center"/>
          </w:tcPr>
          <w:p w14:paraId="60AE9E81">
            <w:pPr>
              <w:adjustRightInd w:val="0"/>
              <w:snapToGrid w:val="0"/>
              <w:jc w:val="center"/>
              <w:rPr>
                <w:color w:val="auto"/>
                <w:szCs w:val="21"/>
              </w:rPr>
            </w:pPr>
          </w:p>
        </w:tc>
        <w:tc>
          <w:tcPr>
            <w:tcW w:w="1567" w:type="dxa"/>
            <w:shd w:val="clear" w:color="auto" w:fill="auto"/>
            <w:vAlign w:val="center"/>
          </w:tcPr>
          <w:p w14:paraId="683DC1CA">
            <w:pPr>
              <w:adjustRightInd w:val="0"/>
              <w:snapToGrid w:val="0"/>
              <w:jc w:val="center"/>
              <w:rPr>
                <w:color w:val="auto"/>
                <w:szCs w:val="21"/>
              </w:rPr>
            </w:pPr>
          </w:p>
        </w:tc>
      </w:tr>
      <w:tr w14:paraId="2BD08D6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619" w:type="dxa"/>
            <w:vMerge w:val="continue"/>
            <w:shd w:val="clear" w:color="auto" w:fill="auto"/>
            <w:vAlign w:val="center"/>
          </w:tcPr>
          <w:p w14:paraId="65F2CA05">
            <w:pPr>
              <w:adjustRightInd w:val="0"/>
              <w:snapToGrid w:val="0"/>
              <w:jc w:val="center"/>
              <w:rPr>
                <w:color w:val="auto"/>
              </w:rPr>
            </w:pPr>
          </w:p>
        </w:tc>
        <w:tc>
          <w:tcPr>
            <w:tcW w:w="906" w:type="dxa"/>
            <w:vMerge w:val="continue"/>
            <w:shd w:val="clear" w:color="auto" w:fill="auto"/>
            <w:vAlign w:val="center"/>
          </w:tcPr>
          <w:p w14:paraId="33938A10">
            <w:pPr>
              <w:adjustRightInd w:val="0"/>
              <w:snapToGrid w:val="0"/>
              <w:jc w:val="center"/>
              <w:rPr>
                <w:color w:val="auto"/>
              </w:rPr>
            </w:pPr>
          </w:p>
        </w:tc>
        <w:tc>
          <w:tcPr>
            <w:tcW w:w="1724" w:type="dxa"/>
            <w:shd w:val="clear" w:color="auto" w:fill="auto"/>
            <w:vAlign w:val="center"/>
          </w:tcPr>
          <w:p w14:paraId="1F4315A6">
            <w:pPr>
              <w:adjustRightInd w:val="0"/>
              <w:snapToGrid w:val="0"/>
              <w:jc w:val="center"/>
              <w:rPr>
                <w:color w:val="auto"/>
                <w:spacing w:val="-2"/>
                <w:szCs w:val="21"/>
              </w:rPr>
            </w:pPr>
          </w:p>
        </w:tc>
        <w:tc>
          <w:tcPr>
            <w:tcW w:w="1585" w:type="dxa"/>
            <w:shd w:val="clear" w:color="auto" w:fill="auto"/>
            <w:vAlign w:val="center"/>
          </w:tcPr>
          <w:p w14:paraId="7A3ABC02">
            <w:pPr>
              <w:adjustRightInd w:val="0"/>
              <w:snapToGrid w:val="0"/>
              <w:jc w:val="center"/>
              <w:rPr>
                <w:color w:val="auto"/>
                <w:spacing w:val="-2"/>
                <w:szCs w:val="21"/>
              </w:rPr>
            </w:pPr>
          </w:p>
        </w:tc>
        <w:tc>
          <w:tcPr>
            <w:tcW w:w="1852" w:type="dxa"/>
            <w:gridSpan w:val="2"/>
            <w:shd w:val="clear" w:color="auto" w:fill="auto"/>
            <w:vAlign w:val="center"/>
          </w:tcPr>
          <w:p w14:paraId="1393FCE0">
            <w:pPr>
              <w:adjustRightInd w:val="0"/>
              <w:snapToGrid w:val="0"/>
              <w:jc w:val="center"/>
              <w:rPr>
                <w:color w:val="auto"/>
                <w:spacing w:val="-2"/>
                <w:szCs w:val="21"/>
              </w:rPr>
            </w:pPr>
          </w:p>
        </w:tc>
        <w:tc>
          <w:tcPr>
            <w:tcW w:w="1583" w:type="dxa"/>
            <w:shd w:val="clear" w:color="auto" w:fill="auto"/>
            <w:vAlign w:val="center"/>
          </w:tcPr>
          <w:p w14:paraId="254DACCF">
            <w:pPr>
              <w:adjustRightInd w:val="0"/>
              <w:snapToGrid w:val="0"/>
              <w:jc w:val="center"/>
              <w:rPr>
                <w:color w:val="auto"/>
                <w:spacing w:val="-2"/>
                <w:szCs w:val="21"/>
              </w:rPr>
            </w:pPr>
          </w:p>
        </w:tc>
        <w:tc>
          <w:tcPr>
            <w:tcW w:w="1567" w:type="dxa"/>
            <w:shd w:val="clear" w:color="auto" w:fill="auto"/>
            <w:vAlign w:val="center"/>
          </w:tcPr>
          <w:p w14:paraId="45632913">
            <w:pPr>
              <w:adjustRightInd w:val="0"/>
              <w:snapToGrid w:val="0"/>
              <w:jc w:val="center"/>
              <w:rPr>
                <w:color w:val="auto"/>
                <w:spacing w:val="-2"/>
                <w:szCs w:val="21"/>
              </w:rPr>
            </w:pPr>
          </w:p>
        </w:tc>
      </w:tr>
      <w:tr w14:paraId="047ACE21">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619" w:type="dxa"/>
            <w:vMerge w:val="continue"/>
            <w:shd w:val="clear" w:color="auto" w:fill="auto"/>
            <w:vAlign w:val="center"/>
          </w:tcPr>
          <w:p w14:paraId="3265AAB4">
            <w:pPr>
              <w:adjustRightInd w:val="0"/>
              <w:snapToGrid w:val="0"/>
              <w:jc w:val="center"/>
              <w:rPr>
                <w:color w:val="auto"/>
                <w:spacing w:val="-2"/>
                <w:szCs w:val="21"/>
              </w:rPr>
            </w:pPr>
          </w:p>
        </w:tc>
        <w:tc>
          <w:tcPr>
            <w:tcW w:w="906" w:type="dxa"/>
            <w:vMerge w:val="continue"/>
            <w:shd w:val="clear" w:color="auto" w:fill="auto"/>
            <w:vAlign w:val="center"/>
          </w:tcPr>
          <w:p w14:paraId="1E354E81">
            <w:pPr>
              <w:adjustRightInd w:val="0"/>
              <w:snapToGrid w:val="0"/>
              <w:jc w:val="center"/>
              <w:rPr>
                <w:color w:val="auto"/>
                <w:spacing w:val="-2"/>
                <w:szCs w:val="21"/>
              </w:rPr>
            </w:pPr>
          </w:p>
        </w:tc>
        <w:tc>
          <w:tcPr>
            <w:tcW w:w="1724" w:type="dxa"/>
            <w:shd w:val="clear" w:color="auto" w:fill="auto"/>
            <w:vAlign w:val="center"/>
          </w:tcPr>
          <w:p w14:paraId="48CCEEFA">
            <w:pPr>
              <w:adjustRightInd w:val="0"/>
              <w:snapToGrid w:val="0"/>
              <w:jc w:val="center"/>
              <w:rPr>
                <w:color w:val="auto"/>
                <w:spacing w:val="-2"/>
                <w:szCs w:val="21"/>
              </w:rPr>
            </w:pPr>
          </w:p>
        </w:tc>
        <w:tc>
          <w:tcPr>
            <w:tcW w:w="1585" w:type="dxa"/>
            <w:shd w:val="clear" w:color="auto" w:fill="auto"/>
            <w:vAlign w:val="center"/>
          </w:tcPr>
          <w:p w14:paraId="64455E1D">
            <w:pPr>
              <w:adjustRightInd w:val="0"/>
              <w:snapToGrid w:val="0"/>
              <w:jc w:val="center"/>
              <w:rPr>
                <w:color w:val="auto"/>
                <w:spacing w:val="-2"/>
                <w:szCs w:val="21"/>
              </w:rPr>
            </w:pPr>
          </w:p>
        </w:tc>
        <w:tc>
          <w:tcPr>
            <w:tcW w:w="1852" w:type="dxa"/>
            <w:gridSpan w:val="2"/>
            <w:shd w:val="clear" w:color="auto" w:fill="auto"/>
            <w:vAlign w:val="center"/>
          </w:tcPr>
          <w:p w14:paraId="5A5C11D1">
            <w:pPr>
              <w:adjustRightInd w:val="0"/>
              <w:snapToGrid w:val="0"/>
              <w:jc w:val="center"/>
              <w:rPr>
                <w:color w:val="auto"/>
                <w:spacing w:val="-2"/>
                <w:szCs w:val="21"/>
              </w:rPr>
            </w:pPr>
          </w:p>
        </w:tc>
        <w:tc>
          <w:tcPr>
            <w:tcW w:w="1583" w:type="dxa"/>
            <w:shd w:val="clear" w:color="auto" w:fill="auto"/>
            <w:vAlign w:val="center"/>
          </w:tcPr>
          <w:p w14:paraId="09BB1622">
            <w:pPr>
              <w:adjustRightInd w:val="0"/>
              <w:snapToGrid w:val="0"/>
              <w:jc w:val="center"/>
              <w:rPr>
                <w:color w:val="auto"/>
                <w:spacing w:val="-2"/>
                <w:szCs w:val="21"/>
              </w:rPr>
            </w:pPr>
          </w:p>
        </w:tc>
        <w:tc>
          <w:tcPr>
            <w:tcW w:w="1567" w:type="dxa"/>
            <w:shd w:val="clear" w:color="auto" w:fill="auto"/>
            <w:vAlign w:val="center"/>
          </w:tcPr>
          <w:p w14:paraId="6272D3DC">
            <w:pPr>
              <w:adjustRightInd w:val="0"/>
              <w:snapToGrid w:val="0"/>
              <w:jc w:val="center"/>
              <w:rPr>
                <w:color w:val="auto"/>
                <w:spacing w:val="-2"/>
                <w:szCs w:val="21"/>
              </w:rPr>
            </w:pPr>
          </w:p>
        </w:tc>
      </w:tr>
      <w:tr w14:paraId="581051E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24" w:hRule="atLeast"/>
          <w:jc w:val="center"/>
        </w:trPr>
        <w:tc>
          <w:tcPr>
            <w:tcW w:w="619" w:type="dxa"/>
            <w:vMerge w:val="continue"/>
            <w:shd w:val="clear" w:color="auto" w:fill="auto"/>
            <w:vAlign w:val="center"/>
          </w:tcPr>
          <w:p w14:paraId="702D0BD2">
            <w:pPr>
              <w:adjustRightInd w:val="0"/>
              <w:snapToGrid w:val="0"/>
              <w:jc w:val="center"/>
              <w:rPr>
                <w:color w:val="auto"/>
                <w:spacing w:val="-2"/>
                <w:szCs w:val="21"/>
              </w:rPr>
            </w:pPr>
          </w:p>
        </w:tc>
        <w:tc>
          <w:tcPr>
            <w:tcW w:w="906" w:type="dxa"/>
            <w:vMerge w:val="continue"/>
            <w:shd w:val="clear" w:color="auto" w:fill="auto"/>
            <w:vAlign w:val="center"/>
          </w:tcPr>
          <w:p w14:paraId="319A89ED">
            <w:pPr>
              <w:adjustRightInd w:val="0"/>
              <w:snapToGrid w:val="0"/>
              <w:jc w:val="center"/>
              <w:rPr>
                <w:color w:val="auto"/>
                <w:spacing w:val="-2"/>
                <w:szCs w:val="21"/>
              </w:rPr>
            </w:pPr>
          </w:p>
        </w:tc>
        <w:tc>
          <w:tcPr>
            <w:tcW w:w="1724" w:type="dxa"/>
            <w:shd w:val="clear" w:color="auto" w:fill="auto"/>
            <w:vAlign w:val="center"/>
          </w:tcPr>
          <w:p w14:paraId="33F88FB1">
            <w:pPr>
              <w:adjustRightInd w:val="0"/>
              <w:snapToGrid w:val="0"/>
              <w:jc w:val="center"/>
              <w:rPr>
                <w:color w:val="auto"/>
                <w:spacing w:val="-2"/>
                <w:szCs w:val="21"/>
              </w:rPr>
            </w:pPr>
          </w:p>
        </w:tc>
        <w:tc>
          <w:tcPr>
            <w:tcW w:w="1585" w:type="dxa"/>
            <w:shd w:val="clear" w:color="auto" w:fill="auto"/>
            <w:vAlign w:val="center"/>
          </w:tcPr>
          <w:p w14:paraId="0470383F">
            <w:pPr>
              <w:adjustRightInd w:val="0"/>
              <w:snapToGrid w:val="0"/>
              <w:jc w:val="center"/>
              <w:rPr>
                <w:color w:val="auto"/>
                <w:spacing w:val="-2"/>
                <w:szCs w:val="21"/>
              </w:rPr>
            </w:pPr>
          </w:p>
        </w:tc>
        <w:tc>
          <w:tcPr>
            <w:tcW w:w="1852" w:type="dxa"/>
            <w:gridSpan w:val="2"/>
            <w:shd w:val="clear" w:color="auto" w:fill="auto"/>
            <w:vAlign w:val="center"/>
          </w:tcPr>
          <w:p w14:paraId="42D1D77F">
            <w:pPr>
              <w:adjustRightInd w:val="0"/>
              <w:snapToGrid w:val="0"/>
              <w:jc w:val="center"/>
              <w:rPr>
                <w:color w:val="auto"/>
                <w:spacing w:val="-2"/>
                <w:szCs w:val="21"/>
              </w:rPr>
            </w:pPr>
          </w:p>
        </w:tc>
        <w:tc>
          <w:tcPr>
            <w:tcW w:w="1583" w:type="dxa"/>
            <w:shd w:val="clear" w:color="auto" w:fill="auto"/>
            <w:vAlign w:val="center"/>
          </w:tcPr>
          <w:p w14:paraId="55813056">
            <w:pPr>
              <w:adjustRightInd w:val="0"/>
              <w:snapToGrid w:val="0"/>
              <w:jc w:val="center"/>
              <w:rPr>
                <w:color w:val="auto"/>
                <w:spacing w:val="-2"/>
                <w:szCs w:val="21"/>
              </w:rPr>
            </w:pPr>
          </w:p>
        </w:tc>
        <w:tc>
          <w:tcPr>
            <w:tcW w:w="1567" w:type="dxa"/>
            <w:shd w:val="clear" w:color="auto" w:fill="auto"/>
            <w:vAlign w:val="center"/>
          </w:tcPr>
          <w:p w14:paraId="2AFF9241">
            <w:pPr>
              <w:adjustRightInd w:val="0"/>
              <w:snapToGrid w:val="0"/>
              <w:jc w:val="center"/>
              <w:rPr>
                <w:color w:val="auto"/>
                <w:spacing w:val="-2"/>
                <w:szCs w:val="21"/>
              </w:rPr>
            </w:pPr>
          </w:p>
        </w:tc>
      </w:tr>
      <w:tr w14:paraId="3F24AA6A">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1726" w:hRule="atLeast"/>
          <w:jc w:val="center"/>
        </w:trPr>
        <w:tc>
          <w:tcPr>
            <w:tcW w:w="9836" w:type="dxa"/>
            <w:gridSpan w:val="8"/>
            <w:vAlign w:val="center"/>
          </w:tcPr>
          <w:p w14:paraId="54B68875">
            <w:pPr>
              <w:ind w:left="5669"/>
              <w:jc w:val="left"/>
              <w:rPr>
                <w:color w:val="auto"/>
                <w:spacing w:val="-3"/>
                <w:szCs w:val="21"/>
              </w:rPr>
            </w:pPr>
          </w:p>
          <w:p w14:paraId="6DEDF1F3">
            <w:pPr>
              <w:ind w:left="5669"/>
              <w:jc w:val="left"/>
              <w:rPr>
                <w:color w:val="auto"/>
                <w:spacing w:val="-3"/>
                <w:szCs w:val="21"/>
              </w:rPr>
            </w:pPr>
          </w:p>
          <w:p w14:paraId="65A5BFE5">
            <w:pPr>
              <w:adjustRightInd w:val="0"/>
              <w:snapToGrid w:val="0"/>
              <w:ind w:left="5669"/>
              <w:rPr>
                <w:color w:val="auto"/>
                <w:spacing w:val="-3"/>
                <w:szCs w:val="21"/>
              </w:rPr>
            </w:pPr>
            <w:r>
              <w:rPr>
                <w:color w:val="auto"/>
                <w:spacing w:val="-3"/>
                <w:szCs w:val="21"/>
              </w:rPr>
              <w:t>模块</w:t>
            </w:r>
            <w:r>
              <w:rPr>
                <w:rFonts w:hint="eastAsia"/>
                <w:color w:val="auto"/>
                <w:spacing w:val="-3"/>
                <w:szCs w:val="21"/>
              </w:rPr>
              <w:t>单元生产</w:t>
            </w:r>
            <w:r>
              <w:rPr>
                <w:color w:val="auto"/>
                <w:spacing w:val="-3"/>
                <w:szCs w:val="21"/>
              </w:rPr>
              <w:t>单位</w:t>
            </w:r>
          </w:p>
          <w:p w14:paraId="3EE59D8F">
            <w:pPr>
              <w:adjustRightInd w:val="0"/>
              <w:snapToGrid w:val="0"/>
              <w:ind w:left="5669"/>
              <w:rPr>
                <w:color w:val="auto"/>
                <w:spacing w:val="-3"/>
                <w:szCs w:val="21"/>
              </w:rPr>
            </w:pPr>
            <w:r>
              <w:rPr>
                <w:color w:val="auto"/>
                <w:spacing w:val="-3"/>
                <w:szCs w:val="21"/>
              </w:rPr>
              <w:t>项目负责人：</w:t>
            </w:r>
          </w:p>
          <w:p w14:paraId="7F738ABC">
            <w:pPr>
              <w:pStyle w:val="34"/>
              <w:adjustRightInd w:val="0"/>
              <w:snapToGrid w:val="0"/>
              <w:jc w:val="right"/>
              <w:rPr>
                <w:rFonts w:eastAsia="宋体"/>
                <w:color w:val="auto"/>
                <w:spacing w:val="-7"/>
                <w:sz w:val="21"/>
                <w:szCs w:val="21"/>
                <w:lang w:eastAsia="zh-CN"/>
              </w:rPr>
            </w:pPr>
          </w:p>
          <w:p w14:paraId="33598758">
            <w:pPr>
              <w:pStyle w:val="34"/>
              <w:adjustRightInd w:val="0"/>
              <w:snapToGrid w:val="0"/>
              <w:spacing w:before="117"/>
              <w:jc w:val="right"/>
              <w:rPr>
                <w:rFonts w:eastAsia="宋体"/>
                <w:color w:val="auto"/>
                <w:szCs w:val="21"/>
              </w:rPr>
            </w:pPr>
            <w:r>
              <w:rPr>
                <w:rFonts w:eastAsia="宋体"/>
                <w:color w:val="auto"/>
                <w:spacing w:val="-7"/>
                <w:sz w:val="21"/>
                <w:szCs w:val="21"/>
              </w:rPr>
              <w:t>年</w:t>
            </w:r>
            <w:r>
              <w:rPr>
                <w:rFonts w:eastAsia="宋体"/>
                <w:color w:val="auto"/>
                <w:spacing w:val="3"/>
                <w:sz w:val="21"/>
                <w:szCs w:val="21"/>
              </w:rPr>
              <w:t xml:space="preserve">    </w:t>
            </w:r>
            <w:r>
              <w:rPr>
                <w:rFonts w:eastAsia="宋体"/>
                <w:color w:val="auto"/>
                <w:spacing w:val="-7"/>
                <w:sz w:val="21"/>
                <w:szCs w:val="21"/>
              </w:rPr>
              <w:t>月</w:t>
            </w:r>
            <w:r>
              <w:rPr>
                <w:rFonts w:eastAsia="宋体"/>
                <w:color w:val="auto"/>
                <w:spacing w:val="9"/>
                <w:sz w:val="21"/>
                <w:szCs w:val="21"/>
              </w:rPr>
              <w:t xml:space="preserve">    </w:t>
            </w:r>
            <w:r>
              <w:rPr>
                <w:rFonts w:eastAsia="宋体"/>
                <w:color w:val="auto"/>
                <w:spacing w:val="-7"/>
                <w:sz w:val="21"/>
                <w:szCs w:val="21"/>
              </w:rPr>
              <w:t>日</w:t>
            </w:r>
          </w:p>
        </w:tc>
      </w:tr>
      <w:tr w14:paraId="39D8BC3C">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1726" w:hRule="atLeast"/>
          <w:jc w:val="center"/>
        </w:trPr>
        <w:tc>
          <w:tcPr>
            <w:tcW w:w="9836" w:type="dxa"/>
            <w:gridSpan w:val="8"/>
            <w:vAlign w:val="center"/>
          </w:tcPr>
          <w:p w14:paraId="2BE89EB3">
            <w:pPr>
              <w:ind w:left="5669"/>
              <w:jc w:val="left"/>
              <w:rPr>
                <w:color w:val="auto"/>
                <w:spacing w:val="-3"/>
                <w:szCs w:val="21"/>
              </w:rPr>
            </w:pPr>
          </w:p>
          <w:p w14:paraId="554911F1">
            <w:pPr>
              <w:ind w:left="5669"/>
              <w:jc w:val="left"/>
              <w:rPr>
                <w:color w:val="auto"/>
                <w:spacing w:val="-3"/>
                <w:szCs w:val="21"/>
              </w:rPr>
            </w:pPr>
          </w:p>
          <w:p w14:paraId="3F5AD13E">
            <w:pPr>
              <w:adjustRightInd w:val="0"/>
              <w:snapToGrid w:val="0"/>
              <w:ind w:left="5669"/>
              <w:rPr>
                <w:color w:val="auto"/>
                <w:spacing w:val="-3"/>
                <w:szCs w:val="21"/>
              </w:rPr>
            </w:pPr>
            <w:r>
              <w:rPr>
                <w:color w:val="auto"/>
                <w:spacing w:val="-3"/>
                <w:szCs w:val="21"/>
              </w:rPr>
              <w:t>监理单位</w:t>
            </w:r>
          </w:p>
          <w:p w14:paraId="690F8D1E">
            <w:pPr>
              <w:adjustRightInd w:val="0"/>
              <w:snapToGrid w:val="0"/>
              <w:ind w:left="5669"/>
              <w:rPr>
                <w:color w:val="auto"/>
                <w:spacing w:val="-3"/>
                <w:szCs w:val="21"/>
              </w:rPr>
            </w:pPr>
            <w:r>
              <w:rPr>
                <w:color w:val="auto"/>
                <w:spacing w:val="-3"/>
                <w:szCs w:val="21"/>
              </w:rPr>
              <w:t>专业监理工程师：</w:t>
            </w:r>
          </w:p>
          <w:p w14:paraId="24139A50">
            <w:pPr>
              <w:pStyle w:val="34"/>
              <w:adjustRightInd w:val="0"/>
              <w:snapToGrid w:val="0"/>
              <w:jc w:val="right"/>
              <w:rPr>
                <w:rFonts w:eastAsia="宋体"/>
                <w:color w:val="auto"/>
                <w:spacing w:val="-7"/>
                <w:sz w:val="21"/>
                <w:szCs w:val="21"/>
                <w:lang w:eastAsia="zh-CN"/>
              </w:rPr>
            </w:pPr>
          </w:p>
          <w:p w14:paraId="467C3AFD">
            <w:pPr>
              <w:spacing w:before="117" w:line="219" w:lineRule="auto"/>
              <w:jc w:val="right"/>
              <w:rPr>
                <w:color w:val="auto"/>
                <w:spacing w:val="-7"/>
                <w:szCs w:val="21"/>
              </w:rPr>
            </w:pPr>
            <w:r>
              <w:rPr>
                <w:color w:val="auto"/>
                <w:spacing w:val="-7"/>
                <w:szCs w:val="21"/>
              </w:rPr>
              <w:t>年</w:t>
            </w:r>
            <w:r>
              <w:rPr>
                <w:color w:val="auto"/>
                <w:spacing w:val="3"/>
                <w:szCs w:val="21"/>
              </w:rPr>
              <w:t xml:space="preserve">    </w:t>
            </w:r>
            <w:r>
              <w:rPr>
                <w:color w:val="auto"/>
                <w:spacing w:val="-7"/>
                <w:szCs w:val="21"/>
              </w:rPr>
              <w:t>月</w:t>
            </w:r>
            <w:r>
              <w:rPr>
                <w:color w:val="auto"/>
                <w:spacing w:val="9"/>
                <w:szCs w:val="21"/>
              </w:rPr>
              <w:t xml:space="preserve">    </w:t>
            </w:r>
            <w:r>
              <w:rPr>
                <w:color w:val="auto"/>
                <w:spacing w:val="-7"/>
                <w:szCs w:val="21"/>
              </w:rPr>
              <w:t>日</w:t>
            </w:r>
          </w:p>
        </w:tc>
      </w:tr>
    </w:tbl>
    <w:p w14:paraId="46039C8A">
      <w:pPr>
        <w:outlineLvl w:val="1"/>
        <w:rPr>
          <w:bCs/>
          <w:color w:val="auto"/>
        </w:rPr>
        <w:sectPr>
          <w:pgSz w:w="11906" w:h="16838"/>
          <w:pgMar w:top="1610" w:right="1349" w:bottom="1213" w:left="1293" w:header="851" w:footer="992" w:gutter="0"/>
          <w:cols w:space="720" w:num="1"/>
          <w:docGrid w:type="linesAndChars" w:linePitch="333" w:charSpace="2165"/>
        </w:sectPr>
      </w:pPr>
    </w:p>
    <w:p w14:paraId="44505480">
      <w:pPr>
        <w:jc w:val="center"/>
        <w:rPr>
          <w:rFonts w:eastAsia="黑体"/>
          <w:color w:val="auto"/>
          <w:spacing w:val="-1"/>
          <w:szCs w:val="21"/>
        </w:rPr>
      </w:pPr>
      <w:r>
        <w:rPr>
          <w:rFonts w:eastAsia="黑体"/>
          <w:color w:val="auto"/>
          <w:spacing w:val="-1"/>
          <w:szCs w:val="21"/>
        </w:rPr>
        <w:t>表</w:t>
      </w:r>
      <w:r>
        <w:rPr>
          <w:rFonts w:hint="eastAsia" w:eastAsia="黑体"/>
          <w:color w:val="auto"/>
          <w:spacing w:val="-1"/>
          <w:szCs w:val="21"/>
        </w:rPr>
        <w:t>B</w:t>
      </w:r>
      <w:r>
        <w:rPr>
          <w:rFonts w:eastAsia="黑体"/>
          <w:color w:val="auto"/>
          <w:spacing w:val="-1"/>
          <w:szCs w:val="21"/>
        </w:rPr>
        <w:t>.</w:t>
      </w:r>
      <w:r>
        <w:rPr>
          <w:rFonts w:hint="eastAsia" w:eastAsia="黑体"/>
          <w:color w:val="auto"/>
          <w:spacing w:val="-1"/>
          <w:szCs w:val="21"/>
        </w:rPr>
        <w:t>4</w:t>
      </w:r>
      <w:r>
        <w:rPr>
          <w:rFonts w:eastAsia="黑体"/>
          <w:color w:val="auto"/>
          <w:spacing w:val="-1"/>
          <w:szCs w:val="21"/>
        </w:rPr>
        <w:t xml:space="preserve">  模块单元装饰与装修质量验收记录表</w:t>
      </w:r>
    </w:p>
    <w:p w14:paraId="781DB63A">
      <w:pPr>
        <w:spacing w:line="39" w:lineRule="exact"/>
        <w:rPr>
          <w:color w:val="auto"/>
        </w:rPr>
      </w:pPr>
    </w:p>
    <w:tbl>
      <w:tblPr>
        <w:tblStyle w:val="17"/>
        <w:tblW w:w="93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53"/>
        <w:gridCol w:w="655"/>
        <w:gridCol w:w="904"/>
        <w:gridCol w:w="1165"/>
        <w:gridCol w:w="1418"/>
        <w:gridCol w:w="1134"/>
        <w:gridCol w:w="1275"/>
        <w:gridCol w:w="1276"/>
        <w:gridCol w:w="1199"/>
      </w:tblGrid>
      <w:tr w14:paraId="77D6C2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1912" w:type="dxa"/>
            <w:gridSpan w:val="3"/>
            <w:vAlign w:val="center"/>
          </w:tcPr>
          <w:p w14:paraId="36CE2310">
            <w:pPr>
              <w:jc w:val="center"/>
              <w:rPr>
                <w:color w:val="auto"/>
                <w:szCs w:val="21"/>
              </w:rPr>
            </w:pPr>
            <w:r>
              <w:rPr>
                <w:color w:val="auto"/>
                <w:spacing w:val="3"/>
                <w:szCs w:val="21"/>
              </w:rPr>
              <w:t>工程名称</w:t>
            </w:r>
          </w:p>
        </w:tc>
        <w:tc>
          <w:tcPr>
            <w:tcW w:w="7467" w:type="dxa"/>
            <w:gridSpan w:val="6"/>
            <w:vAlign w:val="center"/>
          </w:tcPr>
          <w:p w14:paraId="122B79A9">
            <w:pPr>
              <w:jc w:val="center"/>
              <w:rPr>
                <w:color w:val="auto"/>
                <w:szCs w:val="21"/>
              </w:rPr>
            </w:pPr>
          </w:p>
        </w:tc>
      </w:tr>
      <w:tr w14:paraId="113991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1912" w:type="dxa"/>
            <w:gridSpan w:val="3"/>
            <w:vAlign w:val="center"/>
          </w:tcPr>
          <w:p w14:paraId="1B067DE5">
            <w:pPr>
              <w:jc w:val="center"/>
              <w:rPr>
                <w:color w:val="auto"/>
                <w:szCs w:val="21"/>
              </w:rPr>
            </w:pPr>
            <w:r>
              <w:rPr>
                <w:color w:val="auto"/>
                <w:spacing w:val="7"/>
                <w:szCs w:val="21"/>
              </w:rPr>
              <w:t>模块单元</w:t>
            </w:r>
            <w:r>
              <w:rPr>
                <w:rFonts w:hint="eastAsia"/>
                <w:color w:val="auto"/>
                <w:spacing w:val="7"/>
                <w:szCs w:val="21"/>
              </w:rPr>
              <w:t>型号</w:t>
            </w:r>
          </w:p>
        </w:tc>
        <w:tc>
          <w:tcPr>
            <w:tcW w:w="3717" w:type="dxa"/>
            <w:gridSpan w:val="3"/>
            <w:vAlign w:val="center"/>
          </w:tcPr>
          <w:p w14:paraId="0AC31298">
            <w:pPr>
              <w:jc w:val="center"/>
              <w:rPr>
                <w:color w:val="auto"/>
                <w:szCs w:val="21"/>
              </w:rPr>
            </w:pPr>
          </w:p>
        </w:tc>
        <w:tc>
          <w:tcPr>
            <w:tcW w:w="1275" w:type="dxa"/>
            <w:vAlign w:val="center"/>
          </w:tcPr>
          <w:p w14:paraId="24D53D21">
            <w:pPr>
              <w:jc w:val="center"/>
              <w:rPr>
                <w:color w:val="auto"/>
                <w:szCs w:val="21"/>
              </w:rPr>
            </w:pPr>
            <w:r>
              <w:rPr>
                <w:color w:val="auto"/>
                <w:spacing w:val="5"/>
                <w:szCs w:val="21"/>
              </w:rPr>
              <w:t>产品</w:t>
            </w:r>
            <w:r>
              <w:rPr>
                <w:rFonts w:hint="eastAsia"/>
                <w:color w:val="auto"/>
                <w:spacing w:val="5"/>
                <w:szCs w:val="21"/>
              </w:rPr>
              <w:t>型号</w:t>
            </w:r>
          </w:p>
        </w:tc>
        <w:tc>
          <w:tcPr>
            <w:tcW w:w="2475" w:type="dxa"/>
            <w:gridSpan w:val="2"/>
            <w:vAlign w:val="center"/>
          </w:tcPr>
          <w:p w14:paraId="3006BF06">
            <w:pPr>
              <w:jc w:val="center"/>
              <w:rPr>
                <w:color w:val="auto"/>
                <w:szCs w:val="21"/>
              </w:rPr>
            </w:pPr>
          </w:p>
        </w:tc>
      </w:tr>
      <w:tr w14:paraId="7CCA56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1912" w:type="dxa"/>
            <w:gridSpan w:val="3"/>
            <w:vAlign w:val="center"/>
          </w:tcPr>
          <w:p w14:paraId="3A304793">
            <w:pPr>
              <w:jc w:val="center"/>
              <w:rPr>
                <w:color w:val="auto"/>
                <w:szCs w:val="21"/>
              </w:rPr>
            </w:pPr>
            <w:r>
              <w:rPr>
                <w:rFonts w:hint="eastAsia"/>
                <w:color w:val="auto"/>
                <w:spacing w:val="5"/>
                <w:szCs w:val="21"/>
              </w:rPr>
              <w:t>生产</w:t>
            </w:r>
            <w:r>
              <w:rPr>
                <w:color w:val="auto"/>
                <w:spacing w:val="5"/>
                <w:szCs w:val="21"/>
              </w:rPr>
              <w:t>批次</w:t>
            </w:r>
          </w:p>
        </w:tc>
        <w:tc>
          <w:tcPr>
            <w:tcW w:w="3717" w:type="dxa"/>
            <w:gridSpan w:val="3"/>
            <w:vAlign w:val="center"/>
          </w:tcPr>
          <w:p w14:paraId="2C6E8A3A">
            <w:pPr>
              <w:jc w:val="center"/>
              <w:rPr>
                <w:color w:val="auto"/>
                <w:szCs w:val="21"/>
              </w:rPr>
            </w:pPr>
          </w:p>
        </w:tc>
        <w:tc>
          <w:tcPr>
            <w:tcW w:w="1275" w:type="dxa"/>
            <w:vAlign w:val="center"/>
          </w:tcPr>
          <w:p w14:paraId="494D7D4E">
            <w:pPr>
              <w:jc w:val="center"/>
              <w:rPr>
                <w:color w:val="auto"/>
                <w:szCs w:val="21"/>
              </w:rPr>
            </w:pPr>
            <w:r>
              <w:rPr>
                <w:color w:val="auto"/>
                <w:spacing w:val="5"/>
                <w:szCs w:val="21"/>
              </w:rPr>
              <w:t>检查日期</w:t>
            </w:r>
          </w:p>
        </w:tc>
        <w:tc>
          <w:tcPr>
            <w:tcW w:w="2475" w:type="dxa"/>
            <w:gridSpan w:val="2"/>
            <w:vAlign w:val="center"/>
          </w:tcPr>
          <w:p w14:paraId="0B66E87E">
            <w:pPr>
              <w:jc w:val="center"/>
              <w:rPr>
                <w:color w:val="auto"/>
                <w:szCs w:val="21"/>
              </w:rPr>
            </w:pPr>
          </w:p>
        </w:tc>
      </w:tr>
      <w:tr w14:paraId="79C60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3077" w:type="dxa"/>
            <w:gridSpan w:val="4"/>
            <w:vMerge w:val="restart"/>
            <w:vAlign w:val="center"/>
          </w:tcPr>
          <w:p w14:paraId="7C50F9CE">
            <w:pPr>
              <w:jc w:val="center"/>
              <w:rPr>
                <w:color w:val="auto"/>
                <w:szCs w:val="21"/>
              </w:rPr>
            </w:pPr>
            <w:r>
              <w:rPr>
                <w:color w:val="auto"/>
                <w:spacing w:val="9"/>
                <w:szCs w:val="21"/>
              </w:rPr>
              <w:t>检查项目及内容</w:t>
            </w:r>
          </w:p>
        </w:tc>
        <w:tc>
          <w:tcPr>
            <w:tcW w:w="1418" w:type="dxa"/>
            <w:vMerge w:val="restart"/>
            <w:vAlign w:val="center"/>
          </w:tcPr>
          <w:p w14:paraId="5319847F">
            <w:pPr>
              <w:jc w:val="center"/>
              <w:rPr>
                <w:color w:val="auto"/>
                <w:szCs w:val="21"/>
              </w:rPr>
            </w:pPr>
            <w:r>
              <w:rPr>
                <w:color w:val="auto"/>
                <w:spacing w:val="6"/>
                <w:szCs w:val="21"/>
              </w:rPr>
              <w:t>设计要求及</w:t>
            </w:r>
            <w:r>
              <w:rPr>
                <w:color w:val="auto"/>
                <w:spacing w:val="5"/>
                <w:szCs w:val="21"/>
              </w:rPr>
              <w:t>规范规定</w:t>
            </w:r>
          </w:p>
        </w:tc>
        <w:tc>
          <w:tcPr>
            <w:tcW w:w="4884" w:type="dxa"/>
            <w:gridSpan w:val="4"/>
            <w:vAlign w:val="center"/>
          </w:tcPr>
          <w:p w14:paraId="1BE2514E">
            <w:pPr>
              <w:jc w:val="center"/>
              <w:rPr>
                <w:color w:val="auto"/>
                <w:szCs w:val="21"/>
              </w:rPr>
            </w:pPr>
            <w:r>
              <w:rPr>
                <w:color w:val="auto"/>
                <w:spacing w:val="-2"/>
                <w:szCs w:val="21"/>
              </w:rPr>
              <w:t>检查</w:t>
            </w:r>
          </w:p>
        </w:tc>
      </w:tr>
      <w:tr w14:paraId="08D832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3077" w:type="dxa"/>
            <w:gridSpan w:val="4"/>
            <w:vMerge w:val="continue"/>
            <w:vAlign w:val="center"/>
          </w:tcPr>
          <w:p w14:paraId="38FBA6A7">
            <w:pPr>
              <w:jc w:val="center"/>
              <w:rPr>
                <w:color w:val="auto"/>
                <w:szCs w:val="21"/>
              </w:rPr>
            </w:pPr>
          </w:p>
        </w:tc>
        <w:tc>
          <w:tcPr>
            <w:tcW w:w="1418" w:type="dxa"/>
            <w:vMerge w:val="continue"/>
            <w:vAlign w:val="center"/>
          </w:tcPr>
          <w:p w14:paraId="7A1881FC">
            <w:pPr>
              <w:jc w:val="center"/>
              <w:rPr>
                <w:color w:val="auto"/>
                <w:szCs w:val="21"/>
              </w:rPr>
            </w:pPr>
          </w:p>
        </w:tc>
        <w:tc>
          <w:tcPr>
            <w:tcW w:w="1134" w:type="dxa"/>
            <w:vAlign w:val="center"/>
          </w:tcPr>
          <w:p w14:paraId="6341EB14">
            <w:pPr>
              <w:jc w:val="center"/>
              <w:rPr>
                <w:color w:val="auto"/>
                <w:szCs w:val="21"/>
              </w:rPr>
            </w:pPr>
            <w:r>
              <w:rPr>
                <w:color w:val="auto"/>
                <w:spacing w:val="-2"/>
                <w:szCs w:val="21"/>
              </w:rPr>
              <w:t>合格</w:t>
            </w:r>
          </w:p>
        </w:tc>
        <w:tc>
          <w:tcPr>
            <w:tcW w:w="1275" w:type="dxa"/>
            <w:vAlign w:val="center"/>
          </w:tcPr>
          <w:p w14:paraId="13180A89">
            <w:pPr>
              <w:jc w:val="center"/>
              <w:rPr>
                <w:color w:val="auto"/>
                <w:szCs w:val="21"/>
              </w:rPr>
            </w:pPr>
            <w:r>
              <w:rPr>
                <w:color w:val="auto"/>
                <w:spacing w:val="2"/>
                <w:szCs w:val="21"/>
              </w:rPr>
              <w:t>不合格</w:t>
            </w:r>
          </w:p>
        </w:tc>
        <w:tc>
          <w:tcPr>
            <w:tcW w:w="1276" w:type="dxa"/>
            <w:vAlign w:val="center"/>
          </w:tcPr>
          <w:p w14:paraId="2EDCA484">
            <w:pPr>
              <w:jc w:val="center"/>
              <w:rPr>
                <w:color w:val="auto"/>
                <w:szCs w:val="21"/>
              </w:rPr>
            </w:pPr>
            <w:r>
              <w:rPr>
                <w:color w:val="auto"/>
                <w:spacing w:val="6"/>
                <w:szCs w:val="21"/>
              </w:rPr>
              <w:t>质量检查员</w:t>
            </w:r>
          </w:p>
        </w:tc>
        <w:tc>
          <w:tcPr>
            <w:tcW w:w="1199" w:type="dxa"/>
            <w:vAlign w:val="center"/>
          </w:tcPr>
          <w:p w14:paraId="24A0FF4C">
            <w:pPr>
              <w:jc w:val="center"/>
              <w:rPr>
                <w:color w:val="auto"/>
                <w:szCs w:val="21"/>
              </w:rPr>
            </w:pPr>
            <w:r>
              <w:rPr>
                <w:color w:val="auto"/>
                <w:spacing w:val="6"/>
                <w:szCs w:val="21"/>
              </w:rPr>
              <w:t>质量复核人</w:t>
            </w:r>
          </w:p>
        </w:tc>
      </w:tr>
      <w:tr w14:paraId="40E033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restart"/>
            <w:vAlign w:val="center"/>
          </w:tcPr>
          <w:p w14:paraId="52233023">
            <w:pPr>
              <w:pStyle w:val="34"/>
              <w:jc w:val="center"/>
              <w:rPr>
                <w:rFonts w:eastAsia="宋体"/>
                <w:color w:val="auto"/>
                <w:sz w:val="21"/>
                <w:szCs w:val="21"/>
                <w:lang w:eastAsia="zh-CN"/>
              </w:rPr>
            </w:pPr>
            <w:r>
              <w:rPr>
                <w:rFonts w:eastAsia="宋体"/>
                <w:color w:val="auto"/>
                <w:sz w:val="21"/>
                <w:szCs w:val="21"/>
              </w:rPr>
              <w:t>1</w:t>
            </w:r>
          </w:p>
        </w:tc>
        <w:tc>
          <w:tcPr>
            <w:tcW w:w="655" w:type="dxa"/>
            <w:vMerge w:val="restart"/>
            <w:vAlign w:val="center"/>
          </w:tcPr>
          <w:p w14:paraId="7A70CA3F">
            <w:pPr>
              <w:pStyle w:val="34"/>
              <w:jc w:val="center"/>
              <w:rPr>
                <w:rFonts w:eastAsia="宋体"/>
                <w:color w:val="auto"/>
                <w:sz w:val="21"/>
                <w:szCs w:val="21"/>
              </w:rPr>
            </w:pPr>
            <w:r>
              <w:rPr>
                <w:rFonts w:eastAsia="宋体"/>
                <w:color w:val="auto"/>
                <w:spacing w:val="9"/>
                <w:sz w:val="21"/>
                <w:szCs w:val="21"/>
              </w:rPr>
              <w:t>隔墙</w:t>
            </w:r>
          </w:p>
        </w:tc>
        <w:tc>
          <w:tcPr>
            <w:tcW w:w="2069" w:type="dxa"/>
            <w:gridSpan w:val="2"/>
            <w:vAlign w:val="center"/>
          </w:tcPr>
          <w:p w14:paraId="0E6A6EAE">
            <w:pPr>
              <w:jc w:val="center"/>
              <w:rPr>
                <w:color w:val="auto"/>
                <w:sz w:val="20"/>
                <w:szCs w:val="20"/>
              </w:rPr>
            </w:pPr>
          </w:p>
        </w:tc>
        <w:tc>
          <w:tcPr>
            <w:tcW w:w="1418" w:type="dxa"/>
            <w:vAlign w:val="center"/>
          </w:tcPr>
          <w:p w14:paraId="02A5327F">
            <w:pPr>
              <w:jc w:val="center"/>
              <w:rPr>
                <w:color w:val="auto"/>
                <w:sz w:val="20"/>
                <w:szCs w:val="20"/>
              </w:rPr>
            </w:pPr>
          </w:p>
        </w:tc>
        <w:tc>
          <w:tcPr>
            <w:tcW w:w="1134" w:type="dxa"/>
            <w:vAlign w:val="center"/>
          </w:tcPr>
          <w:p w14:paraId="636225E1">
            <w:pPr>
              <w:jc w:val="center"/>
              <w:rPr>
                <w:color w:val="auto"/>
                <w:sz w:val="20"/>
                <w:szCs w:val="20"/>
              </w:rPr>
            </w:pPr>
          </w:p>
        </w:tc>
        <w:tc>
          <w:tcPr>
            <w:tcW w:w="1275" w:type="dxa"/>
            <w:vAlign w:val="center"/>
          </w:tcPr>
          <w:p w14:paraId="27DFB982">
            <w:pPr>
              <w:jc w:val="center"/>
              <w:rPr>
                <w:color w:val="auto"/>
                <w:sz w:val="20"/>
                <w:szCs w:val="20"/>
              </w:rPr>
            </w:pPr>
          </w:p>
        </w:tc>
        <w:tc>
          <w:tcPr>
            <w:tcW w:w="1276" w:type="dxa"/>
            <w:vAlign w:val="center"/>
          </w:tcPr>
          <w:p w14:paraId="71F220C3">
            <w:pPr>
              <w:jc w:val="center"/>
              <w:rPr>
                <w:color w:val="auto"/>
                <w:sz w:val="20"/>
                <w:szCs w:val="20"/>
              </w:rPr>
            </w:pPr>
          </w:p>
        </w:tc>
        <w:tc>
          <w:tcPr>
            <w:tcW w:w="1199" w:type="dxa"/>
            <w:vAlign w:val="center"/>
          </w:tcPr>
          <w:p w14:paraId="275019CA">
            <w:pPr>
              <w:jc w:val="center"/>
              <w:rPr>
                <w:color w:val="auto"/>
                <w:sz w:val="20"/>
                <w:szCs w:val="20"/>
              </w:rPr>
            </w:pPr>
          </w:p>
        </w:tc>
      </w:tr>
      <w:tr w14:paraId="56798E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32516696">
            <w:pPr>
              <w:jc w:val="center"/>
              <w:rPr>
                <w:color w:val="auto"/>
                <w:szCs w:val="21"/>
              </w:rPr>
            </w:pPr>
          </w:p>
        </w:tc>
        <w:tc>
          <w:tcPr>
            <w:tcW w:w="655" w:type="dxa"/>
            <w:vMerge w:val="continue"/>
            <w:vAlign w:val="center"/>
          </w:tcPr>
          <w:p w14:paraId="4EC4419E">
            <w:pPr>
              <w:jc w:val="center"/>
              <w:rPr>
                <w:color w:val="auto"/>
                <w:szCs w:val="21"/>
              </w:rPr>
            </w:pPr>
          </w:p>
        </w:tc>
        <w:tc>
          <w:tcPr>
            <w:tcW w:w="2069" w:type="dxa"/>
            <w:gridSpan w:val="2"/>
            <w:vAlign w:val="center"/>
          </w:tcPr>
          <w:p w14:paraId="56B80211">
            <w:pPr>
              <w:jc w:val="center"/>
              <w:rPr>
                <w:color w:val="auto"/>
                <w:sz w:val="20"/>
                <w:szCs w:val="20"/>
              </w:rPr>
            </w:pPr>
          </w:p>
        </w:tc>
        <w:tc>
          <w:tcPr>
            <w:tcW w:w="1418" w:type="dxa"/>
            <w:vAlign w:val="center"/>
          </w:tcPr>
          <w:p w14:paraId="7FE7D06B">
            <w:pPr>
              <w:jc w:val="center"/>
              <w:rPr>
                <w:color w:val="auto"/>
                <w:sz w:val="20"/>
                <w:szCs w:val="20"/>
              </w:rPr>
            </w:pPr>
          </w:p>
        </w:tc>
        <w:tc>
          <w:tcPr>
            <w:tcW w:w="1134" w:type="dxa"/>
            <w:vAlign w:val="center"/>
          </w:tcPr>
          <w:p w14:paraId="21FCE951">
            <w:pPr>
              <w:jc w:val="center"/>
              <w:rPr>
                <w:color w:val="auto"/>
                <w:sz w:val="20"/>
                <w:szCs w:val="20"/>
              </w:rPr>
            </w:pPr>
          </w:p>
        </w:tc>
        <w:tc>
          <w:tcPr>
            <w:tcW w:w="1275" w:type="dxa"/>
            <w:vAlign w:val="center"/>
          </w:tcPr>
          <w:p w14:paraId="67275C52">
            <w:pPr>
              <w:jc w:val="center"/>
              <w:rPr>
                <w:color w:val="auto"/>
                <w:sz w:val="20"/>
                <w:szCs w:val="20"/>
              </w:rPr>
            </w:pPr>
          </w:p>
        </w:tc>
        <w:tc>
          <w:tcPr>
            <w:tcW w:w="1276" w:type="dxa"/>
            <w:vAlign w:val="center"/>
          </w:tcPr>
          <w:p w14:paraId="3CFD8DE3">
            <w:pPr>
              <w:jc w:val="center"/>
              <w:rPr>
                <w:color w:val="auto"/>
                <w:sz w:val="20"/>
                <w:szCs w:val="20"/>
              </w:rPr>
            </w:pPr>
          </w:p>
        </w:tc>
        <w:tc>
          <w:tcPr>
            <w:tcW w:w="1199" w:type="dxa"/>
            <w:vAlign w:val="center"/>
          </w:tcPr>
          <w:p w14:paraId="11F3B23B">
            <w:pPr>
              <w:jc w:val="center"/>
              <w:rPr>
                <w:color w:val="auto"/>
                <w:sz w:val="20"/>
                <w:szCs w:val="20"/>
              </w:rPr>
            </w:pPr>
          </w:p>
        </w:tc>
      </w:tr>
      <w:tr w14:paraId="59DCA3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18413B37">
            <w:pPr>
              <w:jc w:val="center"/>
              <w:rPr>
                <w:color w:val="auto"/>
                <w:szCs w:val="21"/>
              </w:rPr>
            </w:pPr>
          </w:p>
        </w:tc>
        <w:tc>
          <w:tcPr>
            <w:tcW w:w="655" w:type="dxa"/>
            <w:vMerge w:val="continue"/>
            <w:vAlign w:val="center"/>
          </w:tcPr>
          <w:p w14:paraId="576A6367">
            <w:pPr>
              <w:jc w:val="center"/>
              <w:rPr>
                <w:color w:val="auto"/>
                <w:szCs w:val="21"/>
              </w:rPr>
            </w:pPr>
          </w:p>
        </w:tc>
        <w:tc>
          <w:tcPr>
            <w:tcW w:w="2069" w:type="dxa"/>
            <w:gridSpan w:val="2"/>
            <w:vAlign w:val="center"/>
          </w:tcPr>
          <w:p w14:paraId="1A40A95C">
            <w:pPr>
              <w:jc w:val="center"/>
              <w:rPr>
                <w:color w:val="auto"/>
                <w:sz w:val="20"/>
                <w:szCs w:val="20"/>
              </w:rPr>
            </w:pPr>
          </w:p>
        </w:tc>
        <w:tc>
          <w:tcPr>
            <w:tcW w:w="1418" w:type="dxa"/>
            <w:vAlign w:val="center"/>
          </w:tcPr>
          <w:p w14:paraId="27A5DD19">
            <w:pPr>
              <w:jc w:val="center"/>
              <w:rPr>
                <w:color w:val="auto"/>
                <w:sz w:val="20"/>
                <w:szCs w:val="20"/>
              </w:rPr>
            </w:pPr>
          </w:p>
        </w:tc>
        <w:tc>
          <w:tcPr>
            <w:tcW w:w="1134" w:type="dxa"/>
            <w:vAlign w:val="center"/>
          </w:tcPr>
          <w:p w14:paraId="6B501873">
            <w:pPr>
              <w:jc w:val="center"/>
              <w:rPr>
                <w:color w:val="auto"/>
                <w:sz w:val="20"/>
                <w:szCs w:val="20"/>
              </w:rPr>
            </w:pPr>
          </w:p>
        </w:tc>
        <w:tc>
          <w:tcPr>
            <w:tcW w:w="1275" w:type="dxa"/>
            <w:vAlign w:val="center"/>
          </w:tcPr>
          <w:p w14:paraId="6B790FC7">
            <w:pPr>
              <w:jc w:val="center"/>
              <w:rPr>
                <w:color w:val="auto"/>
                <w:sz w:val="20"/>
                <w:szCs w:val="20"/>
              </w:rPr>
            </w:pPr>
          </w:p>
        </w:tc>
        <w:tc>
          <w:tcPr>
            <w:tcW w:w="1276" w:type="dxa"/>
            <w:vAlign w:val="center"/>
          </w:tcPr>
          <w:p w14:paraId="2E9A7FC6">
            <w:pPr>
              <w:jc w:val="center"/>
              <w:rPr>
                <w:color w:val="auto"/>
                <w:sz w:val="20"/>
                <w:szCs w:val="20"/>
              </w:rPr>
            </w:pPr>
          </w:p>
        </w:tc>
        <w:tc>
          <w:tcPr>
            <w:tcW w:w="1199" w:type="dxa"/>
            <w:vAlign w:val="center"/>
          </w:tcPr>
          <w:p w14:paraId="68B434D0">
            <w:pPr>
              <w:jc w:val="center"/>
              <w:rPr>
                <w:color w:val="auto"/>
                <w:sz w:val="20"/>
                <w:szCs w:val="20"/>
              </w:rPr>
            </w:pPr>
          </w:p>
        </w:tc>
      </w:tr>
      <w:tr w14:paraId="5FB922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restart"/>
            <w:vAlign w:val="center"/>
          </w:tcPr>
          <w:p w14:paraId="7EC28C8E">
            <w:pPr>
              <w:pStyle w:val="34"/>
              <w:adjustRightInd w:val="0"/>
              <w:snapToGrid w:val="0"/>
              <w:jc w:val="center"/>
              <w:rPr>
                <w:rFonts w:eastAsia="宋体"/>
                <w:color w:val="auto"/>
                <w:sz w:val="21"/>
                <w:szCs w:val="21"/>
                <w:lang w:eastAsia="zh-CN"/>
              </w:rPr>
            </w:pPr>
            <w:r>
              <w:rPr>
                <w:rFonts w:eastAsia="宋体"/>
                <w:color w:val="auto"/>
                <w:sz w:val="21"/>
                <w:szCs w:val="21"/>
              </w:rPr>
              <w:t>2</w:t>
            </w:r>
          </w:p>
        </w:tc>
        <w:tc>
          <w:tcPr>
            <w:tcW w:w="655" w:type="dxa"/>
            <w:vMerge w:val="restart"/>
            <w:vAlign w:val="center"/>
          </w:tcPr>
          <w:p w14:paraId="7F1596DE">
            <w:pPr>
              <w:pStyle w:val="34"/>
              <w:adjustRightInd w:val="0"/>
              <w:snapToGrid w:val="0"/>
              <w:jc w:val="center"/>
              <w:rPr>
                <w:color w:val="auto"/>
                <w:spacing w:val="8"/>
                <w:sz w:val="21"/>
                <w:szCs w:val="36"/>
                <w:lang w:eastAsia="zh-CN"/>
              </w:rPr>
            </w:pPr>
            <w:r>
              <w:rPr>
                <w:rFonts w:hint="eastAsia"/>
                <w:color w:val="auto"/>
                <w:spacing w:val="8"/>
                <w:sz w:val="21"/>
                <w:szCs w:val="36"/>
                <w:lang w:eastAsia="zh-CN"/>
              </w:rPr>
              <w:t>内墙</w:t>
            </w:r>
          </w:p>
          <w:p w14:paraId="41F2A6AA">
            <w:pPr>
              <w:pStyle w:val="34"/>
              <w:adjustRightInd w:val="0"/>
              <w:snapToGrid w:val="0"/>
              <w:jc w:val="center"/>
              <w:rPr>
                <w:rFonts w:eastAsia="宋体"/>
                <w:color w:val="auto"/>
                <w:sz w:val="21"/>
                <w:szCs w:val="21"/>
              </w:rPr>
            </w:pPr>
            <w:r>
              <w:rPr>
                <w:rFonts w:eastAsia="宋体"/>
                <w:color w:val="auto"/>
                <w:spacing w:val="8"/>
                <w:sz w:val="21"/>
                <w:szCs w:val="36"/>
              </w:rPr>
              <w:t>墙面</w:t>
            </w:r>
          </w:p>
        </w:tc>
        <w:tc>
          <w:tcPr>
            <w:tcW w:w="2069" w:type="dxa"/>
            <w:gridSpan w:val="2"/>
            <w:vAlign w:val="center"/>
          </w:tcPr>
          <w:p w14:paraId="0288A7E4">
            <w:pPr>
              <w:adjustRightInd w:val="0"/>
              <w:snapToGrid w:val="0"/>
              <w:jc w:val="center"/>
              <w:rPr>
                <w:color w:val="auto"/>
                <w:sz w:val="20"/>
                <w:szCs w:val="20"/>
              </w:rPr>
            </w:pPr>
          </w:p>
        </w:tc>
        <w:tc>
          <w:tcPr>
            <w:tcW w:w="1418" w:type="dxa"/>
            <w:vAlign w:val="center"/>
          </w:tcPr>
          <w:p w14:paraId="158E49E8">
            <w:pPr>
              <w:adjustRightInd w:val="0"/>
              <w:snapToGrid w:val="0"/>
              <w:jc w:val="center"/>
              <w:rPr>
                <w:color w:val="auto"/>
                <w:sz w:val="20"/>
                <w:szCs w:val="20"/>
              </w:rPr>
            </w:pPr>
          </w:p>
        </w:tc>
        <w:tc>
          <w:tcPr>
            <w:tcW w:w="1134" w:type="dxa"/>
            <w:vAlign w:val="center"/>
          </w:tcPr>
          <w:p w14:paraId="39F457E9">
            <w:pPr>
              <w:adjustRightInd w:val="0"/>
              <w:snapToGrid w:val="0"/>
              <w:jc w:val="center"/>
              <w:rPr>
                <w:color w:val="auto"/>
                <w:sz w:val="20"/>
                <w:szCs w:val="20"/>
              </w:rPr>
            </w:pPr>
          </w:p>
        </w:tc>
        <w:tc>
          <w:tcPr>
            <w:tcW w:w="1275" w:type="dxa"/>
            <w:vAlign w:val="center"/>
          </w:tcPr>
          <w:p w14:paraId="4C75C6A8">
            <w:pPr>
              <w:adjustRightInd w:val="0"/>
              <w:snapToGrid w:val="0"/>
              <w:jc w:val="center"/>
              <w:rPr>
                <w:color w:val="auto"/>
                <w:sz w:val="20"/>
                <w:szCs w:val="20"/>
              </w:rPr>
            </w:pPr>
          </w:p>
        </w:tc>
        <w:tc>
          <w:tcPr>
            <w:tcW w:w="1276" w:type="dxa"/>
            <w:vAlign w:val="center"/>
          </w:tcPr>
          <w:p w14:paraId="77721AC8">
            <w:pPr>
              <w:adjustRightInd w:val="0"/>
              <w:snapToGrid w:val="0"/>
              <w:jc w:val="center"/>
              <w:rPr>
                <w:color w:val="auto"/>
                <w:sz w:val="20"/>
                <w:szCs w:val="20"/>
              </w:rPr>
            </w:pPr>
          </w:p>
        </w:tc>
        <w:tc>
          <w:tcPr>
            <w:tcW w:w="1199" w:type="dxa"/>
            <w:vAlign w:val="center"/>
          </w:tcPr>
          <w:p w14:paraId="2183978F">
            <w:pPr>
              <w:adjustRightInd w:val="0"/>
              <w:snapToGrid w:val="0"/>
              <w:jc w:val="center"/>
              <w:rPr>
                <w:color w:val="auto"/>
                <w:sz w:val="20"/>
                <w:szCs w:val="20"/>
              </w:rPr>
            </w:pPr>
          </w:p>
        </w:tc>
      </w:tr>
      <w:tr w14:paraId="797EE5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6D7E0416">
            <w:pPr>
              <w:adjustRightInd w:val="0"/>
              <w:snapToGrid w:val="0"/>
              <w:jc w:val="center"/>
              <w:rPr>
                <w:color w:val="auto"/>
                <w:szCs w:val="21"/>
              </w:rPr>
            </w:pPr>
          </w:p>
        </w:tc>
        <w:tc>
          <w:tcPr>
            <w:tcW w:w="655" w:type="dxa"/>
            <w:vMerge w:val="continue"/>
            <w:vAlign w:val="center"/>
          </w:tcPr>
          <w:p w14:paraId="34B1E20B">
            <w:pPr>
              <w:adjustRightInd w:val="0"/>
              <w:snapToGrid w:val="0"/>
              <w:jc w:val="center"/>
              <w:rPr>
                <w:color w:val="auto"/>
                <w:szCs w:val="21"/>
              </w:rPr>
            </w:pPr>
          </w:p>
        </w:tc>
        <w:tc>
          <w:tcPr>
            <w:tcW w:w="2069" w:type="dxa"/>
            <w:gridSpan w:val="2"/>
            <w:vAlign w:val="center"/>
          </w:tcPr>
          <w:p w14:paraId="60B32C54">
            <w:pPr>
              <w:adjustRightInd w:val="0"/>
              <w:snapToGrid w:val="0"/>
              <w:jc w:val="center"/>
              <w:rPr>
                <w:color w:val="auto"/>
                <w:sz w:val="20"/>
                <w:szCs w:val="20"/>
              </w:rPr>
            </w:pPr>
          </w:p>
        </w:tc>
        <w:tc>
          <w:tcPr>
            <w:tcW w:w="1418" w:type="dxa"/>
            <w:vAlign w:val="center"/>
          </w:tcPr>
          <w:p w14:paraId="6E9A47EB">
            <w:pPr>
              <w:adjustRightInd w:val="0"/>
              <w:snapToGrid w:val="0"/>
              <w:jc w:val="center"/>
              <w:rPr>
                <w:color w:val="auto"/>
                <w:sz w:val="20"/>
                <w:szCs w:val="20"/>
              </w:rPr>
            </w:pPr>
          </w:p>
        </w:tc>
        <w:tc>
          <w:tcPr>
            <w:tcW w:w="1134" w:type="dxa"/>
            <w:vAlign w:val="center"/>
          </w:tcPr>
          <w:p w14:paraId="3846D3DF">
            <w:pPr>
              <w:adjustRightInd w:val="0"/>
              <w:snapToGrid w:val="0"/>
              <w:jc w:val="center"/>
              <w:rPr>
                <w:color w:val="auto"/>
                <w:sz w:val="20"/>
                <w:szCs w:val="20"/>
              </w:rPr>
            </w:pPr>
          </w:p>
        </w:tc>
        <w:tc>
          <w:tcPr>
            <w:tcW w:w="1275" w:type="dxa"/>
            <w:vAlign w:val="center"/>
          </w:tcPr>
          <w:p w14:paraId="76C6D6C4">
            <w:pPr>
              <w:adjustRightInd w:val="0"/>
              <w:snapToGrid w:val="0"/>
              <w:jc w:val="center"/>
              <w:rPr>
                <w:color w:val="auto"/>
                <w:sz w:val="20"/>
                <w:szCs w:val="20"/>
              </w:rPr>
            </w:pPr>
          </w:p>
        </w:tc>
        <w:tc>
          <w:tcPr>
            <w:tcW w:w="1276" w:type="dxa"/>
            <w:vAlign w:val="center"/>
          </w:tcPr>
          <w:p w14:paraId="00C99F44">
            <w:pPr>
              <w:adjustRightInd w:val="0"/>
              <w:snapToGrid w:val="0"/>
              <w:jc w:val="center"/>
              <w:rPr>
                <w:color w:val="auto"/>
                <w:sz w:val="20"/>
                <w:szCs w:val="20"/>
              </w:rPr>
            </w:pPr>
          </w:p>
        </w:tc>
        <w:tc>
          <w:tcPr>
            <w:tcW w:w="1199" w:type="dxa"/>
            <w:vAlign w:val="center"/>
          </w:tcPr>
          <w:p w14:paraId="68A5492F">
            <w:pPr>
              <w:adjustRightInd w:val="0"/>
              <w:snapToGrid w:val="0"/>
              <w:jc w:val="center"/>
              <w:rPr>
                <w:color w:val="auto"/>
                <w:sz w:val="20"/>
                <w:szCs w:val="20"/>
              </w:rPr>
            </w:pPr>
          </w:p>
        </w:tc>
      </w:tr>
      <w:tr w14:paraId="7AE12B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2038D2CA">
            <w:pPr>
              <w:adjustRightInd w:val="0"/>
              <w:snapToGrid w:val="0"/>
              <w:jc w:val="center"/>
              <w:rPr>
                <w:color w:val="auto"/>
                <w:szCs w:val="21"/>
              </w:rPr>
            </w:pPr>
          </w:p>
        </w:tc>
        <w:tc>
          <w:tcPr>
            <w:tcW w:w="655" w:type="dxa"/>
            <w:vMerge w:val="continue"/>
            <w:vAlign w:val="center"/>
          </w:tcPr>
          <w:p w14:paraId="5D949F0C">
            <w:pPr>
              <w:adjustRightInd w:val="0"/>
              <w:snapToGrid w:val="0"/>
              <w:jc w:val="center"/>
              <w:rPr>
                <w:color w:val="auto"/>
                <w:szCs w:val="21"/>
              </w:rPr>
            </w:pPr>
          </w:p>
        </w:tc>
        <w:tc>
          <w:tcPr>
            <w:tcW w:w="2069" w:type="dxa"/>
            <w:gridSpan w:val="2"/>
            <w:vAlign w:val="center"/>
          </w:tcPr>
          <w:p w14:paraId="15567726">
            <w:pPr>
              <w:adjustRightInd w:val="0"/>
              <w:snapToGrid w:val="0"/>
              <w:jc w:val="center"/>
              <w:rPr>
                <w:color w:val="auto"/>
                <w:sz w:val="20"/>
                <w:szCs w:val="20"/>
              </w:rPr>
            </w:pPr>
          </w:p>
        </w:tc>
        <w:tc>
          <w:tcPr>
            <w:tcW w:w="1418" w:type="dxa"/>
            <w:vAlign w:val="center"/>
          </w:tcPr>
          <w:p w14:paraId="697066D6">
            <w:pPr>
              <w:adjustRightInd w:val="0"/>
              <w:snapToGrid w:val="0"/>
              <w:jc w:val="center"/>
              <w:rPr>
                <w:color w:val="auto"/>
                <w:sz w:val="20"/>
                <w:szCs w:val="20"/>
              </w:rPr>
            </w:pPr>
          </w:p>
        </w:tc>
        <w:tc>
          <w:tcPr>
            <w:tcW w:w="1134" w:type="dxa"/>
            <w:vAlign w:val="center"/>
          </w:tcPr>
          <w:p w14:paraId="451BB36B">
            <w:pPr>
              <w:adjustRightInd w:val="0"/>
              <w:snapToGrid w:val="0"/>
              <w:jc w:val="center"/>
              <w:rPr>
                <w:color w:val="auto"/>
                <w:sz w:val="20"/>
                <w:szCs w:val="20"/>
              </w:rPr>
            </w:pPr>
          </w:p>
        </w:tc>
        <w:tc>
          <w:tcPr>
            <w:tcW w:w="1275" w:type="dxa"/>
            <w:vAlign w:val="center"/>
          </w:tcPr>
          <w:p w14:paraId="69A437BA">
            <w:pPr>
              <w:adjustRightInd w:val="0"/>
              <w:snapToGrid w:val="0"/>
              <w:jc w:val="center"/>
              <w:rPr>
                <w:color w:val="auto"/>
                <w:sz w:val="20"/>
                <w:szCs w:val="20"/>
              </w:rPr>
            </w:pPr>
          </w:p>
        </w:tc>
        <w:tc>
          <w:tcPr>
            <w:tcW w:w="1276" w:type="dxa"/>
            <w:vAlign w:val="center"/>
          </w:tcPr>
          <w:p w14:paraId="107EBCFB">
            <w:pPr>
              <w:adjustRightInd w:val="0"/>
              <w:snapToGrid w:val="0"/>
              <w:jc w:val="center"/>
              <w:rPr>
                <w:color w:val="auto"/>
                <w:sz w:val="20"/>
                <w:szCs w:val="20"/>
              </w:rPr>
            </w:pPr>
          </w:p>
        </w:tc>
        <w:tc>
          <w:tcPr>
            <w:tcW w:w="1199" w:type="dxa"/>
            <w:vAlign w:val="center"/>
          </w:tcPr>
          <w:p w14:paraId="2A4352CD">
            <w:pPr>
              <w:adjustRightInd w:val="0"/>
              <w:snapToGrid w:val="0"/>
              <w:jc w:val="center"/>
              <w:rPr>
                <w:color w:val="auto"/>
                <w:sz w:val="20"/>
                <w:szCs w:val="20"/>
              </w:rPr>
            </w:pPr>
          </w:p>
        </w:tc>
      </w:tr>
      <w:tr w14:paraId="5DCC0D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restart"/>
            <w:vAlign w:val="center"/>
          </w:tcPr>
          <w:p w14:paraId="06A75019">
            <w:pPr>
              <w:adjustRightInd w:val="0"/>
              <w:snapToGrid w:val="0"/>
              <w:jc w:val="center"/>
              <w:rPr>
                <w:color w:val="auto"/>
                <w:szCs w:val="21"/>
              </w:rPr>
            </w:pPr>
            <w:r>
              <w:rPr>
                <w:rFonts w:hint="eastAsia"/>
                <w:color w:val="auto"/>
                <w:szCs w:val="21"/>
              </w:rPr>
              <w:t>3</w:t>
            </w:r>
          </w:p>
        </w:tc>
        <w:tc>
          <w:tcPr>
            <w:tcW w:w="655" w:type="dxa"/>
            <w:vMerge w:val="restart"/>
            <w:vAlign w:val="center"/>
          </w:tcPr>
          <w:p w14:paraId="7E69AC24">
            <w:pPr>
              <w:adjustRightInd w:val="0"/>
              <w:snapToGrid w:val="0"/>
              <w:jc w:val="center"/>
              <w:rPr>
                <w:color w:val="auto"/>
                <w:szCs w:val="21"/>
              </w:rPr>
            </w:pPr>
            <w:r>
              <w:rPr>
                <w:rFonts w:hint="eastAsia"/>
                <w:color w:val="auto"/>
                <w:szCs w:val="21"/>
              </w:rPr>
              <w:t>外墙</w:t>
            </w:r>
          </w:p>
          <w:p w14:paraId="40987795">
            <w:pPr>
              <w:adjustRightInd w:val="0"/>
              <w:snapToGrid w:val="0"/>
              <w:jc w:val="center"/>
              <w:rPr>
                <w:color w:val="auto"/>
                <w:szCs w:val="21"/>
              </w:rPr>
            </w:pPr>
            <w:r>
              <w:rPr>
                <w:rFonts w:hint="eastAsia"/>
                <w:color w:val="auto"/>
                <w:szCs w:val="21"/>
              </w:rPr>
              <w:t>墙面</w:t>
            </w:r>
          </w:p>
        </w:tc>
        <w:tc>
          <w:tcPr>
            <w:tcW w:w="2069" w:type="dxa"/>
            <w:gridSpan w:val="2"/>
            <w:vAlign w:val="center"/>
          </w:tcPr>
          <w:p w14:paraId="3EA14B60">
            <w:pPr>
              <w:adjustRightInd w:val="0"/>
              <w:snapToGrid w:val="0"/>
              <w:jc w:val="center"/>
              <w:rPr>
                <w:color w:val="auto"/>
                <w:spacing w:val="3"/>
                <w:sz w:val="20"/>
                <w:szCs w:val="20"/>
              </w:rPr>
            </w:pPr>
          </w:p>
        </w:tc>
        <w:tc>
          <w:tcPr>
            <w:tcW w:w="1418" w:type="dxa"/>
            <w:vAlign w:val="center"/>
          </w:tcPr>
          <w:p w14:paraId="5D62083A">
            <w:pPr>
              <w:adjustRightInd w:val="0"/>
              <w:snapToGrid w:val="0"/>
              <w:jc w:val="center"/>
              <w:rPr>
                <w:color w:val="auto"/>
                <w:sz w:val="20"/>
                <w:szCs w:val="20"/>
              </w:rPr>
            </w:pPr>
          </w:p>
        </w:tc>
        <w:tc>
          <w:tcPr>
            <w:tcW w:w="1134" w:type="dxa"/>
            <w:vAlign w:val="center"/>
          </w:tcPr>
          <w:p w14:paraId="50766ADF">
            <w:pPr>
              <w:adjustRightInd w:val="0"/>
              <w:snapToGrid w:val="0"/>
              <w:jc w:val="center"/>
              <w:rPr>
                <w:color w:val="auto"/>
                <w:sz w:val="20"/>
                <w:szCs w:val="20"/>
              </w:rPr>
            </w:pPr>
          </w:p>
        </w:tc>
        <w:tc>
          <w:tcPr>
            <w:tcW w:w="1275" w:type="dxa"/>
            <w:vAlign w:val="center"/>
          </w:tcPr>
          <w:p w14:paraId="3AE6A6CC">
            <w:pPr>
              <w:adjustRightInd w:val="0"/>
              <w:snapToGrid w:val="0"/>
              <w:jc w:val="center"/>
              <w:rPr>
                <w:color w:val="auto"/>
                <w:sz w:val="20"/>
                <w:szCs w:val="20"/>
              </w:rPr>
            </w:pPr>
          </w:p>
        </w:tc>
        <w:tc>
          <w:tcPr>
            <w:tcW w:w="1276" w:type="dxa"/>
            <w:vAlign w:val="center"/>
          </w:tcPr>
          <w:p w14:paraId="3E60F6FD">
            <w:pPr>
              <w:adjustRightInd w:val="0"/>
              <w:snapToGrid w:val="0"/>
              <w:jc w:val="center"/>
              <w:rPr>
                <w:color w:val="auto"/>
                <w:sz w:val="20"/>
                <w:szCs w:val="20"/>
              </w:rPr>
            </w:pPr>
          </w:p>
        </w:tc>
        <w:tc>
          <w:tcPr>
            <w:tcW w:w="1199" w:type="dxa"/>
            <w:vAlign w:val="center"/>
          </w:tcPr>
          <w:p w14:paraId="263F694D">
            <w:pPr>
              <w:adjustRightInd w:val="0"/>
              <w:snapToGrid w:val="0"/>
              <w:jc w:val="center"/>
              <w:rPr>
                <w:color w:val="auto"/>
                <w:sz w:val="20"/>
                <w:szCs w:val="20"/>
              </w:rPr>
            </w:pPr>
          </w:p>
        </w:tc>
      </w:tr>
      <w:tr w14:paraId="2542B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41CEACBF">
            <w:pPr>
              <w:adjustRightInd w:val="0"/>
              <w:snapToGrid w:val="0"/>
              <w:jc w:val="center"/>
              <w:rPr>
                <w:color w:val="auto"/>
                <w:szCs w:val="21"/>
              </w:rPr>
            </w:pPr>
          </w:p>
        </w:tc>
        <w:tc>
          <w:tcPr>
            <w:tcW w:w="655" w:type="dxa"/>
            <w:vMerge w:val="continue"/>
            <w:vAlign w:val="center"/>
          </w:tcPr>
          <w:p w14:paraId="132D9310">
            <w:pPr>
              <w:adjustRightInd w:val="0"/>
              <w:snapToGrid w:val="0"/>
              <w:jc w:val="center"/>
              <w:rPr>
                <w:color w:val="auto"/>
                <w:szCs w:val="21"/>
              </w:rPr>
            </w:pPr>
          </w:p>
        </w:tc>
        <w:tc>
          <w:tcPr>
            <w:tcW w:w="2069" w:type="dxa"/>
            <w:gridSpan w:val="2"/>
            <w:vAlign w:val="center"/>
          </w:tcPr>
          <w:p w14:paraId="38C15E52">
            <w:pPr>
              <w:adjustRightInd w:val="0"/>
              <w:snapToGrid w:val="0"/>
              <w:jc w:val="center"/>
              <w:rPr>
                <w:color w:val="auto"/>
                <w:spacing w:val="3"/>
                <w:sz w:val="20"/>
                <w:szCs w:val="20"/>
              </w:rPr>
            </w:pPr>
          </w:p>
        </w:tc>
        <w:tc>
          <w:tcPr>
            <w:tcW w:w="1418" w:type="dxa"/>
            <w:vAlign w:val="center"/>
          </w:tcPr>
          <w:p w14:paraId="252F4CBA">
            <w:pPr>
              <w:adjustRightInd w:val="0"/>
              <w:snapToGrid w:val="0"/>
              <w:jc w:val="center"/>
              <w:rPr>
                <w:color w:val="auto"/>
                <w:sz w:val="20"/>
                <w:szCs w:val="20"/>
              </w:rPr>
            </w:pPr>
          </w:p>
        </w:tc>
        <w:tc>
          <w:tcPr>
            <w:tcW w:w="1134" w:type="dxa"/>
            <w:vAlign w:val="center"/>
          </w:tcPr>
          <w:p w14:paraId="3054DF2A">
            <w:pPr>
              <w:adjustRightInd w:val="0"/>
              <w:snapToGrid w:val="0"/>
              <w:jc w:val="center"/>
              <w:rPr>
                <w:color w:val="auto"/>
                <w:sz w:val="20"/>
                <w:szCs w:val="20"/>
              </w:rPr>
            </w:pPr>
          </w:p>
        </w:tc>
        <w:tc>
          <w:tcPr>
            <w:tcW w:w="1275" w:type="dxa"/>
            <w:vAlign w:val="center"/>
          </w:tcPr>
          <w:p w14:paraId="75712AD4">
            <w:pPr>
              <w:adjustRightInd w:val="0"/>
              <w:snapToGrid w:val="0"/>
              <w:jc w:val="center"/>
              <w:rPr>
                <w:color w:val="auto"/>
                <w:sz w:val="20"/>
                <w:szCs w:val="20"/>
              </w:rPr>
            </w:pPr>
          </w:p>
        </w:tc>
        <w:tc>
          <w:tcPr>
            <w:tcW w:w="1276" w:type="dxa"/>
            <w:vAlign w:val="center"/>
          </w:tcPr>
          <w:p w14:paraId="2B65700F">
            <w:pPr>
              <w:adjustRightInd w:val="0"/>
              <w:snapToGrid w:val="0"/>
              <w:jc w:val="center"/>
              <w:rPr>
                <w:color w:val="auto"/>
                <w:sz w:val="20"/>
                <w:szCs w:val="20"/>
              </w:rPr>
            </w:pPr>
          </w:p>
        </w:tc>
        <w:tc>
          <w:tcPr>
            <w:tcW w:w="1199" w:type="dxa"/>
            <w:vAlign w:val="center"/>
          </w:tcPr>
          <w:p w14:paraId="3B7977AE">
            <w:pPr>
              <w:adjustRightInd w:val="0"/>
              <w:snapToGrid w:val="0"/>
              <w:jc w:val="center"/>
              <w:rPr>
                <w:color w:val="auto"/>
                <w:sz w:val="20"/>
                <w:szCs w:val="20"/>
              </w:rPr>
            </w:pPr>
          </w:p>
        </w:tc>
      </w:tr>
      <w:tr w14:paraId="556F0F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4EACE35E">
            <w:pPr>
              <w:adjustRightInd w:val="0"/>
              <w:snapToGrid w:val="0"/>
              <w:jc w:val="center"/>
              <w:rPr>
                <w:color w:val="auto"/>
                <w:szCs w:val="21"/>
              </w:rPr>
            </w:pPr>
          </w:p>
        </w:tc>
        <w:tc>
          <w:tcPr>
            <w:tcW w:w="655" w:type="dxa"/>
            <w:vMerge w:val="continue"/>
            <w:vAlign w:val="center"/>
          </w:tcPr>
          <w:p w14:paraId="733171F7">
            <w:pPr>
              <w:adjustRightInd w:val="0"/>
              <w:snapToGrid w:val="0"/>
              <w:jc w:val="center"/>
              <w:rPr>
                <w:color w:val="auto"/>
                <w:szCs w:val="21"/>
              </w:rPr>
            </w:pPr>
          </w:p>
        </w:tc>
        <w:tc>
          <w:tcPr>
            <w:tcW w:w="2069" w:type="dxa"/>
            <w:gridSpan w:val="2"/>
            <w:vAlign w:val="center"/>
          </w:tcPr>
          <w:p w14:paraId="225A047E">
            <w:pPr>
              <w:adjustRightInd w:val="0"/>
              <w:snapToGrid w:val="0"/>
              <w:jc w:val="center"/>
              <w:rPr>
                <w:color w:val="auto"/>
                <w:spacing w:val="3"/>
                <w:sz w:val="20"/>
                <w:szCs w:val="20"/>
              </w:rPr>
            </w:pPr>
          </w:p>
        </w:tc>
        <w:tc>
          <w:tcPr>
            <w:tcW w:w="1418" w:type="dxa"/>
            <w:vAlign w:val="center"/>
          </w:tcPr>
          <w:p w14:paraId="6EB0F265">
            <w:pPr>
              <w:adjustRightInd w:val="0"/>
              <w:snapToGrid w:val="0"/>
              <w:jc w:val="center"/>
              <w:rPr>
                <w:color w:val="auto"/>
                <w:sz w:val="20"/>
                <w:szCs w:val="20"/>
              </w:rPr>
            </w:pPr>
          </w:p>
        </w:tc>
        <w:tc>
          <w:tcPr>
            <w:tcW w:w="1134" w:type="dxa"/>
            <w:vAlign w:val="center"/>
          </w:tcPr>
          <w:p w14:paraId="03CDA2DC">
            <w:pPr>
              <w:adjustRightInd w:val="0"/>
              <w:snapToGrid w:val="0"/>
              <w:jc w:val="center"/>
              <w:rPr>
                <w:color w:val="auto"/>
                <w:sz w:val="20"/>
                <w:szCs w:val="20"/>
              </w:rPr>
            </w:pPr>
          </w:p>
        </w:tc>
        <w:tc>
          <w:tcPr>
            <w:tcW w:w="1275" w:type="dxa"/>
            <w:vAlign w:val="center"/>
          </w:tcPr>
          <w:p w14:paraId="30D5E0E7">
            <w:pPr>
              <w:adjustRightInd w:val="0"/>
              <w:snapToGrid w:val="0"/>
              <w:jc w:val="center"/>
              <w:rPr>
                <w:color w:val="auto"/>
                <w:sz w:val="20"/>
                <w:szCs w:val="20"/>
              </w:rPr>
            </w:pPr>
          </w:p>
        </w:tc>
        <w:tc>
          <w:tcPr>
            <w:tcW w:w="1276" w:type="dxa"/>
            <w:vAlign w:val="center"/>
          </w:tcPr>
          <w:p w14:paraId="4EB5915C">
            <w:pPr>
              <w:adjustRightInd w:val="0"/>
              <w:snapToGrid w:val="0"/>
              <w:jc w:val="center"/>
              <w:rPr>
                <w:color w:val="auto"/>
                <w:sz w:val="20"/>
                <w:szCs w:val="20"/>
              </w:rPr>
            </w:pPr>
          </w:p>
        </w:tc>
        <w:tc>
          <w:tcPr>
            <w:tcW w:w="1199" w:type="dxa"/>
            <w:vAlign w:val="center"/>
          </w:tcPr>
          <w:p w14:paraId="52D048F2">
            <w:pPr>
              <w:adjustRightInd w:val="0"/>
              <w:snapToGrid w:val="0"/>
              <w:jc w:val="center"/>
              <w:rPr>
                <w:color w:val="auto"/>
                <w:sz w:val="20"/>
                <w:szCs w:val="20"/>
              </w:rPr>
            </w:pPr>
          </w:p>
        </w:tc>
      </w:tr>
      <w:tr w14:paraId="194392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restart"/>
            <w:vAlign w:val="center"/>
          </w:tcPr>
          <w:p w14:paraId="3FA60CB4">
            <w:pPr>
              <w:pStyle w:val="34"/>
              <w:adjustRightInd w:val="0"/>
              <w:snapToGrid w:val="0"/>
              <w:jc w:val="center"/>
              <w:rPr>
                <w:rFonts w:eastAsia="宋体"/>
                <w:color w:val="auto"/>
                <w:sz w:val="21"/>
                <w:szCs w:val="21"/>
                <w:lang w:eastAsia="zh-CN"/>
              </w:rPr>
            </w:pPr>
            <w:r>
              <w:rPr>
                <w:rFonts w:hint="eastAsia" w:eastAsia="宋体"/>
                <w:color w:val="auto"/>
                <w:sz w:val="21"/>
                <w:szCs w:val="21"/>
                <w:lang w:eastAsia="zh-CN"/>
              </w:rPr>
              <w:t>4</w:t>
            </w:r>
          </w:p>
        </w:tc>
        <w:tc>
          <w:tcPr>
            <w:tcW w:w="655" w:type="dxa"/>
            <w:vMerge w:val="restart"/>
            <w:vAlign w:val="center"/>
          </w:tcPr>
          <w:p w14:paraId="596F24A9">
            <w:pPr>
              <w:pStyle w:val="34"/>
              <w:adjustRightInd w:val="0"/>
              <w:snapToGrid w:val="0"/>
              <w:jc w:val="center"/>
              <w:rPr>
                <w:rFonts w:eastAsia="宋体"/>
                <w:color w:val="auto"/>
                <w:sz w:val="21"/>
                <w:szCs w:val="21"/>
                <w:lang w:eastAsia="zh-CN"/>
              </w:rPr>
            </w:pPr>
            <w:r>
              <w:rPr>
                <w:rFonts w:hint="eastAsia" w:eastAsia="宋体"/>
                <w:color w:val="auto"/>
                <w:sz w:val="21"/>
                <w:szCs w:val="21"/>
                <w:lang w:eastAsia="zh-CN"/>
              </w:rPr>
              <w:t>地面</w:t>
            </w:r>
          </w:p>
        </w:tc>
        <w:tc>
          <w:tcPr>
            <w:tcW w:w="2069" w:type="dxa"/>
            <w:gridSpan w:val="2"/>
            <w:vAlign w:val="center"/>
          </w:tcPr>
          <w:p w14:paraId="593AAC18">
            <w:pPr>
              <w:adjustRightInd w:val="0"/>
              <w:snapToGrid w:val="0"/>
              <w:jc w:val="center"/>
              <w:rPr>
                <w:color w:val="auto"/>
                <w:spacing w:val="5"/>
                <w:sz w:val="20"/>
                <w:szCs w:val="20"/>
              </w:rPr>
            </w:pPr>
          </w:p>
        </w:tc>
        <w:tc>
          <w:tcPr>
            <w:tcW w:w="1418" w:type="dxa"/>
            <w:vAlign w:val="center"/>
          </w:tcPr>
          <w:p w14:paraId="2B983FB9">
            <w:pPr>
              <w:adjustRightInd w:val="0"/>
              <w:snapToGrid w:val="0"/>
              <w:jc w:val="center"/>
              <w:rPr>
                <w:color w:val="auto"/>
                <w:sz w:val="20"/>
                <w:szCs w:val="20"/>
              </w:rPr>
            </w:pPr>
          </w:p>
        </w:tc>
        <w:tc>
          <w:tcPr>
            <w:tcW w:w="1134" w:type="dxa"/>
            <w:vAlign w:val="center"/>
          </w:tcPr>
          <w:p w14:paraId="435EEF6A">
            <w:pPr>
              <w:adjustRightInd w:val="0"/>
              <w:snapToGrid w:val="0"/>
              <w:jc w:val="center"/>
              <w:rPr>
                <w:color w:val="auto"/>
                <w:sz w:val="20"/>
                <w:szCs w:val="20"/>
              </w:rPr>
            </w:pPr>
          </w:p>
        </w:tc>
        <w:tc>
          <w:tcPr>
            <w:tcW w:w="1275" w:type="dxa"/>
            <w:vAlign w:val="center"/>
          </w:tcPr>
          <w:p w14:paraId="51A42019">
            <w:pPr>
              <w:adjustRightInd w:val="0"/>
              <w:snapToGrid w:val="0"/>
              <w:jc w:val="center"/>
              <w:rPr>
                <w:color w:val="auto"/>
                <w:sz w:val="20"/>
                <w:szCs w:val="20"/>
              </w:rPr>
            </w:pPr>
          </w:p>
        </w:tc>
        <w:tc>
          <w:tcPr>
            <w:tcW w:w="1276" w:type="dxa"/>
            <w:vAlign w:val="center"/>
          </w:tcPr>
          <w:p w14:paraId="3AF46C40">
            <w:pPr>
              <w:adjustRightInd w:val="0"/>
              <w:snapToGrid w:val="0"/>
              <w:jc w:val="center"/>
              <w:rPr>
                <w:color w:val="auto"/>
                <w:sz w:val="20"/>
                <w:szCs w:val="20"/>
              </w:rPr>
            </w:pPr>
          </w:p>
        </w:tc>
        <w:tc>
          <w:tcPr>
            <w:tcW w:w="1199" w:type="dxa"/>
            <w:vAlign w:val="center"/>
          </w:tcPr>
          <w:p w14:paraId="334B3DC5">
            <w:pPr>
              <w:adjustRightInd w:val="0"/>
              <w:snapToGrid w:val="0"/>
              <w:jc w:val="center"/>
              <w:rPr>
                <w:color w:val="auto"/>
                <w:sz w:val="20"/>
                <w:szCs w:val="20"/>
              </w:rPr>
            </w:pPr>
          </w:p>
        </w:tc>
      </w:tr>
      <w:tr w14:paraId="4F406B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2E250FF2">
            <w:pPr>
              <w:pStyle w:val="34"/>
              <w:adjustRightInd w:val="0"/>
              <w:snapToGrid w:val="0"/>
              <w:jc w:val="center"/>
              <w:rPr>
                <w:rFonts w:eastAsia="宋体"/>
                <w:color w:val="auto"/>
                <w:sz w:val="21"/>
                <w:szCs w:val="21"/>
              </w:rPr>
            </w:pPr>
          </w:p>
        </w:tc>
        <w:tc>
          <w:tcPr>
            <w:tcW w:w="655" w:type="dxa"/>
            <w:vMerge w:val="continue"/>
            <w:vAlign w:val="center"/>
          </w:tcPr>
          <w:p w14:paraId="64475097">
            <w:pPr>
              <w:pStyle w:val="34"/>
              <w:adjustRightInd w:val="0"/>
              <w:snapToGrid w:val="0"/>
              <w:jc w:val="center"/>
              <w:rPr>
                <w:rFonts w:eastAsia="宋体"/>
                <w:color w:val="auto"/>
                <w:sz w:val="21"/>
                <w:szCs w:val="21"/>
                <w:lang w:eastAsia="zh-CN"/>
              </w:rPr>
            </w:pPr>
          </w:p>
        </w:tc>
        <w:tc>
          <w:tcPr>
            <w:tcW w:w="2069" w:type="dxa"/>
            <w:gridSpan w:val="2"/>
            <w:vAlign w:val="center"/>
          </w:tcPr>
          <w:p w14:paraId="05CEEC41">
            <w:pPr>
              <w:adjustRightInd w:val="0"/>
              <w:snapToGrid w:val="0"/>
              <w:jc w:val="center"/>
              <w:rPr>
                <w:color w:val="auto"/>
                <w:spacing w:val="5"/>
                <w:sz w:val="20"/>
                <w:szCs w:val="20"/>
              </w:rPr>
            </w:pPr>
          </w:p>
        </w:tc>
        <w:tc>
          <w:tcPr>
            <w:tcW w:w="1418" w:type="dxa"/>
            <w:vAlign w:val="center"/>
          </w:tcPr>
          <w:p w14:paraId="036FA7B7">
            <w:pPr>
              <w:adjustRightInd w:val="0"/>
              <w:snapToGrid w:val="0"/>
              <w:jc w:val="center"/>
              <w:rPr>
                <w:color w:val="auto"/>
                <w:sz w:val="20"/>
                <w:szCs w:val="20"/>
              </w:rPr>
            </w:pPr>
          </w:p>
        </w:tc>
        <w:tc>
          <w:tcPr>
            <w:tcW w:w="1134" w:type="dxa"/>
            <w:vAlign w:val="center"/>
          </w:tcPr>
          <w:p w14:paraId="79D50072">
            <w:pPr>
              <w:adjustRightInd w:val="0"/>
              <w:snapToGrid w:val="0"/>
              <w:jc w:val="center"/>
              <w:rPr>
                <w:color w:val="auto"/>
                <w:sz w:val="20"/>
                <w:szCs w:val="20"/>
              </w:rPr>
            </w:pPr>
          </w:p>
        </w:tc>
        <w:tc>
          <w:tcPr>
            <w:tcW w:w="1275" w:type="dxa"/>
            <w:vAlign w:val="center"/>
          </w:tcPr>
          <w:p w14:paraId="2DE8714C">
            <w:pPr>
              <w:adjustRightInd w:val="0"/>
              <w:snapToGrid w:val="0"/>
              <w:jc w:val="center"/>
              <w:rPr>
                <w:color w:val="auto"/>
                <w:sz w:val="20"/>
                <w:szCs w:val="20"/>
              </w:rPr>
            </w:pPr>
          </w:p>
        </w:tc>
        <w:tc>
          <w:tcPr>
            <w:tcW w:w="1276" w:type="dxa"/>
            <w:vAlign w:val="center"/>
          </w:tcPr>
          <w:p w14:paraId="58FB1AD6">
            <w:pPr>
              <w:adjustRightInd w:val="0"/>
              <w:snapToGrid w:val="0"/>
              <w:jc w:val="center"/>
              <w:rPr>
                <w:color w:val="auto"/>
                <w:sz w:val="20"/>
                <w:szCs w:val="20"/>
              </w:rPr>
            </w:pPr>
          </w:p>
        </w:tc>
        <w:tc>
          <w:tcPr>
            <w:tcW w:w="1199" w:type="dxa"/>
            <w:vAlign w:val="center"/>
          </w:tcPr>
          <w:p w14:paraId="5AECB101">
            <w:pPr>
              <w:adjustRightInd w:val="0"/>
              <w:snapToGrid w:val="0"/>
              <w:jc w:val="center"/>
              <w:rPr>
                <w:color w:val="auto"/>
                <w:sz w:val="20"/>
                <w:szCs w:val="20"/>
              </w:rPr>
            </w:pPr>
          </w:p>
        </w:tc>
      </w:tr>
      <w:tr w14:paraId="4B3B6A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4378B9C7">
            <w:pPr>
              <w:pStyle w:val="34"/>
              <w:adjustRightInd w:val="0"/>
              <w:snapToGrid w:val="0"/>
              <w:jc w:val="center"/>
              <w:rPr>
                <w:rFonts w:eastAsia="宋体"/>
                <w:color w:val="auto"/>
                <w:sz w:val="21"/>
                <w:szCs w:val="21"/>
              </w:rPr>
            </w:pPr>
          </w:p>
        </w:tc>
        <w:tc>
          <w:tcPr>
            <w:tcW w:w="655" w:type="dxa"/>
            <w:vMerge w:val="continue"/>
            <w:vAlign w:val="center"/>
          </w:tcPr>
          <w:p w14:paraId="1422411C">
            <w:pPr>
              <w:pStyle w:val="34"/>
              <w:adjustRightInd w:val="0"/>
              <w:snapToGrid w:val="0"/>
              <w:jc w:val="center"/>
              <w:rPr>
                <w:rFonts w:eastAsia="宋体"/>
                <w:color w:val="auto"/>
                <w:sz w:val="21"/>
                <w:szCs w:val="21"/>
                <w:lang w:eastAsia="zh-CN"/>
              </w:rPr>
            </w:pPr>
          </w:p>
        </w:tc>
        <w:tc>
          <w:tcPr>
            <w:tcW w:w="2069" w:type="dxa"/>
            <w:gridSpan w:val="2"/>
            <w:vAlign w:val="center"/>
          </w:tcPr>
          <w:p w14:paraId="7560621F">
            <w:pPr>
              <w:adjustRightInd w:val="0"/>
              <w:snapToGrid w:val="0"/>
              <w:jc w:val="center"/>
              <w:rPr>
                <w:color w:val="auto"/>
                <w:spacing w:val="5"/>
                <w:sz w:val="20"/>
                <w:szCs w:val="20"/>
              </w:rPr>
            </w:pPr>
          </w:p>
        </w:tc>
        <w:tc>
          <w:tcPr>
            <w:tcW w:w="1418" w:type="dxa"/>
            <w:vAlign w:val="center"/>
          </w:tcPr>
          <w:p w14:paraId="0149F2C7">
            <w:pPr>
              <w:adjustRightInd w:val="0"/>
              <w:snapToGrid w:val="0"/>
              <w:jc w:val="center"/>
              <w:rPr>
                <w:color w:val="auto"/>
                <w:sz w:val="20"/>
                <w:szCs w:val="20"/>
              </w:rPr>
            </w:pPr>
          </w:p>
        </w:tc>
        <w:tc>
          <w:tcPr>
            <w:tcW w:w="1134" w:type="dxa"/>
            <w:vAlign w:val="center"/>
          </w:tcPr>
          <w:p w14:paraId="282ABC7E">
            <w:pPr>
              <w:adjustRightInd w:val="0"/>
              <w:snapToGrid w:val="0"/>
              <w:jc w:val="center"/>
              <w:rPr>
                <w:color w:val="auto"/>
                <w:sz w:val="20"/>
                <w:szCs w:val="20"/>
              </w:rPr>
            </w:pPr>
          </w:p>
        </w:tc>
        <w:tc>
          <w:tcPr>
            <w:tcW w:w="1275" w:type="dxa"/>
            <w:vAlign w:val="center"/>
          </w:tcPr>
          <w:p w14:paraId="6847062E">
            <w:pPr>
              <w:adjustRightInd w:val="0"/>
              <w:snapToGrid w:val="0"/>
              <w:jc w:val="center"/>
              <w:rPr>
                <w:color w:val="auto"/>
                <w:sz w:val="20"/>
                <w:szCs w:val="20"/>
              </w:rPr>
            </w:pPr>
          </w:p>
        </w:tc>
        <w:tc>
          <w:tcPr>
            <w:tcW w:w="1276" w:type="dxa"/>
            <w:vAlign w:val="center"/>
          </w:tcPr>
          <w:p w14:paraId="1BC46B9E">
            <w:pPr>
              <w:adjustRightInd w:val="0"/>
              <w:snapToGrid w:val="0"/>
              <w:jc w:val="center"/>
              <w:rPr>
                <w:color w:val="auto"/>
                <w:sz w:val="20"/>
                <w:szCs w:val="20"/>
              </w:rPr>
            </w:pPr>
          </w:p>
        </w:tc>
        <w:tc>
          <w:tcPr>
            <w:tcW w:w="1199" w:type="dxa"/>
            <w:vAlign w:val="center"/>
          </w:tcPr>
          <w:p w14:paraId="0F1339A1">
            <w:pPr>
              <w:adjustRightInd w:val="0"/>
              <w:snapToGrid w:val="0"/>
              <w:jc w:val="center"/>
              <w:rPr>
                <w:color w:val="auto"/>
                <w:sz w:val="20"/>
                <w:szCs w:val="20"/>
              </w:rPr>
            </w:pPr>
          </w:p>
        </w:tc>
      </w:tr>
      <w:tr w14:paraId="7273F9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restart"/>
            <w:vAlign w:val="center"/>
          </w:tcPr>
          <w:p w14:paraId="32B12571">
            <w:pPr>
              <w:pStyle w:val="34"/>
              <w:jc w:val="center"/>
              <w:rPr>
                <w:rFonts w:eastAsia="宋体"/>
                <w:color w:val="auto"/>
                <w:sz w:val="21"/>
                <w:szCs w:val="21"/>
                <w:lang w:eastAsia="zh-CN"/>
              </w:rPr>
            </w:pPr>
            <w:r>
              <w:rPr>
                <w:rFonts w:hint="eastAsia" w:eastAsia="宋体"/>
                <w:color w:val="auto"/>
                <w:sz w:val="21"/>
                <w:szCs w:val="21"/>
                <w:lang w:eastAsia="zh-CN"/>
              </w:rPr>
              <w:t>5</w:t>
            </w:r>
          </w:p>
        </w:tc>
        <w:tc>
          <w:tcPr>
            <w:tcW w:w="655" w:type="dxa"/>
            <w:vMerge w:val="restart"/>
            <w:vAlign w:val="center"/>
          </w:tcPr>
          <w:p w14:paraId="1FE90DE5">
            <w:pPr>
              <w:pStyle w:val="34"/>
              <w:jc w:val="center"/>
              <w:rPr>
                <w:rFonts w:eastAsia="宋体"/>
                <w:color w:val="auto"/>
                <w:sz w:val="21"/>
                <w:szCs w:val="21"/>
                <w:lang w:eastAsia="zh-CN"/>
              </w:rPr>
            </w:pPr>
            <w:r>
              <w:rPr>
                <w:rFonts w:hint="eastAsia" w:eastAsia="宋体"/>
                <w:color w:val="auto"/>
                <w:sz w:val="21"/>
                <w:szCs w:val="21"/>
                <w:lang w:eastAsia="zh-CN"/>
              </w:rPr>
              <w:t>吊顶</w:t>
            </w:r>
          </w:p>
        </w:tc>
        <w:tc>
          <w:tcPr>
            <w:tcW w:w="2069" w:type="dxa"/>
            <w:gridSpan w:val="2"/>
            <w:vAlign w:val="center"/>
          </w:tcPr>
          <w:p w14:paraId="12FECF49">
            <w:pPr>
              <w:jc w:val="center"/>
              <w:rPr>
                <w:color w:val="auto"/>
                <w:sz w:val="20"/>
                <w:szCs w:val="20"/>
              </w:rPr>
            </w:pPr>
          </w:p>
        </w:tc>
        <w:tc>
          <w:tcPr>
            <w:tcW w:w="1418" w:type="dxa"/>
            <w:vAlign w:val="center"/>
          </w:tcPr>
          <w:p w14:paraId="30BCDAD5">
            <w:pPr>
              <w:jc w:val="center"/>
              <w:rPr>
                <w:color w:val="auto"/>
                <w:sz w:val="20"/>
                <w:szCs w:val="20"/>
              </w:rPr>
            </w:pPr>
          </w:p>
        </w:tc>
        <w:tc>
          <w:tcPr>
            <w:tcW w:w="1134" w:type="dxa"/>
            <w:vAlign w:val="center"/>
          </w:tcPr>
          <w:p w14:paraId="6EBAA8A0">
            <w:pPr>
              <w:jc w:val="center"/>
              <w:rPr>
                <w:color w:val="auto"/>
                <w:sz w:val="20"/>
                <w:szCs w:val="20"/>
              </w:rPr>
            </w:pPr>
          </w:p>
        </w:tc>
        <w:tc>
          <w:tcPr>
            <w:tcW w:w="1275" w:type="dxa"/>
            <w:vAlign w:val="center"/>
          </w:tcPr>
          <w:p w14:paraId="262C689A">
            <w:pPr>
              <w:jc w:val="center"/>
              <w:rPr>
                <w:color w:val="auto"/>
                <w:sz w:val="20"/>
                <w:szCs w:val="20"/>
              </w:rPr>
            </w:pPr>
          </w:p>
        </w:tc>
        <w:tc>
          <w:tcPr>
            <w:tcW w:w="1276" w:type="dxa"/>
            <w:vAlign w:val="center"/>
          </w:tcPr>
          <w:p w14:paraId="62798A98">
            <w:pPr>
              <w:jc w:val="center"/>
              <w:rPr>
                <w:color w:val="auto"/>
                <w:sz w:val="20"/>
                <w:szCs w:val="20"/>
              </w:rPr>
            </w:pPr>
          </w:p>
        </w:tc>
        <w:tc>
          <w:tcPr>
            <w:tcW w:w="1199" w:type="dxa"/>
            <w:vAlign w:val="center"/>
          </w:tcPr>
          <w:p w14:paraId="4ECCA834">
            <w:pPr>
              <w:jc w:val="center"/>
              <w:rPr>
                <w:color w:val="auto"/>
                <w:sz w:val="20"/>
                <w:szCs w:val="20"/>
              </w:rPr>
            </w:pPr>
          </w:p>
        </w:tc>
      </w:tr>
      <w:tr w14:paraId="1D3849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28B48A9D">
            <w:pPr>
              <w:jc w:val="center"/>
              <w:rPr>
                <w:color w:val="auto"/>
                <w:szCs w:val="21"/>
              </w:rPr>
            </w:pPr>
          </w:p>
        </w:tc>
        <w:tc>
          <w:tcPr>
            <w:tcW w:w="655" w:type="dxa"/>
            <w:vMerge w:val="continue"/>
            <w:vAlign w:val="center"/>
          </w:tcPr>
          <w:p w14:paraId="69031EA9">
            <w:pPr>
              <w:jc w:val="center"/>
              <w:rPr>
                <w:color w:val="auto"/>
                <w:szCs w:val="21"/>
              </w:rPr>
            </w:pPr>
          </w:p>
        </w:tc>
        <w:tc>
          <w:tcPr>
            <w:tcW w:w="2069" w:type="dxa"/>
            <w:gridSpan w:val="2"/>
            <w:vAlign w:val="center"/>
          </w:tcPr>
          <w:p w14:paraId="64E0E280">
            <w:pPr>
              <w:jc w:val="center"/>
              <w:rPr>
                <w:color w:val="auto"/>
                <w:sz w:val="20"/>
                <w:szCs w:val="20"/>
              </w:rPr>
            </w:pPr>
          </w:p>
        </w:tc>
        <w:tc>
          <w:tcPr>
            <w:tcW w:w="1418" w:type="dxa"/>
            <w:vAlign w:val="center"/>
          </w:tcPr>
          <w:p w14:paraId="6B9BAFD7">
            <w:pPr>
              <w:jc w:val="center"/>
              <w:rPr>
                <w:color w:val="auto"/>
                <w:sz w:val="20"/>
                <w:szCs w:val="20"/>
              </w:rPr>
            </w:pPr>
          </w:p>
        </w:tc>
        <w:tc>
          <w:tcPr>
            <w:tcW w:w="1134" w:type="dxa"/>
            <w:vAlign w:val="center"/>
          </w:tcPr>
          <w:p w14:paraId="2271C5B8">
            <w:pPr>
              <w:jc w:val="center"/>
              <w:rPr>
                <w:color w:val="auto"/>
                <w:sz w:val="20"/>
                <w:szCs w:val="20"/>
              </w:rPr>
            </w:pPr>
          </w:p>
        </w:tc>
        <w:tc>
          <w:tcPr>
            <w:tcW w:w="1275" w:type="dxa"/>
            <w:vAlign w:val="center"/>
          </w:tcPr>
          <w:p w14:paraId="582E6450">
            <w:pPr>
              <w:jc w:val="center"/>
              <w:rPr>
                <w:color w:val="auto"/>
                <w:sz w:val="20"/>
                <w:szCs w:val="20"/>
              </w:rPr>
            </w:pPr>
          </w:p>
        </w:tc>
        <w:tc>
          <w:tcPr>
            <w:tcW w:w="1276" w:type="dxa"/>
            <w:vAlign w:val="center"/>
          </w:tcPr>
          <w:p w14:paraId="36D37E2C">
            <w:pPr>
              <w:jc w:val="center"/>
              <w:rPr>
                <w:color w:val="auto"/>
                <w:sz w:val="20"/>
                <w:szCs w:val="20"/>
              </w:rPr>
            </w:pPr>
          </w:p>
        </w:tc>
        <w:tc>
          <w:tcPr>
            <w:tcW w:w="1199" w:type="dxa"/>
            <w:vAlign w:val="center"/>
          </w:tcPr>
          <w:p w14:paraId="19A3CFB7">
            <w:pPr>
              <w:jc w:val="center"/>
              <w:rPr>
                <w:color w:val="auto"/>
                <w:sz w:val="20"/>
                <w:szCs w:val="20"/>
              </w:rPr>
            </w:pPr>
          </w:p>
        </w:tc>
      </w:tr>
      <w:tr w14:paraId="1AAB8F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00A04781">
            <w:pPr>
              <w:jc w:val="center"/>
              <w:rPr>
                <w:color w:val="auto"/>
                <w:szCs w:val="21"/>
              </w:rPr>
            </w:pPr>
          </w:p>
        </w:tc>
        <w:tc>
          <w:tcPr>
            <w:tcW w:w="655" w:type="dxa"/>
            <w:vMerge w:val="continue"/>
            <w:vAlign w:val="center"/>
          </w:tcPr>
          <w:p w14:paraId="41FC29BB">
            <w:pPr>
              <w:jc w:val="center"/>
              <w:rPr>
                <w:color w:val="auto"/>
                <w:szCs w:val="21"/>
              </w:rPr>
            </w:pPr>
          </w:p>
        </w:tc>
        <w:tc>
          <w:tcPr>
            <w:tcW w:w="2069" w:type="dxa"/>
            <w:gridSpan w:val="2"/>
            <w:vAlign w:val="center"/>
          </w:tcPr>
          <w:p w14:paraId="147CE101">
            <w:pPr>
              <w:jc w:val="center"/>
              <w:rPr>
                <w:color w:val="auto"/>
                <w:sz w:val="20"/>
                <w:szCs w:val="20"/>
              </w:rPr>
            </w:pPr>
          </w:p>
        </w:tc>
        <w:tc>
          <w:tcPr>
            <w:tcW w:w="1418" w:type="dxa"/>
            <w:vAlign w:val="center"/>
          </w:tcPr>
          <w:p w14:paraId="1842996B">
            <w:pPr>
              <w:jc w:val="center"/>
              <w:rPr>
                <w:color w:val="auto"/>
                <w:sz w:val="20"/>
                <w:szCs w:val="20"/>
              </w:rPr>
            </w:pPr>
          </w:p>
        </w:tc>
        <w:tc>
          <w:tcPr>
            <w:tcW w:w="1134" w:type="dxa"/>
            <w:vAlign w:val="center"/>
          </w:tcPr>
          <w:p w14:paraId="200BBAF1">
            <w:pPr>
              <w:jc w:val="center"/>
              <w:rPr>
                <w:color w:val="auto"/>
                <w:sz w:val="20"/>
                <w:szCs w:val="20"/>
              </w:rPr>
            </w:pPr>
          </w:p>
        </w:tc>
        <w:tc>
          <w:tcPr>
            <w:tcW w:w="1275" w:type="dxa"/>
            <w:vAlign w:val="center"/>
          </w:tcPr>
          <w:p w14:paraId="28931282">
            <w:pPr>
              <w:jc w:val="center"/>
              <w:rPr>
                <w:color w:val="auto"/>
                <w:sz w:val="20"/>
                <w:szCs w:val="20"/>
              </w:rPr>
            </w:pPr>
          </w:p>
        </w:tc>
        <w:tc>
          <w:tcPr>
            <w:tcW w:w="1276" w:type="dxa"/>
            <w:vAlign w:val="center"/>
          </w:tcPr>
          <w:p w14:paraId="2E881AE8">
            <w:pPr>
              <w:jc w:val="center"/>
              <w:rPr>
                <w:color w:val="auto"/>
                <w:sz w:val="20"/>
                <w:szCs w:val="20"/>
              </w:rPr>
            </w:pPr>
          </w:p>
        </w:tc>
        <w:tc>
          <w:tcPr>
            <w:tcW w:w="1199" w:type="dxa"/>
            <w:vAlign w:val="center"/>
          </w:tcPr>
          <w:p w14:paraId="74A3859F">
            <w:pPr>
              <w:jc w:val="center"/>
              <w:rPr>
                <w:color w:val="auto"/>
                <w:sz w:val="20"/>
                <w:szCs w:val="20"/>
              </w:rPr>
            </w:pPr>
          </w:p>
        </w:tc>
      </w:tr>
      <w:tr w14:paraId="0E723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5" w:hRule="atLeast"/>
          <w:jc w:val="center"/>
        </w:trPr>
        <w:tc>
          <w:tcPr>
            <w:tcW w:w="353" w:type="dxa"/>
            <w:vMerge w:val="restart"/>
            <w:vAlign w:val="center"/>
          </w:tcPr>
          <w:p w14:paraId="2F086371">
            <w:pPr>
              <w:pStyle w:val="34"/>
              <w:jc w:val="center"/>
              <w:rPr>
                <w:rFonts w:eastAsia="宋体"/>
                <w:color w:val="auto"/>
                <w:sz w:val="21"/>
                <w:szCs w:val="21"/>
                <w:lang w:eastAsia="zh-CN"/>
              </w:rPr>
            </w:pPr>
            <w:r>
              <w:rPr>
                <w:rFonts w:hint="eastAsia" w:eastAsia="宋体"/>
                <w:color w:val="auto"/>
                <w:sz w:val="21"/>
                <w:szCs w:val="21"/>
                <w:lang w:eastAsia="zh-CN"/>
              </w:rPr>
              <w:t>6</w:t>
            </w:r>
          </w:p>
        </w:tc>
        <w:tc>
          <w:tcPr>
            <w:tcW w:w="655" w:type="dxa"/>
            <w:vMerge w:val="restart"/>
            <w:vAlign w:val="center"/>
          </w:tcPr>
          <w:p w14:paraId="5DE478F0">
            <w:pPr>
              <w:pStyle w:val="34"/>
              <w:jc w:val="center"/>
              <w:rPr>
                <w:rFonts w:eastAsia="宋体"/>
                <w:color w:val="auto"/>
                <w:sz w:val="21"/>
                <w:szCs w:val="21"/>
                <w:lang w:eastAsia="zh-CN"/>
              </w:rPr>
            </w:pPr>
            <w:r>
              <w:rPr>
                <w:rFonts w:hint="eastAsia" w:eastAsia="宋体"/>
                <w:color w:val="auto"/>
                <w:sz w:val="21"/>
                <w:szCs w:val="21"/>
                <w:lang w:eastAsia="zh-CN"/>
              </w:rPr>
              <w:t>门窗</w:t>
            </w:r>
          </w:p>
        </w:tc>
        <w:tc>
          <w:tcPr>
            <w:tcW w:w="2069" w:type="dxa"/>
            <w:gridSpan w:val="2"/>
            <w:vAlign w:val="center"/>
          </w:tcPr>
          <w:p w14:paraId="7E02C039">
            <w:pPr>
              <w:jc w:val="center"/>
              <w:rPr>
                <w:color w:val="auto"/>
                <w:sz w:val="20"/>
                <w:szCs w:val="20"/>
              </w:rPr>
            </w:pPr>
          </w:p>
        </w:tc>
        <w:tc>
          <w:tcPr>
            <w:tcW w:w="1418" w:type="dxa"/>
            <w:vAlign w:val="center"/>
          </w:tcPr>
          <w:p w14:paraId="60EB42F4">
            <w:pPr>
              <w:jc w:val="center"/>
              <w:rPr>
                <w:color w:val="auto"/>
                <w:sz w:val="20"/>
                <w:szCs w:val="20"/>
              </w:rPr>
            </w:pPr>
          </w:p>
        </w:tc>
        <w:tc>
          <w:tcPr>
            <w:tcW w:w="1134" w:type="dxa"/>
            <w:vAlign w:val="center"/>
          </w:tcPr>
          <w:p w14:paraId="66E8BC8C">
            <w:pPr>
              <w:jc w:val="center"/>
              <w:rPr>
                <w:color w:val="auto"/>
                <w:sz w:val="20"/>
                <w:szCs w:val="20"/>
              </w:rPr>
            </w:pPr>
          </w:p>
        </w:tc>
        <w:tc>
          <w:tcPr>
            <w:tcW w:w="1275" w:type="dxa"/>
            <w:vAlign w:val="center"/>
          </w:tcPr>
          <w:p w14:paraId="2EC0B417">
            <w:pPr>
              <w:jc w:val="center"/>
              <w:rPr>
                <w:color w:val="auto"/>
                <w:sz w:val="20"/>
                <w:szCs w:val="20"/>
              </w:rPr>
            </w:pPr>
          </w:p>
        </w:tc>
        <w:tc>
          <w:tcPr>
            <w:tcW w:w="1276" w:type="dxa"/>
            <w:vAlign w:val="center"/>
          </w:tcPr>
          <w:p w14:paraId="37158C36">
            <w:pPr>
              <w:jc w:val="center"/>
              <w:rPr>
                <w:color w:val="auto"/>
                <w:sz w:val="20"/>
                <w:szCs w:val="20"/>
              </w:rPr>
            </w:pPr>
          </w:p>
        </w:tc>
        <w:tc>
          <w:tcPr>
            <w:tcW w:w="1199" w:type="dxa"/>
            <w:vAlign w:val="center"/>
          </w:tcPr>
          <w:p w14:paraId="609A2D6C">
            <w:pPr>
              <w:jc w:val="center"/>
              <w:rPr>
                <w:color w:val="auto"/>
                <w:sz w:val="20"/>
                <w:szCs w:val="20"/>
              </w:rPr>
            </w:pPr>
          </w:p>
        </w:tc>
      </w:tr>
      <w:tr w14:paraId="3788F0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599FE2E0">
            <w:pPr>
              <w:jc w:val="center"/>
              <w:rPr>
                <w:color w:val="auto"/>
                <w:szCs w:val="21"/>
              </w:rPr>
            </w:pPr>
          </w:p>
        </w:tc>
        <w:tc>
          <w:tcPr>
            <w:tcW w:w="655" w:type="dxa"/>
            <w:vMerge w:val="continue"/>
            <w:vAlign w:val="center"/>
          </w:tcPr>
          <w:p w14:paraId="2E7B42C6">
            <w:pPr>
              <w:jc w:val="center"/>
              <w:rPr>
                <w:color w:val="auto"/>
                <w:szCs w:val="21"/>
              </w:rPr>
            </w:pPr>
          </w:p>
        </w:tc>
        <w:tc>
          <w:tcPr>
            <w:tcW w:w="2069" w:type="dxa"/>
            <w:gridSpan w:val="2"/>
            <w:vAlign w:val="center"/>
          </w:tcPr>
          <w:p w14:paraId="5F67E7ED">
            <w:pPr>
              <w:jc w:val="center"/>
              <w:rPr>
                <w:color w:val="auto"/>
                <w:sz w:val="20"/>
                <w:szCs w:val="20"/>
              </w:rPr>
            </w:pPr>
          </w:p>
        </w:tc>
        <w:tc>
          <w:tcPr>
            <w:tcW w:w="1418" w:type="dxa"/>
            <w:vAlign w:val="center"/>
          </w:tcPr>
          <w:p w14:paraId="71BE78EA">
            <w:pPr>
              <w:jc w:val="center"/>
              <w:rPr>
                <w:color w:val="auto"/>
                <w:sz w:val="20"/>
                <w:szCs w:val="20"/>
              </w:rPr>
            </w:pPr>
          </w:p>
        </w:tc>
        <w:tc>
          <w:tcPr>
            <w:tcW w:w="1134" w:type="dxa"/>
            <w:vAlign w:val="center"/>
          </w:tcPr>
          <w:p w14:paraId="19BCF5BF">
            <w:pPr>
              <w:jc w:val="center"/>
              <w:rPr>
                <w:color w:val="auto"/>
                <w:sz w:val="20"/>
                <w:szCs w:val="20"/>
              </w:rPr>
            </w:pPr>
          </w:p>
        </w:tc>
        <w:tc>
          <w:tcPr>
            <w:tcW w:w="1275" w:type="dxa"/>
            <w:vAlign w:val="center"/>
          </w:tcPr>
          <w:p w14:paraId="1BA07A66">
            <w:pPr>
              <w:jc w:val="center"/>
              <w:rPr>
                <w:color w:val="auto"/>
                <w:sz w:val="20"/>
                <w:szCs w:val="20"/>
              </w:rPr>
            </w:pPr>
          </w:p>
        </w:tc>
        <w:tc>
          <w:tcPr>
            <w:tcW w:w="1276" w:type="dxa"/>
            <w:vAlign w:val="center"/>
          </w:tcPr>
          <w:p w14:paraId="7E8F154D">
            <w:pPr>
              <w:jc w:val="center"/>
              <w:rPr>
                <w:color w:val="auto"/>
                <w:sz w:val="20"/>
                <w:szCs w:val="20"/>
              </w:rPr>
            </w:pPr>
          </w:p>
        </w:tc>
        <w:tc>
          <w:tcPr>
            <w:tcW w:w="1199" w:type="dxa"/>
            <w:vAlign w:val="center"/>
          </w:tcPr>
          <w:p w14:paraId="00901B25">
            <w:pPr>
              <w:jc w:val="center"/>
              <w:rPr>
                <w:color w:val="auto"/>
                <w:sz w:val="20"/>
                <w:szCs w:val="20"/>
              </w:rPr>
            </w:pPr>
          </w:p>
        </w:tc>
      </w:tr>
      <w:tr w14:paraId="31B683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05F8BE94">
            <w:pPr>
              <w:jc w:val="center"/>
              <w:rPr>
                <w:color w:val="auto"/>
                <w:szCs w:val="21"/>
              </w:rPr>
            </w:pPr>
          </w:p>
        </w:tc>
        <w:tc>
          <w:tcPr>
            <w:tcW w:w="655" w:type="dxa"/>
            <w:vMerge w:val="continue"/>
            <w:vAlign w:val="center"/>
          </w:tcPr>
          <w:p w14:paraId="54DD9EF5">
            <w:pPr>
              <w:jc w:val="center"/>
              <w:rPr>
                <w:color w:val="auto"/>
                <w:szCs w:val="21"/>
              </w:rPr>
            </w:pPr>
          </w:p>
        </w:tc>
        <w:tc>
          <w:tcPr>
            <w:tcW w:w="2069" w:type="dxa"/>
            <w:gridSpan w:val="2"/>
            <w:vAlign w:val="center"/>
          </w:tcPr>
          <w:p w14:paraId="05CDA952">
            <w:pPr>
              <w:jc w:val="center"/>
              <w:rPr>
                <w:color w:val="auto"/>
                <w:sz w:val="20"/>
                <w:szCs w:val="20"/>
              </w:rPr>
            </w:pPr>
          </w:p>
        </w:tc>
        <w:tc>
          <w:tcPr>
            <w:tcW w:w="1418" w:type="dxa"/>
            <w:vAlign w:val="center"/>
          </w:tcPr>
          <w:p w14:paraId="149BE422">
            <w:pPr>
              <w:jc w:val="center"/>
              <w:rPr>
                <w:color w:val="auto"/>
                <w:sz w:val="20"/>
                <w:szCs w:val="20"/>
              </w:rPr>
            </w:pPr>
          </w:p>
        </w:tc>
        <w:tc>
          <w:tcPr>
            <w:tcW w:w="1134" w:type="dxa"/>
            <w:vAlign w:val="center"/>
          </w:tcPr>
          <w:p w14:paraId="7ADA1D46">
            <w:pPr>
              <w:jc w:val="center"/>
              <w:rPr>
                <w:color w:val="auto"/>
                <w:sz w:val="20"/>
                <w:szCs w:val="20"/>
              </w:rPr>
            </w:pPr>
          </w:p>
        </w:tc>
        <w:tc>
          <w:tcPr>
            <w:tcW w:w="1275" w:type="dxa"/>
            <w:vAlign w:val="center"/>
          </w:tcPr>
          <w:p w14:paraId="3577A9D8">
            <w:pPr>
              <w:jc w:val="center"/>
              <w:rPr>
                <w:color w:val="auto"/>
                <w:sz w:val="20"/>
                <w:szCs w:val="20"/>
              </w:rPr>
            </w:pPr>
          </w:p>
        </w:tc>
        <w:tc>
          <w:tcPr>
            <w:tcW w:w="1276" w:type="dxa"/>
            <w:vAlign w:val="center"/>
          </w:tcPr>
          <w:p w14:paraId="2C2931A0">
            <w:pPr>
              <w:jc w:val="center"/>
              <w:rPr>
                <w:color w:val="auto"/>
                <w:sz w:val="20"/>
                <w:szCs w:val="20"/>
              </w:rPr>
            </w:pPr>
          </w:p>
        </w:tc>
        <w:tc>
          <w:tcPr>
            <w:tcW w:w="1199" w:type="dxa"/>
            <w:vAlign w:val="center"/>
          </w:tcPr>
          <w:p w14:paraId="714343BA">
            <w:pPr>
              <w:jc w:val="center"/>
              <w:rPr>
                <w:color w:val="auto"/>
                <w:sz w:val="20"/>
                <w:szCs w:val="20"/>
              </w:rPr>
            </w:pPr>
          </w:p>
        </w:tc>
      </w:tr>
      <w:tr w14:paraId="23FE4C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restart"/>
            <w:vAlign w:val="center"/>
          </w:tcPr>
          <w:p w14:paraId="5880E3FA">
            <w:pPr>
              <w:pStyle w:val="34"/>
              <w:jc w:val="center"/>
              <w:rPr>
                <w:rFonts w:eastAsia="宋体"/>
                <w:color w:val="auto"/>
                <w:sz w:val="21"/>
                <w:szCs w:val="21"/>
                <w:lang w:eastAsia="zh-CN"/>
              </w:rPr>
            </w:pPr>
            <w:r>
              <w:rPr>
                <w:rFonts w:hint="eastAsia" w:eastAsia="宋体"/>
                <w:color w:val="auto"/>
                <w:sz w:val="21"/>
                <w:szCs w:val="21"/>
                <w:lang w:eastAsia="zh-CN"/>
              </w:rPr>
              <w:t>7</w:t>
            </w:r>
          </w:p>
        </w:tc>
        <w:tc>
          <w:tcPr>
            <w:tcW w:w="655" w:type="dxa"/>
            <w:vMerge w:val="restart"/>
            <w:vAlign w:val="center"/>
          </w:tcPr>
          <w:p w14:paraId="5C32CB41">
            <w:pPr>
              <w:pStyle w:val="34"/>
              <w:jc w:val="center"/>
              <w:rPr>
                <w:rFonts w:eastAsia="宋体"/>
                <w:color w:val="auto"/>
                <w:sz w:val="21"/>
                <w:szCs w:val="21"/>
                <w:lang w:eastAsia="zh-CN"/>
              </w:rPr>
            </w:pPr>
            <w:r>
              <w:rPr>
                <w:rFonts w:hint="eastAsia" w:eastAsia="宋体"/>
                <w:color w:val="auto"/>
                <w:sz w:val="21"/>
                <w:szCs w:val="21"/>
                <w:lang w:eastAsia="zh-CN"/>
              </w:rPr>
              <w:t>细部</w:t>
            </w:r>
          </w:p>
        </w:tc>
        <w:tc>
          <w:tcPr>
            <w:tcW w:w="2069" w:type="dxa"/>
            <w:gridSpan w:val="2"/>
            <w:vAlign w:val="center"/>
          </w:tcPr>
          <w:p w14:paraId="6CAF0AB0">
            <w:pPr>
              <w:jc w:val="center"/>
              <w:rPr>
                <w:color w:val="auto"/>
                <w:sz w:val="20"/>
                <w:szCs w:val="20"/>
              </w:rPr>
            </w:pPr>
          </w:p>
        </w:tc>
        <w:tc>
          <w:tcPr>
            <w:tcW w:w="1418" w:type="dxa"/>
            <w:vAlign w:val="center"/>
          </w:tcPr>
          <w:p w14:paraId="5B1E5BD7">
            <w:pPr>
              <w:jc w:val="center"/>
              <w:rPr>
                <w:color w:val="auto"/>
                <w:sz w:val="20"/>
                <w:szCs w:val="20"/>
              </w:rPr>
            </w:pPr>
          </w:p>
        </w:tc>
        <w:tc>
          <w:tcPr>
            <w:tcW w:w="1134" w:type="dxa"/>
            <w:vAlign w:val="center"/>
          </w:tcPr>
          <w:p w14:paraId="0339A9C5">
            <w:pPr>
              <w:jc w:val="center"/>
              <w:rPr>
                <w:color w:val="auto"/>
                <w:sz w:val="20"/>
                <w:szCs w:val="20"/>
              </w:rPr>
            </w:pPr>
          </w:p>
        </w:tc>
        <w:tc>
          <w:tcPr>
            <w:tcW w:w="1275" w:type="dxa"/>
            <w:vAlign w:val="center"/>
          </w:tcPr>
          <w:p w14:paraId="7C384449">
            <w:pPr>
              <w:jc w:val="center"/>
              <w:rPr>
                <w:color w:val="auto"/>
                <w:sz w:val="20"/>
                <w:szCs w:val="20"/>
              </w:rPr>
            </w:pPr>
          </w:p>
        </w:tc>
        <w:tc>
          <w:tcPr>
            <w:tcW w:w="1276" w:type="dxa"/>
            <w:vAlign w:val="center"/>
          </w:tcPr>
          <w:p w14:paraId="1CE933B1">
            <w:pPr>
              <w:jc w:val="center"/>
              <w:rPr>
                <w:color w:val="auto"/>
                <w:sz w:val="20"/>
                <w:szCs w:val="20"/>
              </w:rPr>
            </w:pPr>
          </w:p>
        </w:tc>
        <w:tc>
          <w:tcPr>
            <w:tcW w:w="1199" w:type="dxa"/>
            <w:vAlign w:val="center"/>
          </w:tcPr>
          <w:p w14:paraId="131AAB58">
            <w:pPr>
              <w:jc w:val="center"/>
              <w:rPr>
                <w:color w:val="auto"/>
                <w:sz w:val="20"/>
                <w:szCs w:val="20"/>
              </w:rPr>
            </w:pPr>
          </w:p>
        </w:tc>
      </w:tr>
      <w:tr w14:paraId="4E8116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4964AA86">
            <w:pPr>
              <w:jc w:val="center"/>
              <w:rPr>
                <w:color w:val="auto"/>
                <w:szCs w:val="21"/>
              </w:rPr>
            </w:pPr>
          </w:p>
        </w:tc>
        <w:tc>
          <w:tcPr>
            <w:tcW w:w="655" w:type="dxa"/>
            <w:vMerge w:val="continue"/>
            <w:vAlign w:val="center"/>
          </w:tcPr>
          <w:p w14:paraId="431B5EF6">
            <w:pPr>
              <w:jc w:val="center"/>
              <w:rPr>
                <w:color w:val="auto"/>
                <w:szCs w:val="21"/>
              </w:rPr>
            </w:pPr>
          </w:p>
        </w:tc>
        <w:tc>
          <w:tcPr>
            <w:tcW w:w="2069" w:type="dxa"/>
            <w:gridSpan w:val="2"/>
            <w:vAlign w:val="center"/>
          </w:tcPr>
          <w:p w14:paraId="4D5FCC93">
            <w:pPr>
              <w:jc w:val="center"/>
              <w:rPr>
                <w:color w:val="auto"/>
                <w:sz w:val="20"/>
                <w:szCs w:val="20"/>
              </w:rPr>
            </w:pPr>
          </w:p>
        </w:tc>
        <w:tc>
          <w:tcPr>
            <w:tcW w:w="1418" w:type="dxa"/>
            <w:vAlign w:val="center"/>
          </w:tcPr>
          <w:p w14:paraId="14DBB227">
            <w:pPr>
              <w:jc w:val="center"/>
              <w:rPr>
                <w:color w:val="auto"/>
                <w:sz w:val="20"/>
                <w:szCs w:val="20"/>
              </w:rPr>
            </w:pPr>
          </w:p>
        </w:tc>
        <w:tc>
          <w:tcPr>
            <w:tcW w:w="1134" w:type="dxa"/>
            <w:vAlign w:val="center"/>
          </w:tcPr>
          <w:p w14:paraId="425784CD">
            <w:pPr>
              <w:jc w:val="center"/>
              <w:rPr>
                <w:color w:val="auto"/>
                <w:sz w:val="20"/>
                <w:szCs w:val="20"/>
              </w:rPr>
            </w:pPr>
          </w:p>
        </w:tc>
        <w:tc>
          <w:tcPr>
            <w:tcW w:w="1275" w:type="dxa"/>
            <w:vAlign w:val="center"/>
          </w:tcPr>
          <w:p w14:paraId="638F8E26">
            <w:pPr>
              <w:jc w:val="center"/>
              <w:rPr>
                <w:color w:val="auto"/>
                <w:sz w:val="20"/>
                <w:szCs w:val="20"/>
              </w:rPr>
            </w:pPr>
          </w:p>
        </w:tc>
        <w:tc>
          <w:tcPr>
            <w:tcW w:w="1276" w:type="dxa"/>
            <w:vAlign w:val="center"/>
          </w:tcPr>
          <w:p w14:paraId="1843785D">
            <w:pPr>
              <w:jc w:val="center"/>
              <w:rPr>
                <w:color w:val="auto"/>
                <w:sz w:val="20"/>
                <w:szCs w:val="20"/>
              </w:rPr>
            </w:pPr>
          </w:p>
        </w:tc>
        <w:tc>
          <w:tcPr>
            <w:tcW w:w="1199" w:type="dxa"/>
            <w:vAlign w:val="center"/>
          </w:tcPr>
          <w:p w14:paraId="69E5DC2B">
            <w:pPr>
              <w:jc w:val="center"/>
              <w:rPr>
                <w:color w:val="auto"/>
                <w:sz w:val="20"/>
                <w:szCs w:val="20"/>
              </w:rPr>
            </w:pPr>
          </w:p>
        </w:tc>
      </w:tr>
      <w:tr w14:paraId="4B0900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353" w:type="dxa"/>
            <w:vMerge w:val="continue"/>
            <w:vAlign w:val="center"/>
          </w:tcPr>
          <w:p w14:paraId="2AC235D0">
            <w:pPr>
              <w:jc w:val="center"/>
              <w:rPr>
                <w:color w:val="auto"/>
                <w:szCs w:val="21"/>
              </w:rPr>
            </w:pPr>
          </w:p>
        </w:tc>
        <w:tc>
          <w:tcPr>
            <w:tcW w:w="655" w:type="dxa"/>
            <w:vMerge w:val="continue"/>
            <w:vAlign w:val="center"/>
          </w:tcPr>
          <w:p w14:paraId="38B12F6B">
            <w:pPr>
              <w:jc w:val="center"/>
              <w:rPr>
                <w:color w:val="auto"/>
                <w:szCs w:val="21"/>
              </w:rPr>
            </w:pPr>
          </w:p>
        </w:tc>
        <w:tc>
          <w:tcPr>
            <w:tcW w:w="2069" w:type="dxa"/>
            <w:gridSpan w:val="2"/>
            <w:vAlign w:val="center"/>
          </w:tcPr>
          <w:p w14:paraId="44E24A37">
            <w:pPr>
              <w:jc w:val="center"/>
              <w:rPr>
                <w:color w:val="auto"/>
                <w:spacing w:val="8"/>
                <w:sz w:val="20"/>
                <w:szCs w:val="20"/>
              </w:rPr>
            </w:pPr>
          </w:p>
        </w:tc>
        <w:tc>
          <w:tcPr>
            <w:tcW w:w="1418" w:type="dxa"/>
            <w:vAlign w:val="center"/>
          </w:tcPr>
          <w:p w14:paraId="1B9305C8">
            <w:pPr>
              <w:jc w:val="center"/>
              <w:rPr>
                <w:color w:val="auto"/>
                <w:sz w:val="20"/>
                <w:szCs w:val="20"/>
              </w:rPr>
            </w:pPr>
          </w:p>
        </w:tc>
        <w:tc>
          <w:tcPr>
            <w:tcW w:w="1134" w:type="dxa"/>
            <w:vAlign w:val="center"/>
          </w:tcPr>
          <w:p w14:paraId="7708C3DB">
            <w:pPr>
              <w:jc w:val="center"/>
              <w:rPr>
                <w:color w:val="auto"/>
                <w:sz w:val="20"/>
                <w:szCs w:val="20"/>
              </w:rPr>
            </w:pPr>
          </w:p>
        </w:tc>
        <w:tc>
          <w:tcPr>
            <w:tcW w:w="1275" w:type="dxa"/>
            <w:vAlign w:val="center"/>
          </w:tcPr>
          <w:p w14:paraId="059875E2">
            <w:pPr>
              <w:jc w:val="center"/>
              <w:rPr>
                <w:color w:val="auto"/>
                <w:sz w:val="20"/>
                <w:szCs w:val="20"/>
              </w:rPr>
            </w:pPr>
          </w:p>
        </w:tc>
        <w:tc>
          <w:tcPr>
            <w:tcW w:w="1276" w:type="dxa"/>
            <w:vAlign w:val="center"/>
          </w:tcPr>
          <w:p w14:paraId="57753903">
            <w:pPr>
              <w:jc w:val="center"/>
              <w:rPr>
                <w:color w:val="auto"/>
                <w:sz w:val="20"/>
                <w:szCs w:val="20"/>
              </w:rPr>
            </w:pPr>
          </w:p>
        </w:tc>
        <w:tc>
          <w:tcPr>
            <w:tcW w:w="1199" w:type="dxa"/>
            <w:vAlign w:val="center"/>
          </w:tcPr>
          <w:p w14:paraId="56911C7C">
            <w:pPr>
              <w:jc w:val="center"/>
              <w:rPr>
                <w:color w:val="auto"/>
                <w:sz w:val="20"/>
                <w:szCs w:val="20"/>
              </w:rPr>
            </w:pPr>
          </w:p>
        </w:tc>
      </w:tr>
      <w:tr w14:paraId="63B87E2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4" w:hRule="atLeast"/>
          <w:jc w:val="center"/>
        </w:trPr>
        <w:tc>
          <w:tcPr>
            <w:tcW w:w="353" w:type="dxa"/>
            <w:vMerge w:val="restart"/>
            <w:vAlign w:val="center"/>
          </w:tcPr>
          <w:p w14:paraId="681A6BDB">
            <w:pPr>
              <w:jc w:val="center"/>
              <w:rPr>
                <w:color w:val="auto"/>
                <w:szCs w:val="21"/>
              </w:rPr>
            </w:pPr>
            <w:r>
              <w:rPr>
                <w:rFonts w:hint="eastAsia"/>
                <w:color w:val="auto"/>
                <w:szCs w:val="21"/>
              </w:rPr>
              <w:t>8</w:t>
            </w:r>
          </w:p>
        </w:tc>
        <w:tc>
          <w:tcPr>
            <w:tcW w:w="655" w:type="dxa"/>
            <w:vMerge w:val="restart"/>
            <w:vAlign w:val="center"/>
          </w:tcPr>
          <w:p w14:paraId="11C4D20D">
            <w:pPr>
              <w:jc w:val="center"/>
              <w:rPr>
                <w:color w:val="auto"/>
                <w:szCs w:val="21"/>
              </w:rPr>
            </w:pPr>
            <w:r>
              <w:rPr>
                <w:rFonts w:hint="eastAsia"/>
                <w:color w:val="auto"/>
                <w:szCs w:val="21"/>
              </w:rPr>
              <w:t>其他</w:t>
            </w:r>
          </w:p>
        </w:tc>
        <w:tc>
          <w:tcPr>
            <w:tcW w:w="2069" w:type="dxa"/>
            <w:gridSpan w:val="2"/>
            <w:tcBorders>
              <w:right w:val="single" w:color="auto" w:sz="4" w:space="0"/>
            </w:tcBorders>
            <w:vAlign w:val="center"/>
          </w:tcPr>
          <w:p w14:paraId="41A8AE84">
            <w:pPr>
              <w:jc w:val="center"/>
              <w:rPr>
                <w:color w:val="auto"/>
                <w:spacing w:val="8"/>
                <w:sz w:val="20"/>
                <w:szCs w:val="20"/>
              </w:rPr>
            </w:pPr>
          </w:p>
        </w:tc>
        <w:tc>
          <w:tcPr>
            <w:tcW w:w="1418" w:type="dxa"/>
            <w:tcBorders>
              <w:left w:val="single" w:color="auto" w:sz="4" w:space="0"/>
              <w:bottom w:val="single" w:color="auto" w:sz="4" w:space="0"/>
              <w:right w:val="single" w:color="auto" w:sz="4" w:space="0"/>
            </w:tcBorders>
            <w:vAlign w:val="center"/>
          </w:tcPr>
          <w:p w14:paraId="173B826D">
            <w:pPr>
              <w:jc w:val="center"/>
              <w:rPr>
                <w:color w:val="auto"/>
                <w:sz w:val="20"/>
                <w:szCs w:val="20"/>
              </w:rPr>
            </w:pPr>
          </w:p>
        </w:tc>
        <w:tc>
          <w:tcPr>
            <w:tcW w:w="1134" w:type="dxa"/>
            <w:tcBorders>
              <w:left w:val="single" w:color="auto" w:sz="4" w:space="0"/>
              <w:bottom w:val="single" w:color="auto" w:sz="4" w:space="0"/>
              <w:right w:val="single" w:color="auto" w:sz="4" w:space="0"/>
            </w:tcBorders>
            <w:vAlign w:val="center"/>
          </w:tcPr>
          <w:p w14:paraId="2689B88F">
            <w:pPr>
              <w:jc w:val="center"/>
              <w:rPr>
                <w:color w:val="auto"/>
                <w:sz w:val="20"/>
                <w:szCs w:val="20"/>
              </w:rPr>
            </w:pPr>
          </w:p>
        </w:tc>
        <w:tc>
          <w:tcPr>
            <w:tcW w:w="1275" w:type="dxa"/>
            <w:tcBorders>
              <w:left w:val="single" w:color="auto" w:sz="4" w:space="0"/>
              <w:bottom w:val="single" w:color="auto" w:sz="4" w:space="0"/>
              <w:right w:val="single" w:color="auto" w:sz="4" w:space="0"/>
            </w:tcBorders>
            <w:vAlign w:val="center"/>
          </w:tcPr>
          <w:p w14:paraId="7EDCDD79">
            <w:pPr>
              <w:jc w:val="center"/>
              <w:rPr>
                <w:color w:val="auto"/>
                <w:sz w:val="20"/>
                <w:szCs w:val="20"/>
              </w:rPr>
            </w:pPr>
          </w:p>
        </w:tc>
        <w:tc>
          <w:tcPr>
            <w:tcW w:w="1276" w:type="dxa"/>
            <w:tcBorders>
              <w:left w:val="single" w:color="auto" w:sz="4" w:space="0"/>
              <w:bottom w:val="single" w:color="auto" w:sz="4" w:space="0"/>
              <w:right w:val="single" w:color="auto" w:sz="4" w:space="0"/>
            </w:tcBorders>
            <w:vAlign w:val="center"/>
          </w:tcPr>
          <w:p w14:paraId="21EB3F7A">
            <w:pPr>
              <w:jc w:val="center"/>
              <w:rPr>
                <w:color w:val="auto"/>
                <w:sz w:val="20"/>
                <w:szCs w:val="20"/>
              </w:rPr>
            </w:pPr>
          </w:p>
        </w:tc>
        <w:tc>
          <w:tcPr>
            <w:tcW w:w="1199" w:type="dxa"/>
            <w:tcBorders>
              <w:left w:val="single" w:color="auto" w:sz="4" w:space="0"/>
              <w:bottom w:val="single" w:color="auto" w:sz="4" w:space="0"/>
            </w:tcBorders>
            <w:vAlign w:val="center"/>
          </w:tcPr>
          <w:p w14:paraId="343909AA">
            <w:pPr>
              <w:jc w:val="center"/>
              <w:rPr>
                <w:color w:val="auto"/>
                <w:sz w:val="20"/>
                <w:szCs w:val="20"/>
              </w:rPr>
            </w:pPr>
          </w:p>
        </w:tc>
      </w:tr>
      <w:tr w14:paraId="371B8C0C">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4" w:hRule="atLeast"/>
          <w:jc w:val="center"/>
        </w:trPr>
        <w:tc>
          <w:tcPr>
            <w:tcW w:w="353" w:type="dxa"/>
            <w:vMerge w:val="continue"/>
            <w:vAlign w:val="center"/>
          </w:tcPr>
          <w:p w14:paraId="12BD9F21">
            <w:pPr>
              <w:jc w:val="center"/>
              <w:rPr>
                <w:color w:val="auto"/>
                <w:szCs w:val="21"/>
              </w:rPr>
            </w:pPr>
          </w:p>
        </w:tc>
        <w:tc>
          <w:tcPr>
            <w:tcW w:w="655" w:type="dxa"/>
            <w:vMerge w:val="continue"/>
            <w:vAlign w:val="center"/>
          </w:tcPr>
          <w:p w14:paraId="6A51F0AB">
            <w:pPr>
              <w:jc w:val="center"/>
              <w:rPr>
                <w:color w:val="auto"/>
                <w:szCs w:val="21"/>
              </w:rPr>
            </w:pPr>
          </w:p>
        </w:tc>
        <w:tc>
          <w:tcPr>
            <w:tcW w:w="2069" w:type="dxa"/>
            <w:gridSpan w:val="2"/>
            <w:tcBorders>
              <w:right w:val="single" w:color="auto" w:sz="4" w:space="0"/>
            </w:tcBorders>
            <w:vAlign w:val="center"/>
          </w:tcPr>
          <w:p w14:paraId="7D3719AE">
            <w:pPr>
              <w:jc w:val="center"/>
              <w:rPr>
                <w:color w:val="auto"/>
                <w:spacing w:val="8"/>
                <w:sz w:val="20"/>
                <w:szCs w:val="20"/>
              </w:rPr>
            </w:pPr>
          </w:p>
        </w:tc>
        <w:tc>
          <w:tcPr>
            <w:tcW w:w="1418" w:type="dxa"/>
            <w:tcBorders>
              <w:top w:val="single" w:color="auto" w:sz="4" w:space="0"/>
              <w:left w:val="single" w:color="auto" w:sz="4" w:space="0"/>
              <w:bottom w:val="single" w:color="auto" w:sz="4" w:space="0"/>
              <w:right w:val="single" w:color="auto" w:sz="4" w:space="0"/>
            </w:tcBorders>
            <w:vAlign w:val="center"/>
          </w:tcPr>
          <w:p w14:paraId="6DA9C8EF">
            <w:pPr>
              <w:jc w:val="center"/>
              <w:rPr>
                <w:color w:val="auto"/>
                <w:sz w:val="2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7A95E9B3">
            <w:pPr>
              <w:jc w:val="center"/>
              <w:rPr>
                <w:color w:val="auto"/>
                <w:sz w:val="20"/>
                <w:szCs w:val="20"/>
              </w:rPr>
            </w:pPr>
          </w:p>
        </w:tc>
        <w:tc>
          <w:tcPr>
            <w:tcW w:w="1275" w:type="dxa"/>
            <w:tcBorders>
              <w:top w:val="single" w:color="auto" w:sz="4" w:space="0"/>
              <w:left w:val="single" w:color="auto" w:sz="4" w:space="0"/>
              <w:bottom w:val="single" w:color="auto" w:sz="4" w:space="0"/>
              <w:right w:val="single" w:color="auto" w:sz="4" w:space="0"/>
            </w:tcBorders>
            <w:vAlign w:val="center"/>
          </w:tcPr>
          <w:p w14:paraId="64048FA7">
            <w:pPr>
              <w:jc w:val="center"/>
              <w:rPr>
                <w:color w:val="auto"/>
                <w:sz w:val="20"/>
                <w:szCs w:val="20"/>
              </w:rPr>
            </w:pPr>
          </w:p>
        </w:tc>
        <w:tc>
          <w:tcPr>
            <w:tcW w:w="1276" w:type="dxa"/>
            <w:tcBorders>
              <w:top w:val="single" w:color="auto" w:sz="4" w:space="0"/>
              <w:left w:val="single" w:color="auto" w:sz="4" w:space="0"/>
              <w:bottom w:val="single" w:color="auto" w:sz="4" w:space="0"/>
              <w:right w:val="single" w:color="auto" w:sz="4" w:space="0"/>
            </w:tcBorders>
            <w:vAlign w:val="center"/>
          </w:tcPr>
          <w:p w14:paraId="3C186D3C">
            <w:pPr>
              <w:jc w:val="center"/>
              <w:rPr>
                <w:color w:val="auto"/>
                <w:sz w:val="20"/>
                <w:szCs w:val="20"/>
              </w:rPr>
            </w:pPr>
          </w:p>
        </w:tc>
        <w:tc>
          <w:tcPr>
            <w:tcW w:w="1199" w:type="dxa"/>
            <w:tcBorders>
              <w:top w:val="single" w:color="auto" w:sz="4" w:space="0"/>
              <w:left w:val="single" w:color="auto" w:sz="4" w:space="0"/>
              <w:bottom w:val="single" w:color="auto" w:sz="4" w:space="0"/>
            </w:tcBorders>
            <w:vAlign w:val="center"/>
          </w:tcPr>
          <w:p w14:paraId="27923FF4">
            <w:pPr>
              <w:jc w:val="center"/>
              <w:rPr>
                <w:color w:val="auto"/>
                <w:sz w:val="20"/>
                <w:szCs w:val="20"/>
              </w:rPr>
            </w:pPr>
          </w:p>
        </w:tc>
      </w:tr>
      <w:tr w14:paraId="0E0BD0C3">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4" w:hRule="atLeast"/>
          <w:jc w:val="center"/>
        </w:trPr>
        <w:tc>
          <w:tcPr>
            <w:tcW w:w="353" w:type="dxa"/>
            <w:vMerge w:val="continue"/>
            <w:vAlign w:val="center"/>
          </w:tcPr>
          <w:p w14:paraId="78454F11">
            <w:pPr>
              <w:jc w:val="center"/>
              <w:rPr>
                <w:color w:val="auto"/>
                <w:szCs w:val="21"/>
              </w:rPr>
            </w:pPr>
          </w:p>
        </w:tc>
        <w:tc>
          <w:tcPr>
            <w:tcW w:w="655" w:type="dxa"/>
            <w:vMerge w:val="continue"/>
            <w:vAlign w:val="center"/>
          </w:tcPr>
          <w:p w14:paraId="02792A81">
            <w:pPr>
              <w:jc w:val="center"/>
              <w:rPr>
                <w:color w:val="auto"/>
                <w:szCs w:val="21"/>
              </w:rPr>
            </w:pPr>
          </w:p>
        </w:tc>
        <w:tc>
          <w:tcPr>
            <w:tcW w:w="2069" w:type="dxa"/>
            <w:gridSpan w:val="2"/>
            <w:tcBorders>
              <w:right w:val="single" w:color="auto" w:sz="4" w:space="0"/>
            </w:tcBorders>
            <w:vAlign w:val="center"/>
          </w:tcPr>
          <w:p w14:paraId="4B0BD9CF">
            <w:pPr>
              <w:jc w:val="center"/>
              <w:rPr>
                <w:color w:val="auto"/>
                <w:spacing w:val="8"/>
                <w:sz w:val="20"/>
                <w:szCs w:val="20"/>
              </w:rPr>
            </w:pPr>
          </w:p>
        </w:tc>
        <w:tc>
          <w:tcPr>
            <w:tcW w:w="1418" w:type="dxa"/>
            <w:tcBorders>
              <w:top w:val="single" w:color="auto" w:sz="4" w:space="0"/>
              <w:left w:val="single" w:color="auto" w:sz="4" w:space="0"/>
              <w:bottom w:val="single" w:color="auto" w:sz="4" w:space="0"/>
              <w:right w:val="single" w:color="auto" w:sz="4" w:space="0"/>
            </w:tcBorders>
            <w:vAlign w:val="center"/>
          </w:tcPr>
          <w:p w14:paraId="2C0D7F3E">
            <w:pPr>
              <w:jc w:val="center"/>
              <w:rPr>
                <w:color w:val="auto"/>
                <w:sz w:val="20"/>
                <w:szCs w:val="20"/>
              </w:rPr>
            </w:pPr>
          </w:p>
        </w:tc>
        <w:tc>
          <w:tcPr>
            <w:tcW w:w="1134" w:type="dxa"/>
            <w:tcBorders>
              <w:top w:val="single" w:color="auto" w:sz="4" w:space="0"/>
              <w:left w:val="single" w:color="auto" w:sz="4" w:space="0"/>
              <w:bottom w:val="single" w:color="auto" w:sz="4" w:space="0"/>
              <w:right w:val="single" w:color="auto" w:sz="4" w:space="0"/>
            </w:tcBorders>
            <w:vAlign w:val="center"/>
          </w:tcPr>
          <w:p w14:paraId="6975E0B2">
            <w:pPr>
              <w:jc w:val="center"/>
              <w:rPr>
                <w:color w:val="auto"/>
                <w:sz w:val="20"/>
                <w:szCs w:val="20"/>
              </w:rPr>
            </w:pPr>
          </w:p>
        </w:tc>
        <w:tc>
          <w:tcPr>
            <w:tcW w:w="1275" w:type="dxa"/>
            <w:tcBorders>
              <w:top w:val="single" w:color="auto" w:sz="4" w:space="0"/>
              <w:left w:val="single" w:color="auto" w:sz="4" w:space="0"/>
              <w:bottom w:val="single" w:color="auto" w:sz="4" w:space="0"/>
              <w:right w:val="single" w:color="auto" w:sz="4" w:space="0"/>
            </w:tcBorders>
            <w:vAlign w:val="center"/>
          </w:tcPr>
          <w:p w14:paraId="15C2771A">
            <w:pPr>
              <w:jc w:val="center"/>
              <w:rPr>
                <w:color w:val="auto"/>
                <w:sz w:val="20"/>
                <w:szCs w:val="20"/>
              </w:rPr>
            </w:pPr>
          </w:p>
        </w:tc>
        <w:tc>
          <w:tcPr>
            <w:tcW w:w="1276" w:type="dxa"/>
            <w:tcBorders>
              <w:top w:val="single" w:color="auto" w:sz="4" w:space="0"/>
              <w:left w:val="single" w:color="auto" w:sz="4" w:space="0"/>
              <w:bottom w:val="single" w:color="auto" w:sz="4" w:space="0"/>
              <w:right w:val="single" w:color="auto" w:sz="4" w:space="0"/>
            </w:tcBorders>
            <w:vAlign w:val="center"/>
          </w:tcPr>
          <w:p w14:paraId="71B8CB67">
            <w:pPr>
              <w:jc w:val="center"/>
              <w:rPr>
                <w:color w:val="auto"/>
                <w:sz w:val="20"/>
                <w:szCs w:val="20"/>
              </w:rPr>
            </w:pPr>
          </w:p>
        </w:tc>
        <w:tc>
          <w:tcPr>
            <w:tcW w:w="1199" w:type="dxa"/>
            <w:tcBorders>
              <w:top w:val="single" w:color="auto" w:sz="4" w:space="0"/>
              <w:left w:val="single" w:color="auto" w:sz="4" w:space="0"/>
              <w:bottom w:val="single" w:color="auto" w:sz="4" w:space="0"/>
            </w:tcBorders>
            <w:vAlign w:val="center"/>
          </w:tcPr>
          <w:p w14:paraId="48E952BF">
            <w:pPr>
              <w:jc w:val="center"/>
              <w:rPr>
                <w:color w:val="auto"/>
                <w:sz w:val="20"/>
                <w:szCs w:val="20"/>
              </w:rPr>
            </w:pPr>
          </w:p>
        </w:tc>
      </w:tr>
      <w:tr w14:paraId="1ED51BB1">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1701" w:hRule="atLeast"/>
          <w:jc w:val="center"/>
        </w:trPr>
        <w:tc>
          <w:tcPr>
            <w:tcW w:w="9379" w:type="dxa"/>
            <w:gridSpan w:val="9"/>
            <w:vAlign w:val="center"/>
          </w:tcPr>
          <w:p w14:paraId="686406A3">
            <w:pPr>
              <w:ind w:left="5669"/>
              <w:jc w:val="left"/>
              <w:rPr>
                <w:color w:val="auto"/>
                <w:spacing w:val="-3"/>
                <w:szCs w:val="21"/>
              </w:rPr>
            </w:pPr>
          </w:p>
          <w:p w14:paraId="2CC7B8FF">
            <w:pPr>
              <w:ind w:left="5669"/>
              <w:jc w:val="left"/>
              <w:rPr>
                <w:color w:val="auto"/>
                <w:spacing w:val="-3"/>
                <w:szCs w:val="21"/>
              </w:rPr>
            </w:pPr>
          </w:p>
          <w:p w14:paraId="76C058EE">
            <w:pPr>
              <w:adjustRightInd w:val="0"/>
              <w:snapToGrid w:val="0"/>
              <w:ind w:left="5669"/>
              <w:rPr>
                <w:color w:val="auto"/>
                <w:spacing w:val="-3"/>
                <w:szCs w:val="21"/>
              </w:rPr>
            </w:pPr>
            <w:r>
              <w:rPr>
                <w:color w:val="auto"/>
                <w:spacing w:val="-3"/>
                <w:szCs w:val="21"/>
              </w:rPr>
              <w:t>模块</w:t>
            </w:r>
            <w:r>
              <w:rPr>
                <w:rFonts w:hint="eastAsia"/>
                <w:color w:val="auto"/>
                <w:spacing w:val="-3"/>
                <w:szCs w:val="21"/>
              </w:rPr>
              <w:t>单元生产</w:t>
            </w:r>
            <w:r>
              <w:rPr>
                <w:color w:val="auto"/>
                <w:spacing w:val="-3"/>
                <w:szCs w:val="21"/>
              </w:rPr>
              <w:t>单位</w:t>
            </w:r>
          </w:p>
          <w:p w14:paraId="4830935C">
            <w:pPr>
              <w:adjustRightInd w:val="0"/>
              <w:snapToGrid w:val="0"/>
              <w:ind w:left="5669"/>
              <w:rPr>
                <w:color w:val="auto"/>
                <w:spacing w:val="-3"/>
                <w:szCs w:val="21"/>
              </w:rPr>
            </w:pPr>
            <w:r>
              <w:rPr>
                <w:color w:val="auto"/>
                <w:spacing w:val="-3"/>
                <w:szCs w:val="21"/>
              </w:rPr>
              <w:t>项目负责人：</w:t>
            </w:r>
          </w:p>
          <w:p w14:paraId="6E5AD2F5">
            <w:pPr>
              <w:pStyle w:val="34"/>
              <w:adjustRightInd w:val="0"/>
              <w:snapToGrid w:val="0"/>
              <w:jc w:val="right"/>
              <w:rPr>
                <w:rFonts w:eastAsia="宋体"/>
                <w:color w:val="auto"/>
                <w:spacing w:val="-7"/>
                <w:sz w:val="21"/>
                <w:szCs w:val="21"/>
                <w:lang w:eastAsia="zh-CN"/>
              </w:rPr>
            </w:pPr>
          </w:p>
          <w:p w14:paraId="010D1EBB">
            <w:pPr>
              <w:pStyle w:val="34"/>
              <w:adjustRightInd w:val="0"/>
              <w:snapToGrid w:val="0"/>
              <w:jc w:val="right"/>
              <w:rPr>
                <w:rFonts w:eastAsia="宋体"/>
                <w:color w:val="auto"/>
                <w:sz w:val="21"/>
                <w:szCs w:val="21"/>
                <w:lang w:eastAsia="zh-CN"/>
              </w:rPr>
            </w:pPr>
            <w:r>
              <w:rPr>
                <w:rFonts w:eastAsia="宋体"/>
                <w:color w:val="auto"/>
                <w:spacing w:val="-7"/>
                <w:sz w:val="21"/>
                <w:szCs w:val="21"/>
              </w:rPr>
              <w:t>年</w:t>
            </w:r>
            <w:r>
              <w:rPr>
                <w:rFonts w:eastAsia="宋体"/>
                <w:color w:val="auto"/>
                <w:spacing w:val="3"/>
                <w:sz w:val="21"/>
                <w:szCs w:val="21"/>
              </w:rPr>
              <w:t xml:space="preserve">    </w:t>
            </w:r>
            <w:r>
              <w:rPr>
                <w:rFonts w:eastAsia="宋体"/>
                <w:color w:val="auto"/>
                <w:spacing w:val="-7"/>
                <w:sz w:val="21"/>
                <w:szCs w:val="21"/>
              </w:rPr>
              <w:t>月</w:t>
            </w:r>
            <w:r>
              <w:rPr>
                <w:rFonts w:eastAsia="宋体"/>
                <w:color w:val="auto"/>
                <w:spacing w:val="9"/>
                <w:sz w:val="21"/>
                <w:szCs w:val="21"/>
              </w:rPr>
              <w:t xml:space="preserve">    </w:t>
            </w:r>
            <w:r>
              <w:rPr>
                <w:rFonts w:eastAsia="宋体"/>
                <w:color w:val="auto"/>
                <w:spacing w:val="-7"/>
                <w:sz w:val="21"/>
                <w:szCs w:val="21"/>
              </w:rPr>
              <w:t>日</w:t>
            </w:r>
          </w:p>
        </w:tc>
      </w:tr>
      <w:tr w14:paraId="7FA9FF0B">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1701" w:hRule="atLeast"/>
          <w:jc w:val="center"/>
        </w:trPr>
        <w:tc>
          <w:tcPr>
            <w:tcW w:w="9379" w:type="dxa"/>
            <w:gridSpan w:val="9"/>
            <w:vAlign w:val="center"/>
          </w:tcPr>
          <w:p w14:paraId="31F3167E">
            <w:pPr>
              <w:ind w:left="5669"/>
              <w:jc w:val="left"/>
              <w:rPr>
                <w:color w:val="auto"/>
                <w:spacing w:val="-3"/>
                <w:szCs w:val="21"/>
              </w:rPr>
            </w:pPr>
          </w:p>
          <w:p w14:paraId="3E0A45EC">
            <w:pPr>
              <w:ind w:left="5669"/>
              <w:jc w:val="left"/>
              <w:rPr>
                <w:color w:val="auto"/>
                <w:spacing w:val="-3"/>
                <w:szCs w:val="21"/>
              </w:rPr>
            </w:pPr>
          </w:p>
          <w:p w14:paraId="0791C968">
            <w:pPr>
              <w:adjustRightInd w:val="0"/>
              <w:snapToGrid w:val="0"/>
              <w:ind w:left="5669"/>
              <w:rPr>
                <w:color w:val="auto"/>
                <w:spacing w:val="-3"/>
                <w:szCs w:val="21"/>
              </w:rPr>
            </w:pPr>
            <w:r>
              <w:rPr>
                <w:color w:val="auto"/>
                <w:spacing w:val="-3"/>
                <w:szCs w:val="21"/>
              </w:rPr>
              <w:t>监理单位</w:t>
            </w:r>
          </w:p>
          <w:p w14:paraId="14817967">
            <w:pPr>
              <w:adjustRightInd w:val="0"/>
              <w:snapToGrid w:val="0"/>
              <w:ind w:left="5669"/>
              <w:rPr>
                <w:color w:val="auto"/>
                <w:spacing w:val="-3"/>
                <w:szCs w:val="21"/>
              </w:rPr>
            </w:pPr>
            <w:r>
              <w:rPr>
                <w:color w:val="auto"/>
                <w:spacing w:val="-3"/>
                <w:szCs w:val="21"/>
              </w:rPr>
              <w:t>专业监理工程师：</w:t>
            </w:r>
          </w:p>
          <w:p w14:paraId="29674477">
            <w:pPr>
              <w:pStyle w:val="34"/>
              <w:adjustRightInd w:val="0"/>
              <w:snapToGrid w:val="0"/>
              <w:jc w:val="right"/>
              <w:rPr>
                <w:rFonts w:eastAsia="宋体"/>
                <w:color w:val="auto"/>
                <w:spacing w:val="-7"/>
                <w:sz w:val="21"/>
                <w:szCs w:val="21"/>
                <w:lang w:eastAsia="zh-CN"/>
              </w:rPr>
            </w:pPr>
          </w:p>
          <w:p w14:paraId="42837D7A">
            <w:pPr>
              <w:jc w:val="right"/>
              <w:rPr>
                <w:color w:val="auto"/>
                <w:spacing w:val="-7"/>
                <w:szCs w:val="21"/>
              </w:rPr>
            </w:pPr>
            <w:r>
              <w:rPr>
                <w:color w:val="auto"/>
                <w:spacing w:val="-7"/>
                <w:szCs w:val="21"/>
              </w:rPr>
              <w:t>年</w:t>
            </w:r>
            <w:r>
              <w:rPr>
                <w:color w:val="auto"/>
                <w:spacing w:val="3"/>
                <w:szCs w:val="21"/>
              </w:rPr>
              <w:t xml:space="preserve">    </w:t>
            </w:r>
            <w:r>
              <w:rPr>
                <w:color w:val="auto"/>
                <w:spacing w:val="-7"/>
                <w:szCs w:val="21"/>
              </w:rPr>
              <w:t>月</w:t>
            </w:r>
            <w:r>
              <w:rPr>
                <w:color w:val="auto"/>
                <w:spacing w:val="9"/>
                <w:szCs w:val="21"/>
              </w:rPr>
              <w:t xml:space="preserve">    </w:t>
            </w:r>
            <w:r>
              <w:rPr>
                <w:color w:val="auto"/>
                <w:spacing w:val="-7"/>
                <w:szCs w:val="21"/>
              </w:rPr>
              <w:t>日</w:t>
            </w:r>
          </w:p>
        </w:tc>
      </w:tr>
    </w:tbl>
    <w:p w14:paraId="26F3C7B8">
      <w:pPr>
        <w:outlineLvl w:val="1"/>
        <w:rPr>
          <w:bCs/>
          <w:color w:val="auto"/>
        </w:rPr>
        <w:sectPr>
          <w:pgSz w:w="11906" w:h="16838"/>
          <w:pgMar w:top="1610" w:right="1349" w:bottom="1213" w:left="1293" w:header="851" w:footer="992" w:gutter="0"/>
          <w:cols w:space="720" w:num="1"/>
          <w:docGrid w:type="linesAndChars" w:linePitch="333" w:charSpace="2165"/>
        </w:sectPr>
      </w:pPr>
    </w:p>
    <w:p w14:paraId="7009D076">
      <w:pPr>
        <w:jc w:val="center"/>
        <w:rPr>
          <w:rFonts w:eastAsia="黑体"/>
          <w:color w:val="auto"/>
          <w:spacing w:val="-1"/>
          <w:szCs w:val="21"/>
        </w:rPr>
      </w:pPr>
      <w:r>
        <w:rPr>
          <w:rFonts w:eastAsia="黑体"/>
          <w:color w:val="auto"/>
          <w:spacing w:val="-1"/>
          <w:szCs w:val="21"/>
        </w:rPr>
        <w:t>表</w:t>
      </w:r>
      <w:r>
        <w:rPr>
          <w:rFonts w:hint="eastAsia" w:eastAsia="黑体"/>
          <w:color w:val="auto"/>
          <w:spacing w:val="-1"/>
          <w:szCs w:val="21"/>
        </w:rPr>
        <w:t>B</w:t>
      </w:r>
      <w:r>
        <w:rPr>
          <w:rFonts w:eastAsia="黑体"/>
          <w:color w:val="auto"/>
          <w:spacing w:val="-1"/>
          <w:szCs w:val="21"/>
        </w:rPr>
        <w:t>.</w:t>
      </w:r>
      <w:r>
        <w:rPr>
          <w:rFonts w:hint="eastAsia" w:eastAsia="黑体"/>
          <w:color w:val="auto"/>
          <w:spacing w:val="-1"/>
          <w:szCs w:val="21"/>
        </w:rPr>
        <w:t>5</w:t>
      </w:r>
      <w:r>
        <w:rPr>
          <w:rFonts w:eastAsia="黑体"/>
          <w:color w:val="auto"/>
          <w:spacing w:val="-1"/>
          <w:szCs w:val="21"/>
        </w:rPr>
        <w:t xml:space="preserve">  模块单元机电质量验收记录表</w:t>
      </w:r>
    </w:p>
    <w:p w14:paraId="71BC3C0C">
      <w:pPr>
        <w:spacing w:line="39" w:lineRule="exact"/>
        <w:rPr>
          <w:color w:val="auto"/>
        </w:rPr>
      </w:pPr>
    </w:p>
    <w:tbl>
      <w:tblPr>
        <w:tblStyle w:val="17"/>
        <w:tblW w:w="10038" w:type="dxa"/>
        <w:jc w:val="center"/>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87"/>
        <w:gridCol w:w="798"/>
        <w:gridCol w:w="795"/>
        <w:gridCol w:w="1545"/>
        <w:gridCol w:w="1304"/>
        <w:gridCol w:w="1207"/>
        <w:gridCol w:w="1231"/>
        <w:gridCol w:w="1337"/>
      </w:tblGrid>
      <w:tr w14:paraId="70C062E5">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07" w:hRule="atLeast"/>
          <w:jc w:val="center"/>
        </w:trPr>
        <w:tc>
          <w:tcPr>
            <w:tcW w:w="2502" w:type="dxa"/>
            <w:gridSpan w:val="3"/>
            <w:vAlign w:val="center"/>
          </w:tcPr>
          <w:p w14:paraId="5551A92B">
            <w:pPr>
              <w:jc w:val="center"/>
              <w:rPr>
                <w:color w:val="auto"/>
                <w:szCs w:val="21"/>
              </w:rPr>
            </w:pPr>
            <w:r>
              <w:rPr>
                <w:color w:val="auto"/>
                <w:spacing w:val="3"/>
                <w:szCs w:val="21"/>
              </w:rPr>
              <w:t>工程名称</w:t>
            </w:r>
          </w:p>
        </w:tc>
        <w:tc>
          <w:tcPr>
            <w:tcW w:w="7092" w:type="dxa"/>
            <w:gridSpan w:val="6"/>
            <w:vAlign w:val="center"/>
          </w:tcPr>
          <w:p w14:paraId="379622B8">
            <w:pPr>
              <w:jc w:val="center"/>
              <w:rPr>
                <w:color w:val="auto"/>
                <w:szCs w:val="21"/>
              </w:rPr>
            </w:pPr>
          </w:p>
        </w:tc>
      </w:tr>
      <w:tr w14:paraId="4D313FED">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86" w:hRule="atLeast"/>
          <w:jc w:val="center"/>
        </w:trPr>
        <w:tc>
          <w:tcPr>
            <w:tcW w:w="2502" w:type="dxa"/>
            <w:gridSpan w:val="3"/>
            <w:vAlign w:val="center"/>
          </w:tcPr>
          <w:p w14:paraId="239E9121">
            <w:pPr>
              <w:adjustRightInd w:val="0"/>
              <w:snapToGrid w:val="0"/>
              <w:jc w:val="center"/>
              <w:rPr>
                <w:color w:val="auto"/>
                <w:szCs w:val="21"/>
              </w:rPr>
            </w:pPr>
            <w:r>
              <w:rPr>
                <w:color w:val="auto"/>
                <w:spacing w:val="7"/>
                <w:szCs w:val="21"/>
              </w:rPr>
              <w:t>模块单元</w:t>
            </w:r>
            <w:r>
              <w:rPr>
                <w:rFonts w:hint="eastAsia"/>
                <w:color w:val="auto"/>
                <w:spacing w:val="7"/>
                <w:szCs w:val="21"/>
              </w:rPr>
              <w:t>型号</w:t>
            </w:r>
          </w:p>
        </w:tc>
        <w:tc>
          <w:tcPr>
            <w:tcW w:w="3483" w:type="dxa"/>
            <w:gridSpan w:val="3"/>
            <w:vAlign w:val="center"/>
          </w:tcPr>
          <w:p w14:paraId="70B8AA49">
            <w:pPr>
              <w:adjustRightInd w:val="0"/>
              <w:snapToGrid w:val="0"/>
              <w:jc w:val="center"/>
              <w:rPr>
                <w:color w:val="auto"/>
                <w:szCs w:val="21"/>
              </w:rPr>
            </w:pPr>
          </w:p>
        </w:tc>
        <w:tc>
          <w:tcPr>
            <w:tcW w:w="1154" w:type="dxa"/>
            <w:vAlign w:val="center"/>
          </w:tcPr>
          <w:p w14:paraId="6D15D6F9">
            <w:pPr>
              <w:adjustRightInd w:val="0"/>
              <w:snapToGrid w:val="0"/>
              <w:jc w:val="center"/>
              <w:rPr>
                <w:color w:val="auto"/>
                <w:szCs w:val="21"/>
              </w:rPr>
            </w:pPr>
            <w:r>
              <w:rPr>
                <w:color w:val="auto"/>
                <w:spacing w:val="5"/>
                <w:szCs w:val="21"/>
              </w:rPr>
              <w:t>产品</w:t>
            </w:r>
            <w:r>
              <w:rPr>
                <w:rFonts w:hint="eastAsia"/>
                <w:color w:val="auto"/>
                <w:spacing w:val="5"/>
                <w:szCs w:val="21"/>
              </w:rPr>
              <w:t>型号</w:t>
            </w:r>
          </w:p>
        </w:tc>
        <w:tc>
          <w:tcPr>
            <w:tcW w:w="2455" w:type="dxa"/>
            <w:gridSpan w:val="2"/>
            <w:vAlign w:val="center"/>
          </w:tcPr>
          <w:p w14:paraId="753195BE">
            <w:pPr>
              <w:adjustRightInd w:val="0"/>
              <w:snapToGrid w:val="0"/>
              <w:jc w:val="center"/>
              <w:rPr>
                <w:color w:val="auto"/>
                <w:szCs w:val="21"/>
              </w:rPr>
            </w:pPr>
          </w:p>
        </w:tc>
      </w:tr>
      <w:tr w14:paraId="700684BD">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86" w:hRule="atLeast"/>
          <w:jc w:val="center"/>
        </w:trPr>
        <w:tc>
          <w:tcPr>
            <w:tcW w:w="2502" w:type="dxa"/>
            <w:gridSpan w:val="3"/>
            <w:vAlign w:val="center"/>
          </w:tcPr>
          <w:p w14:paraId="59A9655E">
            <w:pPr>
              <w:adjustRightInd w:val="0"/>
              <w:snapToGrid w:val="0"/>
              <w:jc w:val="center"/>
              <w:rPr>
                <w:color w:val="auto"/>
                <w:szCs w:val="21"/>
              </w:rPr>
            </w:pPr>
            <w:r>
              <w:rPr>
                <w:rFonts w:hint="eastAsia"/>
                <w:color w:val="auto"/>
                <w:spacing w:val="5"/>
                <w:szCs w:val="21"/>
              </w:rPr>
              <w:t>生产</w:t>
            </w:r>
            <w:r>
              <w:rPr>
                <w:color w:val="auto"/>
                <w:spacing w:val="5"/>
                <w:szCs w:val="21"/>
              </w:rPr>
              <w:t>批次</w:t>
            </w:r>
          </w:p>
        </w:tc>
        <w:tc>
          <w:tcPr>
            <w:tcW w:w="3483" w:type="dxa"/>
            <w:gridSpan w:val="3"/>
            <w:vAlign w:val="center"/>
          </w:tcPr>
          <w:p w14:paraId="32985FDE">
            <w:pPr>
              <w:adjustRightInd w:val="0"/>
              <w:snapToGrid w:val="0"/>
              <w:jc w:val="center"/>
              <w:rPr>
                <w:color w:val="auto"/>
                <w:szCs w:val="21"/>
              </w:rPr>
            </w:pPr>
          </w:p>
        </w:tc>
        <w:tc>
          <w:tcPr>
            <w:tcW w:w="1154" w:type="dxa"/>
            <w:vAlign w:val="center"/>
          </w:tcPr>
          <w:p w14:paraId="60FA9B87">
            <w:pPr>
              <w:adjustRightInd w:val="0"/>
              <w:snapToGrid w:val="0"/>
              <w:jc w:val="center"/>
              <w:rPr>
                <w:color w:val="auto"/>
                <w:szCs w:val="21"/>
              </w:rPr>
            </w:pPr>
            <w:r>
              <w:rPr>
                <w:color w:val="auto"/>
                <w:spacing w:val="5"/>
                <w:szCs w:val="21"/>
              </w:rPr>
              <w:t>检查日期</w:t>
            </w:r>
          </w:p>
        </w:tc>
        <w:tc>
          <w:tcPr>
            <w:tcW w:w="2455" w:type="dxa"/>
            <w:gridSpan w:val="2"/>
            <w:vAlign w:val="center"/>
          </w:tcPr>
          <w:p w14:paraId="52BFD289">
            <w:pPr>
              <w:adjustRightInd w:val="0"/>
              <w:snapToGrid w:val="0"/>
              <w:jc w:val="center"/>
              <w:rPr>
                <w:color w:val="auto"/>
                <w:szCs w:val="21"/>
              </w:rPr>
            </w:pPr>
          </w:p>
        </w:tc>
      </w:tr>
      <w:tr w14:paraId="711A781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262" w:type="dxa"/>
            <w:gridSpan w:val="4"/>
            <w:vMerge w:val="restart"/>
            <w:tcBorders>
              <w:bottom w:val="nil"/>
            </w:tcBorders>
            <w:vAlign w:val="center"/>
          </w:tcPr>
          <w:p w14:paraId="4ECDB7A9">
            <w:pPr>
              <w:adjustRightInd w:val="0"/>
              <w:snapToGrid w:val="0"/>
              <w:jc w:val="center"/>
              <w:rPr>
                <w:color w:val="auto"/>
                <w:szCs w:val="21"/>
              </w:rPr>
            </w:pPr>
            <w:r>
              <w:rPr>
                <w:color w:val="auto"/>
                <w:spacing w:val="9"/>
                <w:szCs w:val="21"/>
              </w:rPr>
              <w:t>检查项目及内容</w:t>
            </w:r>
          </w:p>
        </w:tc>
        <w:tc>
          <w:tcPr>
            <w:tcW w:w="1477" w:type="dxa"/>
            <w:vMerge w:val="restart"/>
            <w:tcBorders>
              <w:bottom w:val="nil"/>
            </w:tcBorders>
            <w:vAlign w:val="center"/>
          </w:tcPr>
          <w:p w14:paraId="617ECA93">
            <w:pPr>
              <w:adjustRightInd w:val="0"/>
              <w:snapToGrid w:val="0"/>
              <w:jc w:val="center"/>
              <w:rPr>
                <w:color w:val="auto"/>
                <w:szCs w:val="21"/>
              </w:rPr>
            </w:pPr>
            <w:r>
              <w:rPr>
                <w:color w:val="auto"/>
                <w:spacing w:val="6"/>
                <w:szCs w:val="21"/>
              </w:rPr>
              <w:t>设计要求及</w:t>
            </w:r>
            <w:r>
              <w:rPr>
                <w:color w:val="auto"/>
                <w:spacing w:val="5"/>
                <w:szCs w:val="21"/>
              </w:rPr>
              <w:t>规范规定</w:t>
            </w:r>
          </w:p>
        </w:tc>
        <w:tc>
          <w:tcPr>
            <w:tcW w:w="4855" w:type="dxa"/>
            <w:gridSpan w:val="4"/>
            <w:vAlign w:val="center"/>
          </w:tcPr>
          <w:p w14:paraId="1498FEAE">
            <w:pPr>
              <w:adjustRightInd w:val="0"/>
              <w:snapToGrid w:val="0"/>
              <w:jc w:val="center"/>
              <w:rPr>
                <w:color w:val="auto"/>
                <w:szCs w:val="21"/>
              </w:rPr>
            </w:pPr>
            <w:r>
              <w:rPr>
                <w:color w:val="auto"/>
                <w:spacing w:val="-2"/>
                <w:szCs w:val="21"/>
              </w:rPr>
              <w:t>检查</w:t>
            </w:r>
          </w:p>
        </w:tc>
      </w:tr>
      <w:tr w14:paraId="45D47E84">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262" w:type="dxa"/>
            <w:gridSpan w:val="4"/>
            <w:vMerge w:val="continue"/>
            <w:tcBorders>
              <w:top w:val="nil"/>
            </w:tcBorders>
            <w:vAlign w:val="center"/>
          </w:tcPr>
          <w:p w14:paraId="31DF124C">
            <w:pPr>
              <w:adjustRightInd w:val="0"/>
              <w:snapToGrid w:val="0"/>
              <w:jc w:val="center"/>
              <w:rPr>
                <w:color w:val="auto"/>
                <w:szCs w:val="21"/>
              </w:rPr>
            </w:pPr>
          </w:p>
        </w:tc>
        <w:tc>
          <w:tcPr>
            <w:tcW w:w="1477" w:type="dxa"/>
            <w:vMerge w:val="continue"/>
            <w:tcBorders>
              <w:top w:val="nil"/>
            </w:tcBorders>
            <w:vAlign w:val="center"/>
          </w:tcPr>
          <w:p w14:paraId="381C036B">
            <w:pPr>
              <w:adjustRightInd w:val="0"/>
              <w:snapToGrid w:val="0"/>
              <w:jc w:val="center"/>
              <w:rPr>
                <w:color w:val="auto"/>
                <w:szCs w:val="21"/>
              </w:rPr>
            </w:pPr>
          </w:p>
        </w:tc>
        <w:tc>
          <w:tcPr>
            <w:tcW w:w="1246" w:type="dxa"/>
            <w:vAlign w:val="center"/>
          </w:tcPr>
          <w:p w14:paraId="67CFA150">
            <w:pPr>
              <w:adjustRightInd w:val="0"/>
              <w:snapToGrid w:val="0"/>
              <w:jc w:val="center"/>
              <w:rPr>
                <w:color w:val="auto"/>
                <w:szCs w:val="21"/>
              </w:rPr>
            </w:pPr>
            <w:r>
              <w:rPr>
                <w:color w:val="auto"/>
                <w:spacing w:val="-2"/>
                <w:szCs w:val="21"/>
              </w:rPr>
              <w:t>合格</w:t>
            </w:r>
          </w:p>
        </w:tc>
        <w:tc>
          <w:tcPr>
            <w:tcW w:w="1154" w:type="dxa"/>
            <w:vAlign w:val="center"/>
          </w:tcPr>
          <w:p w14:paraId="3EBD9D6D">
            <w:pPr>
              <w:adjustRightInd w:val="0"/>
              <w:snapToGrid w:val="0"/>
              <w:jc w:val="center"/>
              <w:rPr>
                <w:color w:val="auto"/>
                <w:szCs w:val="21"/>
              </w:rPr>
            </w:pPr>
            <w:r>
              <w:rPr>
                <w:color w:val="auto"/>
                <w:spacing w:val="2"/>
                <w:szCs w:val="21"/>
              </w:rPr>
              <w:t>不合格</w:t>
            </w:r>
          </w:p>
        </w:tc>
        <w:tc>
          <w:tcPr>
            <w:tcW w:w="1177" w:type="dxa"/>
            <w:vAlign w:val="center"/>
          </w:tcPr>
          <w:p w14:paraId="0F669F15">
            <w:pPr>
              <w:adjustRightInd w:val="0"/>
              <w:snapToGrid w:val="0"/>
              <w:jc w:val="center"/>
              <w:rPr>
                <w:color w:val="auto"/>
                <w:szCs w:val="21"/>
              </w:rPr>
            </w:pPr>
            <w:r>
              <w:rPr>
                <w:color w:val="auto"/>
                <w:spacing w:val="6"/>
                <w:szCs w:val="21"/>
              </w:rPr>
              <w:t>质量检查员</w:t>
            </w:r>
          </w:p>
        </w:tc>
        <w:tc>
          <w:tcPr>
            <w:tcW w:w="1278" w:type="dxa"/>
            <w:vAlign w:val="center"/>
          </w:tcPr>
          <w:p w14:paraId="60BE7D6F">
            <w:pPr>
              <w:adjustRightInd w:val="0"/>
              <w:snapToGrid w:val="0"/>
              <w:jc w:val="center"/>
              <w:rPr>
                <w:color w:val="auto"/>
                <w:szCs w:val="21"/>
              </w:rPr>
            </w:pPr>
            <w:r>
              <w:rPr>
                <w:color w:val="auto"/>
                <w:spacing w:val="6"/>
                <w:szCs w:val="21"/>
              </w:rPr>
              <w:t>质量复核人</w:t>
            </w:r>
          </w:p>
        </w:tc>
      </w:tr>
      <w:tr w14:paraId="138D193D">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restart"/>
            <w:tcBorders>
              <w:bottom w:val="nil"/>
            </w:tcBorders>
            <w:vAlign w:val="center"/>
          </w:tcPr>
          <w:p w14:paraId="52CF4CC1">
            <w:pPr>
              <w:pStyle w:val="34"/>
              <w:jc w:val="center"/>
              <w:rPr>
                <w:rFonts w:eastAsia="宋体"/>
                <w:color w:val="auto"/>
                <w:sz w:val="21"/>
                <w:szCs w:val="21"/>
              </w:rPr>
            </w:pPr>
            <w:r>
              <w:rPr>
                <w:rFonts w:eastAsia="宋体"/>
                <w:color w:val="auto"/>
                <w:sz w:val="21"/>
                <w:szCs w:val="21"/>
              </w:rPr>
              <w:t>1</w:t>
            </w:r>
          </w:p>
        </w:tc>
        <w:tc>
          <w:tcPr>
            <w:tcW w:w="1134" w:type="dxa"/>
            <w:vMerge w:val="restart"/>
            <w:vAlign w:val="center"/>
          </w:tcPr>
          <w:p w14:paraId="428A8C13">
            <w:pPr>
              <w:jc w:val="center"/>
              <w:rPr>
                <w:color w:val="auto"/>
                <w:szCs w:val="21"/>
              </w:rPr>
            </w:pPr>
            <w:r>
              <w:rPr>
                <w:color w:val="auto"/>
                <w:spacing w:val="9"/>
                <w:szCs w:val="21"/>
              </w:rPr>
              <w:t>给水系统</w:t>
            </w:r>
          </w:p>
        </w:tc>
        <w:tc>
          <w:tcPr>
            <w:tcW w:w="1523" w:type="dxa"/>
            <w:gridSpan w:val="2"/>
            <w:tcBorders>
              <w:right w:val="single" w:color="auto" w:sz="4" w:space="0"/>
            </w:tcBorders>
            <w:vAlign w:val="center"/>
          </w:tcPr>
          <w:p w14:paraId="0C94F94D">
            <w:pPr>
              <w:jc w:val="center"/>
              <w:rPr>
                <w:color w:val="auto"/>
                <w:spacing w:val="5"/>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2BCA5F2A">
            <w:pPr>
              <w:jc w:val="center"/>
              <w:rPr>
                <w:color w:val="auto"/>
                <w:szCs w:val="21"/>
              </w:rPr>
            </w:pPr>
          </w:p>
        </w:tc>
        <w:tc>
          <w:tcPr>
            <w:tcW w:w="1246" w:type="dxa"/>
            <w:tcBorders>
              <w:left w:val="single" w:color="auto" w:sz="4" w:space="0"/>
            </w:tcBorders>
            <w:vAlign w:val="center"/>
          </w:tcPr>
          <w:p w14:paraId="2A380CBC">
            <w:pPr>
              <w:jc w:val="center"/>
              <w:rPr>
                <w:color w:val="auto"/>
                <w:szCs w:val="21"/>
              </w:rPr>
            </w:pPr>
          </w:p>
        </w:tc>
        <w:tc>
          <w:tcPr>
            <w:tcW w:w="1154" w:type="dxa"/>
            <w:vAlign w:val="center"/>
          </w:tcPr>
          <w:p w14:paraId="4A9281DF">
            <w:pPr>
              <w:jc w:val="center"/>
              <w:rPr>
                <w:color w:val="auto"/>
                <w:szCs w:val="21"/>
              </w:rPr>
            </w:pPr>
          </w:p>
        </w:tc>
        <w:tc>
          <w:tcPr>
            <w:tcW w:w="1177" w:type="dxa"/>
            <w:tcBorders>
              <w:right w:val="single" w:color="auto" w:sz="4" w:space="0"/>
            </w:tcBorders>
            <w:vAlign w:val="center"/>
          </w:tcPr>
          <w:p w14:paraId="24FEE6BC">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67E8A06D">
            <w:pPr>
              <w:jc w:val="center"/>
              <w:rPr>
                <w:color w:val="auto"/>
                <w:szCs w:val="21"/>
              </w:rPr>
            </w:pPr>
          </w:p>
        </w:tc>
      </w:tr>
      <w:tr w14:paraId="397A6CA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continue"/>
            <w:tcBorders>
              <w:top w:val="nil"/>
              <w:bottom w:val="nil"/>
            </w:tcBorders>
            <w:vAlign w:val="center"/>
          </w:tcPr>
          <w:p w14:paraId="2FAA19B3">
            <w:pPr>
              <w:jc w:val="center"/>
              <w:rPr>
                <w:color w:val="auto"/>
                <w:szCs w:val="21"/>
              </w:rPr>
            </w:pPr>
          </w:p>
        </w:tc>
        <w:tc>
          <w:tcPr>
            <w:tcW w:w="1134" w:type="dxa"/>
            <w:vMerge w:val="continue"/>
            <w:vAlign w:val="center"/>
          </w:tcPr>
          <w:p w14:paraId="33511390">
            <w:pPr>
              <w:jc w:val="center"/>
              <w:rPr>
                <w:color w:val="auto"/>
                <w:szCs w:val="21"/>
              </w:rPr>
            </w:pPr>
          </w:p>
        </w:tc>
        <w:tc>
          <w:tcPr>
            <w:tcW w:w="1523" w:type="dxa"/>
            <w:gridSpan w:val="2"/>
            <w:tcBorders>
              <w:right w:val="single" w:color="auto" w:sz="4" w:space="0"/>
            </w:tcBorders>
            <w:vAlign w:val="center"/>
          </w:tcPr>
          <w:p w14:paraId="1A8134C3">
            <w:pPr>
              <w:jc w:val="center"/>
              <w:rPr>
                <w:color w:val="auto"/>
                <w:spacing w:val="3"/>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143C62DC">
            <w:pPr>
              <w:jc w:val="center"/>
              <w:rPr>
                <w:color w:val="auto"/>
                <w:szCs w:val="21"/>
              </w:rPr>
            </w:pPr>
          </w:p>
        </w:tc>
        <w:tc>
          <w:tcPr>
            <w:tcW w:w="1246" w:type="dxa"/>
            <w:tcBorders>
              <w:left w:val="single" w:color="auto" w:sz="4" w:space="0"/>
            </w:tcBorders>
            <w:vAlign w:val="center"/>
          </w:tcPr>
          <w:p w14:paraId="43E48472">
            <w:pPr>
              <w:jc w:val="center"/>
              <w:rPr>
                <w:color w:val="auto"/>
                <w:szCs w:val="21"/>
              </w:rPr>
            </w:pPr>
          </w:p>
        </w:tc>
        <w:tc>
          <w:tcPr>
            <w:tcW w:w="1154" w:type="dxa"/>
            <w:vAlign w:val="center"/>
          </w:tcPr>
          <w:p w14:paraId="240A306C">
            <w:pPr>
              <w:jc w:val="center"/>
              <w:rPr>
                <w:color w:val="auto"/>
                <w:szCs w:val="21"/>
              </w:rPr>
            </w:pPr>
          </w:p>
        </w:tc>
        <w:tc>
          <w:tcPr>
            <w:tcW w:w="1177" w:type="dxa"/>
            <w:tcBorders>
              <w:right w:val="single" w:color="auto" w:sz="4" w:space="0"/>
            </w:tcBorders>
            <w:vAlign w:val="center"/>
          </w:tcPr>
          <w:p w14:paraId="65CDABDC">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4ADF1C6E">
            <w:pPr>
              <w:jc w:val="center"/>
              <w:rPr>
                <w:color w:val="auto"/>
                <w:szCs w:val="21"/>
              </w:rPr>
            </w:pPr>
          </w:p>
        </w:tc>
      </w:tr>
      <w:tr w14:paraId="15811E77">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continue"/>
            <w:tcBorders>
              <w:top w:val="nil"/>
              <w:bottom w:val="nil"/>
            </w:tcBorders>
            <w:vAlign w:val="center"/>
          </w:tcPr>
          <w:p w14:paraId="27F44A23">
            <w:pPr>
              <w:jc w:val="center"/>
              <w:rPr>
                <w:color w:val="auto"/>
                <w:szCs w:val="21"/>
              </w:rPr>
            </w:pPr>
          </w:p>
        </w:tc>
        <w:tc>
          <w:tcPr>
            <w:tcW w:w="1134" w:type="dxa"/>
            <w:vMerge w:val="continue"/>
            <w:vAlign w:val="center"/>
          </w:tcPr>
          <w:p w14:paraId="4DC73AF2">
            <w:pPr>
              <w:jc w:val="center"/>
              <w:rPr>
                <w:color w:val="auto"/>
                <w:szCs w:val="21"/>
              </w:rPr>
            </w:pPr>
          </w:p>
        </w:tc>
        <w:tc>
          <w:tcPr>
            <w:tcW w:w="1523" w:type="dxa"/>
            <w:gridSpan w:val="2"/>
            <w:tcBorders>
              <w:right w:val="single" w:color="auto" w:sz="4" w:space="0"/>
            </w:tcBorders>
            <w:vAlign w:val="center"/>
          </w:tcPr>
          <w:p w14:paraId="61689570">
            <w:pPr>
              <w:jc w:val="center"/>
              <w:rPr>
                <w:color w:val="auto"/>
                <w:spacing w:val="5"/>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23697667">
            <w:pPr>
              <w:jc w:val="center"/>
              <w:rPr>
                <w:color w:val="auto"/>
                <w:szCs w:val="21"/>
              </w:rPr>
            </w:pPr>
          </w:p>
        </w:tc>
        <w:tc>
          <w:tcPr>
            <w:tcW w:w="1246" w:type="dxa"/>
            <w:tcBorders>
              <w:left w:val="single" w:color="auto" w:sz="4" w:space="0"/>
            </w:tcBorders>
            <w:vAlign w:val="center"/>
          </w:tcPr>
          <w:p w14:paraId="23BBE627">
            <w:pPr>
              <w:jc w:val="center"/>
              <w:rPr>
                <w:color w:val="auto"/>
                <w:szCs w:val="21"/>
              </w:rPr>
            </w:pPr>
          </w:p>
        </w:tc>
        <w:tc>
          <w:tcPr>
            <w:tcW w:w="1154" w:type="dxa"/>
            <w:vAlign w:val="center"/>
          </w:tcPr>
          <w:p w14:paraId="381593FD">
            <w:pPr>
              <w:jc w:val="center"/>
              <w:rPr>
                <w:color w:val="auto"/>
                <w:szCs w:val="21"/>
              </w:rPr>
            </w:pPr>
          </w:p>
        </w:tc>
        <w:tc>
          <w:tcPr>
            <w:tcW w:w="1177" w:type="dxa"/>
            <w:tcBorders>
              <w:right w:val="single" w:color="auto" w:sz="4" w:space="0"/>
            </w:tcBorders>
            <w:vAlign w:val="center"/>
          </w:tcPr>
          <w:p w14:paraId="7D5374EF">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5734714A">
            <w:pPr>
              <w:jc w:val="center"/>
              <w:rPr>
                <w:color w:val="auto"/>
                <w:szCs w:val="21"/>
              </w:rPr>
            </w:pPr>
          </w:p>
        </w:tc>
      </w:tr>
      <w:tr w14:paraId="1C0237E7">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continue"/>
            <w:tcBorders>
              <w:top w:val="nil"/>
            </w:tcBorders>
            <w:vAlign w:val="center"/>
          </w:tcPr>
          <w:p w14:paraId="06C39738">
            <w:pPr>
              <w:jc w:val="center"/>
              <w:rPr>
                <w:color w:val="auto"/>
                <w:szCs w:val="21"/>
              </w:rPr>
            </w:pPr>
          </w:p>
        </w:tc>
        <w:tc>
          <w:tcPr>
            <w:tcW w:w="1134" w:type="dxa"/>
            <w:vMerge w:val="continue"/>
            <w:vAlign w:val="center"/>
          </w:tcPr>
          <w:p w14:paraId="538F5BB6">
            <w:pPr>
              <w:jc w:val="center"/>
              <w:rPr>
                <w:color w:val="auto"/>
                <w:szCs w:val="21"/>
              </w:rPr>
            </w:pPr>
          </w:p>
        </w:tc>
        <w:tc>
          <w:tcPr>
            <w:tcW w:w="1523" w:type="dxa"/>
            <w:gridSpan w:val="2"/>
            <w:tcBorders>
              <w:right w:val="single" w:color="auto" w:sz="4" w:space="0"/>
            </w:tcBorders>
            <w:vAlign w:val="center"/>
          </w:tcPr>
          <w:p w14:paraId="0B14AA59">
            <w:pPr>
              <w:jc w:val="center"/>
              <w:rPr>
                <w:color w:val="auto"/>
                <w:spacing w:val="-2"/>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7109794B">
            <w:pPr>
              <w:jc w:val="center"/>
              <w:rPr>
                <w:color w:val="auto"/>
                <w:szCs w:val="21"/>
              </w:rPr>
            </w:pPr>
          </w:p>
        </w:tc>
        <w:tc>
          <w:tcPr>
            <w:tcW w:w="1246" w:type="dxa"/>
            <w:tcBorders>
              <w:left w:val="single" w:color="auto" w:sz="4" w:space="0"/>
            </w:tcBorders>
            <w:vAlign w:val="center"/>
          </w:tcPr>
          <w:p w14:paraId="2703E0B4">
            <w:pPr>
              <w:jc w:val="center"/>
              <w:rPr>
                <w:color w:val="auto"/>
                <w:szCs w:val="21"/>
              </w:rPr>
            </w:pPr>
          </w:p>
        </w:tc>
        <w:tc>
          <w:tcPr>
            <w:tcW w:w="1154" w:type="dxa"/>
            <w:vAlign w:val="center"/>
          </w:tcPr>
          <w:p w14:paraId="6846F9D3">
            <w:pPr>
              <w:jc w:val="center"/>
              <w:rPr>
                <w:color w:val="auto"/>
                <w:szCs w:val="21"/>
              </w:rPr>
            </w:pPr>
          </w:p>
        </w:tc>
        <w:tc>
          <w:tcPr>
            <w:tcW w:w="1177" w:type="dxa"/>
            <w:tcBorders>
              <w:right w:val="single" w:color="auto" w:sz="4" w:space="0"/>
            </w:tcBorders>
            <w:vAlign w:val="center"/>
          </w:tcPr>
          <w:p w14:paraId="008D8535">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2E94038E">
            <w:pPr>
              <w:jc w:val="center"/>
              <w:rPr>
                <w:color w:val="auto"/>
                <w:szCs w:val="21"/>
              </w:rPr>
            </w:pPr>
          </w:p>
        </w:tc>
      </w:tr>
      <w:tr w14:paraId="34F763AC">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restart"/>
            <w:tcBorders>
              <w:bottom w:val="nil"/>
            </w:tcBorders>
            <w:vAlign w:val="center"/>
          </w:tcPr>
          <w:p w14:paraId="05F948FD">
            <w:pPr>
              <w:pStyle w:val="34"/>
              <w:jc w:val="center"/>
              <w:rPr>
                <w:rFonts w:eastAsia="宋体"/>
                <w:color w:val="auto"/>
                <w:sz w:val="21"/>
                <w:szCs w:val="21"/>
              </w:rPr>
            </w:pPr>
            <w:r>
              <w:rPr>
                <w:rFonts w:eastAsia="宋体"/>
                <w:color w:val="auto"/>
                <w:sz w:val="21"/>
                <w:szCs w:val="21"/>
              </w:rPr>
              <w:t>2</w:t>
            </w:r>
          </w:p>
        </w:tc>
        <w:tc>
          <w:tcPr>
            <w:tcW w:w="1134" w:type="dxa"/>
            <w:vMerge w:val="restart"/>
            <w:vAlign w:val="center"/>
          </w:tcPr>
          <w:p w14:paraId="20210D6D">
            <w:pPr>
              <w:jc w:val="center"/>
              <w:rPr>
                <w:color w:val="auto"/>
                <w:szCs w:val="21"/>
              </w:rPr>
            </w:pPr>
            <w:r>
              <w:rPr>
                <w:color w:val="auto"/>
                <w:spacing w:val="9"/>
                <w:szCs w:val="21"/>
              </w:rPr>
              <w:t>排水系统</w:t>
            </w:r>
          </w:p>
        </w:tc>
        <w:tc>
          <w:tcPr>
            <w:tcW w:w="1523" w:type="dxa"/>
            <w:gridSpan w:val="2"/>
            <w:tcBorders>
              <w:right w:val="single" w:color="auto" w:sz="4" w:space="0"/>
            </w:tcBorders>
            <w:vAlign w:val="center"/>
          </w:tcPr>
          <w:p w14:paraId="227A7EB4">
            <w:pPr>
              <w:jc w:val="center"/>
              <w:rPr>
                <w:color w:val="auto"/>
                <w:spacing w:val="5"/>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42739134">
            <w:pPr>
              <w:jc w:val="center"/>
              <w:rPr>
                <w:color w:val="auto"/>
                <w:szCs w:val="21"/>
              </w:rPr>
            </w:pPr>
          </w:p>
        </w:tc>
        <w:tc>
          <w:tcPr>
            <w:tcW w:w="1246" w:type="dxa"/>
            <w:tcBorders>
              <w:left w:val="single" w:color="auto" w:sz="4" w:space="0"/>
            </w:tcBorders>
            <w:vAlign w:val="center"/>
          </w:tcPr>
          <w:p w14:paraId="61EE94AC">
            <w:pPr>
              <w:jc w:val="center"/>
              <w:rPr>
                <w:color w:val="auto"/>
                <w:szCs w:val="21"/>
              </w:rPr>
            </w:pPr>
          </w:p>
        </w:tc>
        <w:tc>
          <w:tcPr>
            <w:tcW w:w="1154" w:type="dxa"/>
            <w:vAlign w:val="center"/>
          </w:tcPr>
          <w:p w14:paraId="12C044CB">
            <w:pPr>
              <w:jc w:val="center"/>
              <w:rPr>
                <w:color w:val="auto"/>
                <w:szCs w:val="21"/>
              </w:rPr>
            </w:pPr>
          </w:p>
        </w:tc>
        <w:tc>
          <w:tcPr>
            <w:tcW w:w="1177" w:type="dxa"/>
            <w:tcBorders>
              <w:right w:val="single" w:color="auto" w:sz="4" w:space="0"/>
            </w:tcBorders>
            <w:vAlign w:val="center"/>
          </w:tcPr>
          <w:p w14:paraId="127CE4B8">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677CA748">
            <w:pPr>
              <w:jc w:val="center"/>
              <w:rPr>
                <w:color w:val="auto"/>
                <w:szCs w:val="21"/>
              </w:rPr>
            </w:pPr>
          </w:p>
        </w:tc>
      </w:tr>
      <w:tr w14:paraId="114C3E9A">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05" w:type="dxa"/>
            <w:vMerge w:val="continue"/>
            <w:tcBorders>
              <w:top w:val="nil"/>
              <w:bottom w:val="nil"/>
            </w:tcBorders>
            <w:vAlign w:val="center"/>
          </w:tcPr>
          <w:p w14:paraId="0EB7605A">
            <w:pPr>
              <w:jc w:val="center"/>
              <w:rPr>
                <w:color w:val="auto"/>
                <w:szCs w:val="21"/>
              </w:rPr>
            </w:pPr>
          </w:p>
        </w:tc>
        <w:tc>
          <w:tcPr>
            <w:tcW w:w="1134" w:type="dxa"/>
            <w:vMerge w:val="continue"/>
            <w:vAlign w:val="center"/>
          </w:tcPr>
          <w:p w14:paraId="35D155EA">
            <w:pPr>
              <w:jc w:val="center"/>
              <w:rPr>
                <w:color w:val="auto"/>
                <w:szCs w:val="21"/>
              </w:rPr>
            </w:pPr>
          </w:p>
        </w:tc>
        <w:tc>
          <w:tcPr>
            <w:tcW w:w="1523" w:type="dxa"/>
            <w:gridSpan w:val="2"/>
            <w:tcBorders>
              <w:right w:val="single" w:color="auto" w:sz="4" w:space="0"/>
            </w:tcBorders>
            <w:vAlign w:val="center"/>
          </w:tcPr>
          <w:p w14:paraId="2D4331B3">
            <w:pPr>
              <w:jc w:val="center"/>
              <w:rPr>
                <w:color w:val="auto"/>
                <w:spacing w:val="3"/>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2E572AFB">
            <w:pPr>
              <w:jc w:val="center"/>
              <w:rPr>
                <w:color w:val="auto"/>
                <w:szCs w:val="21"/>
              </w:rPr>
            </w:pPr>
          </w:p>
        </w:tc>
        <w:tc>
          <w:tcPr>
            <w:tcW w:w="1246" w:type="dxa"/>
            <w:tcBorders>
              <w:left w:val="single" w:color="auto" w:sz="4" w:space="0"/>
            </w:tcBorders>
            <w:vAlign w:val="center"/>
          </w:tcPr>
          <w:p w14:paraId="5B1A360D">
            <w:pPr>
              <w:jc w:val="center"/>
              <w:rPr>
                <w:color w:val="auto"/>
                <w:szCs w:val="21"/>
              </w:rPr>
            </w:pPr>
          </w:p>
        </w:tc>
        <w:tc>
          <w:tcPr>
            <w:tcW w:w="1154" w:type="dxa"/>
            <w:vAlign w:val="center"/>
          </w:tcPr>
          <w:p w14:paraId="1AE65BC9">
            <w:pPr>
              <w:jc w:val="center"/>
              <w:rPr>
                <w:color w:val="auto"/>
                <w:szCs w:val="21"/>
              </w:rPr>
            </w:pPr>
          </w:p>
        </w:tc>
        <w:tc>
          <w:tcPr>
            <w:tcW w:w="1177" w:type="dxa"/>
            <w:tcBorders>
              <w:right w:val="single" w:color="auto" w:sz="4" w:space="0"/>
            </w:tcBorders>
            <w:vAlign w:val="center"/>
          </w:tcPr>
          <w:p w14:paraId="1C3CA92C">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7FD24962">
            <w:pPr>
              <w:jc w:val="center"/>
              <w:rPr>
                <w:color w:val="auto"/>
                <w:szCs w:val="21"/>
              </w:rPr>
            </w:pPr>
          </w:p>
        </w:tc>
      </w:tr>
      <w:tr w14:paraId="67308A0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continue"/>
            <w:tcBorders>
              <w:top w:val="nil"/>
              <w:bottom w:val="nil"/>
            </w:tcBorders>
            <w:vAlign w:val="center"/>
          </w:tcPr>
          <w:p w14:paraId="73EC772E">
            <w:pPr>
              <w:jc w:val="center"/>
              <w:rPr>
                <w:color w:val="auto"/>
                <w:szCs w:val="21"/>
              </w:rPr>
            </w:pPr>
          </w:p>
        </w:tc>
        <w:tc>
          <w:tcPr>
            <w:tcW w:w="1134" w:type="dxa"/>
            <w:vMerge w:val="continue"/>
            <w:vAlign w:val="center"/>
          </w:tcPr>
          <w:p w14:paraId="3C3775C8">
            <w:pPr>
              <w:jc w:val="center"/>
              <w:rPr>
                <w:color w:val="auto"/>
                <w:szCs w:val="21"/>
              </w:rPr>
            </w:pPr>
          </w:p>
        </w:tc>
        <w:tc>
          <w:tcPr>
            <w:tcW w:w="1523" w:type="dxa"/>
            <w:gridSpan w:val="2"/>
            <w:tcBorders>
              <w:right w:val="single" w:color="auto" w:sz="4" w:space="0"/>
            </w:tcBorders>
            <w:vAlign w:val="center"/>
          </w:tcPr>
          <w:p w14:paraId="247A69DF">
            <w:pPr>
              <w:jc w:val="center"/>
              <w:rPr>
                <w:color w:val="auto"/>
                <w:spacing w:val="5"/>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4DF9AB2F">
            <w:pPr>
              <w:jc w:val="center"/>
              <w:rPr>
                <w:color w:val="auto"/>
                <w:szCs w:val="21"/>
              </w:rPr>
            </w:pPr>
          </w:p>
        </w:tc>
        <w:tc>
          <w:tcPr>
            <w:tcW w:w="1246" w:type="dxa"/>
            <w:tcBorders>
              <w:left w:val="single" w:color="auto" w:sz="4" w:space="0"/>
            </w:tcBorders>
            <w:vAlign w:val="center"/>
          </w:tcPr>
          <w:p w14:paraId="5425942F">
            <w:pPr>
              <w:jc w:val="center"/>
              <w:rPr>
                <w:color w:val="auto"/>
                <w:szCs w:val="21"/>
              </w:rPr>
            </w:pPr>
          </w:p>
        </w:tc>
        <w:tc>
          <w:tcPr>
            <w:tcW w:w="1154" w:type="dxa"/>
            <w:vAlign w:val="center"/>
          </w:tcPr>
          <w:p w14:paraId="3F4E6675">
            <w:pPr>
              <w:jc w:val="center"/>
              <w:rPr>
                <w:color w:val="auto"/>
                <w:szCs w:val="21"/>
              </w:rPr>
            </w:pPr>
          </w:p>
        </w:tc>
        <w:tc>
          <w:tcPr>
            <w:tcW w:w="1177" w:type="dxa"/>
            <w:tcBorders>
              <w:right w:val="single" w:color="auto" w:sz="4" w:space="0"/>
            </w:tcBorders>
            <w:vAlign w:val="center"/>
          </w:tcPr>
          <w:p w14:paraId="2E09EF19">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0C0198A9">
            <w:pPr>
              <w:jc w:val="center"/>
              <w:rPr>
                <w:color w:val="auto"/>
                <w:szCs w:val="21"/>
              </w:rPr>
            </w:pPr>
          </w:p>
        </w:tc>
      </w:tr>
      <w:tr w14:paraId="1CE94B7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05" w:type="dxa"/>
            <w:vMerge w:val="continue"/>
            <w:tcBorders>
              <w:top w:val="nil"/>
            </w:tcBorders>
            <w:vAlign w:val="center"/>
          </w:tcPr>
          <w:p w14:paraId="54A74239">
            <w:pPr>
              <w:jc w:val="center"/>
              <w:rPr>
                <w:color w:val="auto"/>
                <w:szCs w:val="21"/>
              </w:rPr>
            </w:pPr>
          </w:p>
        </w:tc>
        <w:tc>
          <w:tcPr>
            <w:tcW w:w="1134" w:type="dxa"/>
            <w:vMerge w:val="continue"/>
            <w:vAlign w:val="center"/>
          </w:tcPr>
          <w:p w14:paraId="5AC62D7F">
            <w:pPr>
              <w:jc w:val="center"/>
              <w:rPr>
                <w:color w:val="auto"/>
                <w:szCs w:val="21"/>
              </w:rPr>
            </w:pPr>
          </w:p>
        </w:tc>
        <w:tc>
          <w:tcPr>
            <w:tcW w:w="1523" w:type="dxa"/>
            <w:gridSpan w:val="2"/>
            <w:tcBorders>
              <w:right w:val="single" w:color="auto" w:sz="4" w:space="0"/>
            </w:tcBorders>
            <w:vAlign w:val="center"/>
          </w:tcPr>
          <w:p w14:paraId="1CB22239">
            <w:pPr>
              <w:jc w:val="center"/>
              <w:rPr>
                <w:color w:val="auto"/>
                <w:spacing w:val="-2"/>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6C26381D">
            <w:pPr>
              <w:jc w:val="center"/>
              <w:rPr>
                <w:color w:val="auto"/>
                <w:szCs w:val="21"/>
              </w:rPr>
            </w:pPr>
          </w:p>
        </w:tc>
        <w:tc>
          <w:tcPr>
            <w:tcW w:w="1246" w:type="dxa"/>
            <w:tcBorders>
              <w:left w:val="single" w:color="auto" w:sz="4" w:space="0"/>
            </w:tcBorders>
            <w:vAlign w:val="center"/>
          </w:tcPr>
          <w:p w14:paraId="11AAB22B">
            <w:pPr>
              <w:jc w:val="center"/>
              <w:rPr>
                <w:color w:val="auto"/>
                <w:szCs w:val="21"/>
              </w:rPr>
            </w:pPr>
          </w:p>
        </w:tc>
        <w:tc>
          <w:tcPr>
            <w:tcW w:w="1154" w:type="dxa"/>
            <w:vAlign w:val="center"/>
          </w:tcPr>
          <w:p w14:paraId="1CF62E7E">
            <w:pPr>
              <w:jc w:val="center"/>
              <w:rPr>
                <w:color w:val="auto"/>
                <w:szCs w:val="21"/>
              </w:rPr>
            </w:pPr>
          </w:p>
        </w:tc>
        <w:tc>
          <w:tcPr>
            <w:tcW w:w="1177" w:type="dxa"/>
            <w:tcBorders>
              <w:right w:val="single" w:color="auto" w:sz="4" w:space="0"/>
            </w:tcBorders>
            <w:vAlign w:val="center"/>
          </w:tcPr>
          <w:p w14:paraId="41A4751D">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6A8FEC5F">
            <w:pPr>
              <w:jc w:val="center"/>
              <w:rPr>
                <w:color w:val="auto"/>
                <w:szCs w:val="21"/>
              </w:rPr>
            </w:pPr>
          </w:p>
        </w:tc>
      </w:tr>
      <w:tr w14:paraId="17A07453">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05" w:type="dxa"/>
            <w:vMerge w:val="restart"/>
            <w:tcBorders>
              <w:bottom w:val="nil"/>
            </w:tcBorders>
            <w:vAlign w:val="center"/>
          </w:tcPr>
          <w:p w14:paraId="34B9EBC7">
            <w:pPr>
              <w:pStyle w:val="34"/>
              <w:jc w:val="center"/>
              <w:rPr>
                <w:rFonts w:eastAsia="宋体"/>
                <w:color w:val="auto"/>
                <w:sz w:val="21"/>
                <w:szCs w:val="21"/>
              </w:rPr>
            </w:pPr>
            <w:r>
              <w:rPr>
                <w:rFonts w:eastAsia="宋体"/>
                <w:color w:val="auto"/>
                <w:sz w:val="21"/>
                <w:szCs w:val="21"/>
              </w:rPr>
              <w:t>3</w:t>
            </w:r>
          </w:p>
        </w:tc>
        <w:tc>
          <w:tcPr>
            <w:tcW w:w="1134" w:type="dxa"/>
            <w:vMerge w:val="restart"/>
            <w:vAlign w:val="center"/>
          </w:tcPr>
          <w:p w14:paraId="3E7D3D0A">
            <w:pPr>
              <w:jc w:val="center"/>
              <w:rPr>
                <w:color w:val="auto"/>
                <w:szCs w:val="21"/>
              </w:rPr>
            </w:pPr>
            <w:r>
              <w:rPr>
                <w:color w:val="auto"/>
                <w:spacing w:val="3"/>
                <w:szCs w:val="21"/>
              </w:rPr>
              <w:t>电气系统</w:t>
            </w:r>
          </w:p>
        </w:tc>
        <w:tc>
          <w:tcPr>
            <w:tcW w:w="1523" w:type="dxa"/>
            <w:gridSpan w:val="2"/>
            <w:tcBorders>
              <w:right w:val="single" w:color="auto" w:sz="4" w:space="0"/>
            </w:tcBorders>
            <w:vAlign w:val="center"/>
          </w:tcPr>
          <w:p w14:paraId="660CA175">
            <w:pPr>
              <w:jc w:val="center"/>
              <w:rPr>
                <w:color w:val="auto"/>
                <w:spacing w:val="5"/>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54D8487D">
            <w:pPr>
              <w:jc w:val="center"/>
              <w:rPr>
                <w:color w:val="auto"/>
                <w:szCs w:val="21"/>
              </w:rPr>
            </w:pPr>
          </w:p>
        </w:tc>
        <w:tc>
          <w:tcPr>
            <w:tcW w:w="1246" w:type="dxa"/>
            <w:tcBorders>
              <w:left w:val="single" w:color="auto" w:sz="4" w:space="0"/>
            </w:tcBorders>
            <w:vAlign w:val="center"/>
          </w:tcPr>
          <w:p w14:paraId="052D15C8">
            <w:pPr>
              <w:jc w:val="center"/>
              <w:rPr>
                <w:color w:val="auto"/>
                <w:szCs w:val="21"/>
              </w:rPr>
            </w:pPr>
          </w:p>
        </w:tc>
        <w:tc>
          <w:tcPr>
            <w:tcW w:w="1154" w:type="dxa"/>
            <w:vAlign w:val="center"/>
          </w:tcPr>
          <w:p w14:paraId="298FE7FE">
            <w:pPr>
              <w:jc w:val="center"/>
              <w:rPr>
                <w:color w:val="auto"/>
                <w:szCs w:val="21"/>
              </w:rPr>
            </w:pPr>
          </w:p>
        </w:tc>
        <w:tc>
          <w:tcPr>
            <w:tcW w:w="1177" w:type="dxa"/>
            <w:tcBorders>
              <w:right w:val="single" w:color="auto" w:sz="4" w:space="0"/>
            </w:tcBorders>
            <w:vAlign w:val="center"/>
          </w:tcPr>
          <w:p w14:paraId="6A45D537">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31C4DE45">
            <w:pPr>
              <w:jc w:val="center"/>
              <w:rPr>
                <w:color w:val="auto"/>
                <w:szCs w:val="21"/>
              </w:rPr>
            </w:pPr>
          </w:p>
        </w:tc>
      </w:tr>
      <w:tr w14:paraId="2A32C53C">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continue"/>
            <w:tcBorders>
              <w:top w:val="nil"/>
              <w:bottom w:val="nil"/>
            </w:tcBorders>
            <w:vAlign w:val="center"/>
          </w:tcPr>
          <w:p w14:paraId="7F6730BD">
            <w:pPr>
              <w:jc w:val="center"/>
              <w:rPr>
                <w:color w:val="auto"/>
                <w:szCs w:val="21"/>
              </w:rPr>
            </w:pPr>
          </w:p>
        </w:tc>
        <w:tc>
          <w:tcPr>
            <w:tcW w:w="1134" w:type="dxa"/>
            <w:vMerge w:val="continue"/>
            <w:vAlign w:val="center"/>
          </w:tcPr>
          <w:p w14:paraId="270449BF">
            <w:pPr>
              <w:jc w:val="center"/>
              <w:rPr>
                <w:color w:val="auto"/>
                <w:szCs w:val="21"/>
              </w:rPr>
            </w:pPr>
          </w:p>
        </w:tc>
        <w:tc>
          <w:tcPr>
            <w:tcW w:w="1523" w:type="dxa"/>
            <w:gridSpan w:val="2"/>
            <w:tcBorders>
              <w:right w:val="single" w:color="auto" w:sz="4" w:space="0"/>
            </w:tcBorders>
            <w:vAlign w:val="center"/>
          </w:tcPr>
          <w:p w14:paraId="7995B4D8">
            <w:pPr>
              <w:jc w:val="center"/>
              <w:rPr>
                <w:color w:val="auto"/>
                <w:spacing w:val="3"/>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062FD802">
            <w:pPr>
              <w:jc w:val="center"/>
              <w:rPr>
                <w:color w:val="auto"/>
                <w:szCs w:val="21"/>
              </w:rPr>
            </w:pPr>
          </w:p>
        </w:tc>
        <w:tc>
          <w:tcPr>
            <w:tcW w:w="1246" w:type="dxa"/>
            <w:tcBorders>
              <w:left w:val="single" w:color="auto" w:sz="4" w:space="0"/>
            </w:tcBorders>
            <w:vAlign w:val="center"/>
          </w:tcPr>
          <w:p w14:paraId="441E7AA6">
            <w:pPr>
              <w:jc w:val="center"/>
              <w:rPr>
                <w:color w:val="auto"/>
                <w:szCs w:val="21"/>
              </w:rPr>
            </w:pPr>
          </w:p>
        </w:tc>
        <w:tc>
          <w:tcPr>
            <w:tcW w:w="1154" w:type="dxa"/>
            <w:vAlign w:val="center"/>
          </w:tcPr>
          <w:p w14:paraId="31171715">
            <w:pPr>
              <w:jc w:val="center"/>
              <w:rPr>
                <w:color w:val="auto"/>
                <w:szCs w:val="21"/>
              </w:rPr>
            </w:pPr>
          </w:p>
        </w:tc>
        <w:tc>
          <w:tcPr>
            <w:tcW w:w="1177" w:type="dxa"/>
            <w:tcBorders>
              <w:right w:val="single" w:color="auto" w:sz="4" w:space="0"/>
            </w:tcBorders>
            <w:vAlign w:val="center"/>
          </w:tcPr>
          <w:p w14:paraId="46B1D615">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772CD3B9">
            <w:pPr>
              <w:jc w:val="center"/>
              <w:rPr>
                <w:color w:val="auto"/>
                <w:szCs w:val="21"/>
              </w:rPr>
            </w:pPr>
          </w:p>
        </w:tc>
      </w:tr>
      <w:tr w14:paraId="1801E9B8">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05" w:type="dxa"/>
            <w:vMerge w:val="continue"/>
            <w:tcBorders>
              <w:top w:val="nil"/>
              <w:bottom w:val="nil"/>
            </w:tcBorders>
            <w:vAlign w:val="center"/>
          </w:tcPr>
          <w:p w14:paraId="47E47963">
            <w:pPr>
              <w:jc w:val="center"/>
              <w:rPr>
                <w:color w:val="auto"/>
                <w:szCs w:val="21"/>
              </w:rPr>
            </w:pPr>
          </w:p>
        </w:tc>
        <w:tc>
          <w:tcPr>
            <w:tcW w:w="1134" w:type="dxa"/>
            <w:vMerge w:val="continue"/>
            <w:vAlign w:val="center"/>
          </w:tcPr>
          <w:p w14:paraId="6F6CBDCD">
            <w:pPr>
              <w:jc w:val="center"/>
              <w:rPr>
                <w:color w:val="auto"/>
                <w:szCs w:val="21"/>
              </w:rPr>
            </w:pPr>
          </w:p>
        </w:tc>
        <w:tc>
          <w:tcPr>
            <w:tcW w:w="1523" w:type="dxa"/>
            <w:gridSpan w:val="2"/>
            <w:tcBorders>
              <w:right w:val="single" w:color="auto" w:sz="4" w:space="0"/>
            </w:tcBorders>
            <w:vAlign w:val="center"/>
          </w:tcPr>
          <w:p w14:paraId="659008E6">
            <w:pPr>
              <w:jc w:val="center"/>
              <w:rPr>
                <w:color w:val="auto"/>
                <w:spacing w:val="-4"/>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7FF20AD0">
            <w:pPr>
              <w:jc w:val="center"/>
              <w:rPr>
                <w:color w:val="auto"/>
                <w:szCs w:val="21"/>
              </w:rPr>
            </w:pPr>
          </w:p>
        </w:tc>
        <w:tc>
          <w:tcPr>
            <w:tcW w:w="1246" w:type="dxa"/>
            <w:tcBorders>
              <w:left w:val="single" w:color="auto" w:sz="4" w:space="0"/>
            </w:tcBorders>
            <w:vAlign w:val="center"/>
          </w:tcPr>
          <w:p w14:paraId="6893FE8C">
            <w:pPr>
              <w:jc w:val="center"/>
              <w:rPr>
                <w:color w:val="auto"/>
                <w:szCs w:val="21"/>
              </w:rPr>
            </w:pPr>
          </w:p>
        </w:tc>
        <w:tc>
          <w:tcPr>
            <w:tcW w:w="1154" w:type="dxa"/>
            <w:vAlign w:val="center"/>
          </w:tcPr>
          <w:p w14:paraId="7C80D9DB">
            <w:pPr>
              <w:jc w:val="center"/>
              <w:rPr>
                <w:color w:val="auto"/>
                <w:szCs w:val="21"/>
              </w:rPr>
            </w:pPr>
          </w:p>
        </w:tc>
        <w:tc>
          <w:tcPr>
            <w:tcW w:w="1177" w:type="dxa"/>
            <w:tcBorders>
              <w:right w:val="single" w:color="auto" w:sz="4" w:space="0"/>
            </w:tcBorders>
            <w:vAlign w:val="center"/>
          </w:tcPr>
          <w:p w14:paraId="08BA7E76">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1B30F850">
            <w:pPr>
              <w:jc w:val="center"/>
              <w:rPr>
                <w:color w:val="auto"/>
                <w:szCs w:val="21"/>
              </w:rPr>
            </w:pPr>
          </w:p>
        </w:tc>
      </w:tr>
      <w:tr w14:paraId="46E5A95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continue"/>
            <w:tcBorders>
              <w:top w:val="nil"/>
            </w:tcBorders>
            <w:vAlign w:val="center"/>
          </w:tcPr>
          <w:p w14:paraId="4085A679">
            <w:pPr>
              <w:jc w:val="center"/>
              <w:rPr>
                <w:color w:val="auto"/>
                <w:szCs w:val="21"/>
              </w:rPr>
            </w:pPr>
          </w:p>
        </w:tc>
        <w:tc>
          <w:tcPr>
            <w:tcW w:w="1134" w:type="dxa"/>
            <w:vMerge w:val="continue"/>
            <w:vAlign w:val="center"/>
          </w:tcPr>
          <w:p w14:paraId="04D54E02">
            <w:pPr>
              <w:jc w:val="center"/>
              <w:rPr>
                <w:color w:val="auto"/>
                <w:szCs w:val="21"/>
              </w:rPr>
            </w:pPr>
          </w:p>
        </w:tc>
        <w:tc>
          <w:tcPr>
            <w:tcW w:w="1523" w:type="dxa"/>
            <w:gridSpan w:val="2"/>
            <w:tcBorders>
              <w:right w:val="single" w:color="auto" w:sz="4" w:space="0"/>
            </w:tcBorders>
            <w:vAlign w:val="center"/>
          </w:tcPr>
          <w:p w14:paraId="129196EA">
            <w:pPr>
              <w:jc w:val="center"/>
              <w:rPr>
                <w:color w:val="auto"/>
                <w:spacing w:val="-2"/>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42D1FFED">
            <w:pPr>
              <w:jc w:val="center"/>
              <w:rPr>
                <w:color w:val="auto"/>
                <w:szCs w:val="21"/>
              </w:rPr>
            </w:pPr>
          </w:p>
        </w:tc>
        <w:tc>
          <w:tcPr>
            <w:tcW w:w="1246" w:type="dxa"/>
            <w:tcBorders>
              <w:left w:val="single" w:color="auto" w:sz="4" w:space="0"/>
            </w:tcBorders>
            <w:vAlign w:val="center"/>
          </w:tcPr>
          <w:p w14:paraId="332EEDB0">
            <w:pPr>
              <w:jc w:val="center"/>
              <w:rPr>
                <w:color w:val="auto"/>
                <w:szCs w:val="21"/>
              </w:rPr>
            </w:pPr>
          </w:p>
        </w:tc>
        <w:tc>
          <w:tcPr>
            <w:tcW w:w="1154" w:type="dxa"/>
            <w:vAlign w:val="center"/>
          </w:tcPr>
          <w:p w14:paraId="456B5098">
            <w:pPr>
              <w:jc w:val="center"/>
              <w:rPr>
                <w:color w:val="auto"/>
                <w:szCs w:val="21"/>
              </w:rPr>
            </w:pPr>
          </w:p>
        </w:tc>
        <w:tc>
          <w:tcPr>
            <w:tcW w:w="1177" w:type="dxa"/>
            <w:tcBorders>
              <w:right w:val="single" w:color="auto" w:sz="4" w:space="0"/>
            </w:tcBorders>
            <w:vAlign w:val="center"/>
          </w:tcPr>
          <w:p w14:paraId="7DC4DF96">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6AA8F9D2">
            <w:pPr>
              <w:jc w:val="center"/>
              <w:rPr>
                <w:color w:val="auto"/>
                <w:szCs w:val="21"/>
              </w:rPr>
            </w:pPr>
          </w:p>
        </w:tc>
      </w:tr>
      <w:tr w14:paraId="6E89B134">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restart"/>
            <w:tcBorders>
              <w:bottom w:val="nil"/>
            </w:tcBorders>
            <w:vAlign w:val="center"/>
          </w:tcPr>
          <w:p w14:paraId="4C8A637B">
            <w:pPr>
              <w:pStyle w:val="34"/>
              <w:jc w:val="center"/>
              <w:rPr>
                <w:rFonts w:eastAsia="宋体"/>
                <w:color w:val="auto"/>
                <w:sz w:val="21"/>
                <w:szCs w:val="21"/>
              </w:rPr>
            </w:pPr>
            <w:r>
              <w:rPr>
                <w:rFonts w:eastAsia="宋体"/>
                <w:color w:val="auto"/>
                <w:sz w:val="21"/>
                <w:szCs w:val="21"/>
              </w:rPr>
              <w:t>4</w:t>
            </w:r>
          </w:p>
        </w:tc>
        <w:tc>
          <w:tcPr>
            <w:tcW w:w="1134" w:type="dxa"/>
            <w:vMerge w:val="restart"/>
            <w:vAlign w:val="center"/>
          </w:tcPr>
          <w:p w14:paraId="00D1525D">
            <w:pPr>
              <w:jc w:val="center"/>
              <w:rPr>
                <w:color w:val="auto"/>
                <w:szCs w:val="21"/>
              </w:rPr>
            </w:pPr>
            <w:r>
              <w:rPr>
                <w:color w:val="auto"/>
                <w:spacing w:val="10"/>
                <w:szCs w:val="21"/>
              </w:rPr>
              <w:t>通风与空调系统</w:t>
            </w:r>
          </w:p>
        </w:tc>
        <w:tc>
          <w:tcPr>
            <w:tcW w:w="1523" w:type="dxa"/>
            <w:gridSpan w:val="2"/>
            <w:tcBorders>
              <w:right w:val="single" w:color="auto" w:sz="4" w:space="0"/>
            </w:tcBorders>
            <w:vAlign w:val="center"/>
          </w:tcPr>
          <w:p w14:paraId="39DD2228">
            <w:pPr>
              <w:jc w:val="center"/>
              <w:rPr>
                <w:color w:val="auto"/>
                <w:spacing w:val="5"/>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342863B1">
            <w:pPr>
              <w:jc w:val="center"/>
              <w:rPr>
                <w:color w:val="auto"/>
                <w:szCs w:val="21"/>
              </w:rPr>
            </w:pPr>
          </w:p>
        </w:tc>
        <w:tc>
          <w:tcPr>
            <w:tcW w:w="1246" w:type="dxa"/>
            <w:tcBorders>
              <w:left w:val="single" w:color="auto" w:sz="4" w:space="0"/>
            </w:tcBorders>
            <w:vAlign w:val="center"/>
          </w:tcPr>
          <w:p w14:paraId="44DC4D64">
            <w:pPr>
              <w:jc w:val="center"/>
              <w:rPr>
                <w:color w:val="auto"/>
                <w:szCs w:val="21"/>
              </w:rPr>
            </w:pPr>
          </w:p>
        </w:tc>
        <w:tc>
          <w:tcPr>
            <w:tcW w:w="1154" w:type="dxa"/>
            <w:vAlign w:val="center"/>
          </w:tcPr>
          <w:p w14:paraId="13F1BDCB">
            <w:pPr>
              <w:jc w:val="center"/>
              <w:rPr>
                <w:color w:val="auto"/>
                <w:szCs w:val="21"/>
              </w:rPr>
            </w:pPr>
          </w:p>
        </w:tc>
        <w:tc>
          <w:tcPr>
            <w:tcW w:w="1177" w:type="dxa"/>
            <w:tcBorders>
              <w:right w:val="single" w:color="auto" w:sz="4" w:space="0"/>
            </w:tcBorders>
            <w:vAlign w:val="center"/>
          </w:tcPr>
          <w:p w14:paraId="29387F86">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70D928C5">
            <w:pPr>
              <w:jc w:val="center"/>
              <w:rPr>
                <w:color w:val="auto"/>
                <w:szCs w:val="21"/>
              </w:rPr>
            </w:pPr>
          </w:p>
        </w:tc>
      </w:tr>
      <w:tr w14:paraId="38A77D8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605" w:type="dxa"/>
            <w:vMerge w:val="continue"/>
            <w:tcBorders>
              <w:top w:val="nil"/>
              <w:bottom w:val="nil"/>
            </w:tcBorders>
            <w:vAlign w:val="center"/>
          </w:tcPr>
          <w:p w14:paraId="7542B651">
            <w:pPr>
              <w:jc w:val="center"/>
              <w:rPr>
                <w:color w:val="auto"/>
                <w:szCs w:val="21"/>
              </w:rPr>
            </w:pPr>
          </w:p>
        </w:tc>
        <w:tc>
          <w:tcPr>
            <w:tcW w:w="1134" w:type="dxa"/>
            <w:vMerge w:val="continue"/>
            <w:vAlign w:val="center"/>
          </w:tcPr>
          <w:p w14:paraId="250A15B3">
            <w:pPr>
              <w:jc w:val="center"/>
              <w:rPr>
                <w:color w:val="auto"/>
                <w:szCs w:val="21"/>
              </w:rPr>
            </w:pPr>
          </w:p>
        </w:tc>
        <w:tc>
          <w:tcPr>
            <w:tcW w:w="1523" w:type="dxa"/>
            <w:gridSpan w:val="2"/>
            <w:tcBorders>
              <w:right w:val="single" w:color="auto" w:sz="4" w:space="0"/>
            </w:tcBorders>
            <w:vAlign w:val="center"/>
          </w:tcPr>
          <w:p w14:paraId="25BB3CB1">
            <w:pPr>
              <w:jc w:val="center"/>
              <w:rPr>
                <w:color w:val="auto"/>
                <w:spacing w:val="3"/>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77B18E47">
            <w:pPr>
              <w:jc w:val="center"/>
              <w:rPr>
                <w:color w:val="auto"/>
                <w:szCs w:val="21"/>
              </w:rPr>
            </w:pPr>
          </w:p>
        </w:tc>
        <w:tc>
          <w:tcPr>
            <w:tcW w:w="1246" w:type="dxa"/>
            <w:tcBorders>
              <w:left w:val="single" w:color="auto" w:sz="4" w:space="0"/>
            </w:tcBorders>
            <w:vAlign w:val="center"/>
          </w:tcPr>
          <w:p w14:paraId="0C816E97">
            <w:pPr>
              <w:jc w:val="center"/>
              <w:rPr>
                <w:color w:val="auto"/>
                <w:szCs w:val="21"/>
              </w:rPr>
            </w:pPr>
          </w:p>
        </w:tc>
        <w:tc>
          <w:tcPr>
            <w:tcW w:w="1154" w:type="dxa"/>
            <w:vAlign w:val="center"/>
          </w:tcPr>
          <w:p w14:paraId="2B37358C">
            <w:pPr>
              <w:jc w:val="center"/>
              <w:rPr>
                <w:color w:val="auto"/>
                <w:szCs w:val="21"/>
              </w:rPr>
            </w:pPr>
          </w:p>
        </w:tc>
        <w:tc>
          <w:tcPr>
            <w:tcW w:w="1177" w:type="dxa"/>
            <w:tcBorders>
              <w:right w:val="single" w:color="auto" w:sz="4" w:space="0"/>
            </w:tcBorders>
            <w:vAlign w:val="center"/>
          </w:tcPr>
          <w:p w14:paraId="1BAE3801">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03F3D649">
            <w:pPr>
              <w:jc w:val="center"/>
              <w:rPr>
                <w:color w:val="auto"/>
                <w:szCs w:val="21"/>
              </w:rPr>
            </w:pPr>
          </w:p>
        </w:tc>
      </w:tr>
      <w:tr w14:paraId="3C8DFA13">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05" w:type="dxa"/>
            <w:vMerge w:val="continue"/>
            <w:tcBorders>
              <w:top w:val="nil"/>
              <w:bottom w:val="nil"/>
            </w:tcBorders>
            <w:vAlign w:val="center"/>
          </w:tcPr>
          <w:p w14:paraId="1197E1F0">
            <w:pPr>
              <w:jc w:val="center"/>
              <w:rPr>
                <w:color w:val="auto"/>
                <w:szCs w:val="21"/>
              </w:rPr>
            </w:pPr>
          </w:p>
        </w:tc>
        <w:tc>
          <w:tcPr>
            <w:tcW w:w="1134" w:type="dxa"/>
            <w:vMerge w:val="continue"/>
            <w:vAlign w:val="center"/>
          </w:tcPr>
          <w:p w14:paraId="49A459D1">
            <w:pPr>
              <w:jc w:val="center"/>
              <w:rPr>
                <w:color w:val="auto"/>
                <w:szCs w:val="21"/>
              </w:rPr>
            </w:pPr>
          </w:p>
        </w:tc>
        <w:tc>
          <w:tcPr>
            <w:tcW w:w="1523" w:type="dxa"/>
            <w:gridSpan w:val="2"/>
            <w:tcBorders>
              <w:right w:val="single" w:color="auto" w:sz="4" w:space="0"/>
            </w:tcBorders>
            <w:vAlign w:val="center"/>
          </w:tcPr>
          <w:p w14:paraId="3BFA1120">
            <w:pPr>
              <w:jc w:val="center"/>
              <w:rPr>
                <w:color w:val="auto"/>
                <w:spacing w:val="8"/>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0559F9CB">
            <w:pPr>
              <w:jc w:val="center"/>
              <w:rPr>
                <w:color w:val="auto"/>
                <w:szCs w:val="21"/>
              </w:rPr>
            </w:pPr>
          </w:p>
        </w:tc>
        <w:tc>
          <w:tcPr>
            <w:tcW w:w="1246" w:type="dxa"/>
            <w:tcBorders>
              <w:left w:val="single" w:color="auto" w:sz="4" w:space="0"/>
            </w:tcBorders>
            <w:vAlign w:val="center"/>
          </w:tcPr>
          <w:p w14:paraId="7475E385">
            <w:pPr>
              <w:jc w:val="center"/>
              <w:rPr>
                <w:color w:val="auto"/>
                <w:szCs w:val="21"/>
              </w:rPr>
            </w:pPr>
          </w:p>
        </w:tc>
        <w:tc>
          <w:tcPr>
            <w:tcW w:w="1154" w:type="dxa"/>
            <w:vAlign w:val="center"/>
          </w:tcPr>
          <w:p w14:paraId="5831B080">
            <w:pPr>
              <w:jc w:val="center"/>
              <w:rPr>
                <w:color w:val="auto"/>
                <w:szCs w:val="21"/>
              </w:rPr>
            </w:pPr>
          </w:p>
        </w:tc>
        <w:tc>
          <w:tcPr>
            <w:tcW w:w="1177" w:type="dxa"/>
            <w:tcBorders>
              <w:right w:val="single" w:color="auto" w:sz="4" w:space="0"/>
            </w:tcBorders>
            <w:vAlign w:val="center"/>
          </w:tcPr>
          <w:p w14:paraId="7C8DBA08">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68008B35">
            <w:pPr>
              <w:jc w:val="center"/>
              <w:rPr>
                <w:color w:val="auto"/>
                <w:szCs w:val="21"/>
              </w:rPr>
            </w:pPr>
          </w:p>
        </w:tc>
      </w:tr>
      <w:tr w14:paraId="5C705C36">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2" w:hRule="atLeast"/>
          <w:jc w:val="center"/>
        </w:trPr>
        <w:tc>
          <w:tcPr>
            <w:tcW w:w="605" w:type="dxa"/>
            <w:vMerge w:val="continue"/>
            <w:tcBorders>
              <w:top w:val="nil"/>
            </w:tcBorders>
            <w:vAlign w:val="center"/>
          </w:tcPr>
          <w:p w14:paraId="4F31D71C">
            <w:pPr>
              <w:jc w:val="center"/>
              <w:rPr>
                <w:color w:val="auto"/>
                <w:szCs w:val="21"/>
              </w:rPr>
            </w:pPr>
          </w:p>
        </w:tc>
        <w:tc>
          <w:tcPr>
            <w:tcW w:w="1134" w:type="dxa"/>
            <w:vMerge w:val="continue"/>
            <w:vAlign w:val="center"/>
          </w:tcPr>
          <w:p w14:paraId="068FDA03">
            <w:pPr>
              <w:jc w:val="center"/>
              <w:rPr>
                <w:color w:val="auto"/>
                <w:szCs w:val="21"/>
              </w:rPr>
            </w:pPr>
          </w:p>
        </w:tc>
        <w:tc>
          <w:tcPr>
            <w:tcW w:w="1523" w:type="dxa"/>
            <w:gridSpan w:val="2"/>
            <w:tcBorders>
              <w:right w:val="single" w:color="auto" w:sz="4" w:space="0"/>
            </w:tcBorders>
            <w:vAlign w:val="center"/>
          </w:tcPr>
          <w:p w14:paraId="72D8F895">
            <w:pPr>
              <w:jc w:val="center"/>
              <w:rPr>
                <w:color w:val="auto"/>
                <w:spacing w:val="-2"/>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38AD3D43">
            <w:pPr>
              <w:jc w:val="center"/>
              <w:rPr>
                <w:color w:val="auto"/>
                <w:szCs w:val="21"/>
              </w:rPr>
            </w:pPr>
          </w:p>
        </w:tc>
        <w:tc>
          <w:tcPr>
            <w:tcW w:w="1246" w:type="dxa"/>
            <w:tcBorders>
              <w:left w:val="single" w:color="auto" w:sz="4" w:space="0"/>
            </w:tcBorders>
            <w:vAlign w:val="center"/>
          </w:tcPr>
          <w:p w14:paraId="2B342443">
            <w:pPr>
              <w:jc w:val="center"/>
              <w:rPr>
                <w:color w:val="auto"/>
                <w:szCs w:val="21"/>
              </w:rPr>
            </w:pPr>
          </w:p>
        </w:tc>
        <w:tc>
          <w:tcPr>
            <w:tcW w:w="1154" w:type="dxa"/>
            <w:vAlign w:val="center"/>
          </w:tcPr>
          <w:p w14:paraId="39BB35CE">
            <w:pPr>
              <w:jc w:val="center"/>
              <w:rPr>
                <w:color w:val="auto"/>
                <w:szCs w:val="21"/>
              </w:rPr>
            </w:pPr>
          </w:p>
        </w:tc>
        <w:tc>
          <w:tcPr>
            <w:tcW w:w="1177" w:type="dxa"/>
            <w:tcBorders>
              <w:right w:val="single" w:color="auto" w:sz="4" w:space="0"/>
            </w:tcBorders>
            <w:vAlign w:val="center"/>
          </w:tcPr>
          <w:p w14:paraId="55A8C311">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4939AD2D">
            <w:pPr>
              <w:jc w:val="center"/>
              <w:rPr>
                <w:color w:val="auto"/>
                <w:szCs w:val="21"/>
              </w:rPr>
            </w:pPr>
          </w:p>
        </w:tc>
      </w:tr>
      <w:tr w14:paraId="24F9F31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605" w:type="dxa"/>
            <w:vMerge w:val="restart"/>
            <w:tcBorders>
              <w:bottom w:val="nil"/>
            </w:tcBorders>
            <w:vAlign w:val="center"/>
          </w:tcPr>
          <w:p w14:paraId="23FE5193">
            <w:pPr>
              <w:pStyle w:val="34"/>
              <w:jc w:val="center"/>
              <w:rPr>
                <w:rFonts w:eastAsia="宋体"/>
                <w:color w:val="auto"/>
                <w:sz w:val="21"/>
                <w:szCs w:val="21"/>
              </w:rPr>
            </w:pPr>
            <w:r>
              <w:rPr>
                <w:rFonts w:eastAsia="宋体"/>
                <w:color w:val="auto"/>
                <w:sz w:val="21"/>
                <w:szCs w:val="21"/>
              </w:rPr>
              <w:t>5</w:t>
            </w:r>
          </w:p>
        </w:tc>
        <w:tc>
          <w:tcPr>
            <w:tcW w:w="1134" w:type="dxa"/>
            <w:vMerge w:val="restart"/>
            <w:vAlign w:val="center"/>
          </w:tcPr>
          <w:p w14:paraId="04654BDA">
            <w:pPr>
              <w:jc w:val="center"/>
              <w:rPr>
                <w:color w:val="auto"/>
                <w:szCs w:val="21"/>
              </w:rPr>
            </w:pPr>
            <w:r>
              <w:rPr>
                <w:color w:val="auto"/>
                <w:spacing w:val="7"/>
                <w:szCs w:val="21"/>
              </w:rPr>
              <w:t>其他系统</w:t>
            </w:r>
          </w:p>
        </w:tc>
        <w:tc>
          <w:tcPr>
            <w:tcW w:w="1523" w:type="dxa"/>
            <w:gridSpan w:val="2"/>
            <w:tcBorders>
              <w:right w:val="single" w:color="auto" w:sz="4" w:space="0"/>
            </w:tcBorders>
            <w:vAlign w:val="center"/>
          </w:tcPr>
          <w:p w14:paraId="4FC9746D">
            <w:pPr>
              <w:jc w:val="center"/>
              <w:rPr>
                <w:color w:val="auto"/>
                <w:spacing w:val="5"/>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7C2D8E8E">
            <w:pPr>
              <w:jc w:val="center"/>
              <w:rPr>
                <w:color w:val="auto"/>
                <w:szCs w:val="21"/>
              </w:rPr>
            </w:pPr>
          </w:p>
        </w:tc>
        <w:tc>
          <w:tcPr>
            <w:tcW w:w="1246" w:type="dxa"/>
            <w:tcBorders>
              <w:left w:val="single" w:color="auto" w:sz="4" w:space="0"/>
            </w:tcBorders>
            <w:vAlign w:val="center"/>
          </w:tcPr>
          <w:p w14:paraId="5EC6C434">
            <w:pPr>
              <w:jc w:val="center"/>
              <w:rPr>
                <w:color w:val="auto"/>
                <w:szCs w:val="21"/>
              </w:rPr>
            </w:pPr>
          </w:p>
        </w:tc>
        <w:tc>
          <w:tcPr>
            <w:tcW w:w="1154" w:type="dxa"/>
            <w:vAlign w:val="center"/>
          </w:tcPr>
          <w:p w14:paraId="40E881F0">
            <w:pPr>
              <w:jc w:val="center"/>
              <w:rPr>
                <w:color w:val="auto"/>
                <w:szCs w:val="21"/>
              </w:rPr>
            </w:pPr>
          </w:p>
        </w:tc>
        <w:tc>
          <w:tcPr>
            <w:tcW w:w="1177" w:type="dxa"/>
            <w:tcBorders>
              <w:right w:val="single" w:color="auto" w:sz="4" w:space="0"/>
            </w:tcBorders>
            <w:vAlign w:val="center"/>
          </w:tcPr>
          <w:p w14:paraId="18B99A7F">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1D3DDE3D">
            <w:pPr>
              <w:jc w:val="center"/>
              <w:rPr>
                <w:color w:val="auto"/>
                <w:szCs w:val="21"/>
              </w:rPr>
            </w:pPr>
          </w:p>
        </w:tc>
      </w:tr>
      <w:tr w14:paraId="78568D6D">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605" w:type="dxa"/>
            <w:vMerge w:val="continue"/>
            <w:tcBorders>
              <w:top w:val="nil"/>
              <w:bottom w:val="nil"/>
            </w:tcBorders>
            <w:vAlign w:val="center"/>
          </w:tcPr>
          <w:p w14:paraId="5D5A4442">
            <w:pPr>
              <w:jc w:val="center"/>
              <w:rPr>
                <w:color w:val="auto"/>
                <w:szCs w:val="21"/>
              </w:rPr>
            </w:pPr>
          </w:p>
        </w:tc>
        <w:tc>
          <w:tcPr>
            <w:tcW w:w="1134" w:type="dxa"/>
            <w:vMerge w:val="continue"/>
            <w:vAlign w:val="center"/>
          </w:tcPr>
          <w:p w14:paraId="1BC8B9A7">
            <w:pPr>
              <w:jc w:val="center"/>
              <w:rPr>
                <w:color w:val="auto"/>
                <w:szCs w:val="21"/>
              </w:rPr>
            </w:pPr>
          </w:p>
        </w:tc>
        <w:tc>
          <w:tcPr>
            <w:tcW w:w="1523" w:type="dxa"/>
            <w:gridSpan w:val="2"/>
            <w:tcBorders>
              <w:right w:val="single" w:color="auto" w:sz="4" w:space="0"/>
            </w:tcBorders>
            <w:vAlign w:val="center"/>
          </w:tcPr>
          <w:p w14:paraId="47703B32">
            <w:pPr>
              <w:jc w:val="center"/>
              <w:rPr>
                <w:color w:val="auto"/>
                <w:spacing w:val="3"/>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5B996A6F">
            <w:pPr>
              <w:jc w:val="center"/>
              <w:rPr>
                <w:color w:val="auto"/>
                <w:szCs w:val="21"/>
              </w:rPr>
            </w:pPr>
          </w:p>
        </w:tc>
        <w:tc>
          <w:tcPr>
            <w:tcW w:w="1246" w:type="dxa"/>
            <w:tcBorders>
              <w:left w:val="single" w:color="auto" w:sz="4" w:space="0"/>
            </w:tcBorders>
            <w:vAlign w:val="center"/>
          </w:tcPr>
          <w:p w14:paraId="398BD7CF">
            <w:pPr>
              <w:jc w:val="center"/>
              <w:rPr>
                <w:color w:val="auto"/>
                <w:szCs w:val="21"/>
              </w:rPr>
            </w:pPr>
          </w:p>
        </w:tc>
        <w:tc>
          <w:tcPr>
            <w:tcW w:w="1154" w:type="dxa"/>
            <w:vAlign w:val="center"/>
          </w:tcPr>
          <w:p w14:paraId="632B5FE3">
            <w:pPr>
              <w:jc w:val="center"/>
              <w:rPr>
                <w:color w:val="auto"/>
                <w:szCs w:val="21"/>
              </w:rPr>
            </w:pPr>
          </w:p>
        </w:tc>
        <w:tc>
          <w:tcPr>
            <w:tcW w:w="1177" w:type="dxa"/>
            <w:tcBorders>
              <w:right w:val="single" w:color="auto" w:sz="4" w:space="0"/>
            </w:tcBorders>
            <w:vAlign w:val="center"/>
          </w:tcPr>
          <w:p w14:paraId="0CAB9115">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32C82F39">
            <w:pPr>
              <w:jc w:val="center"/>
              <w:rPr>
                <w:color w:val="auto"/>
                <w:szCs w:val="21"/>
              </w:rPr>
            </w:pPr>
          </w:p>
        </w:tc>
      </w:tr>
      <w:tr w14:paraId="67D96586">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605" w:type="dxa"/>
            <w:vMerge w:val="continue"/>
            <w:tcBorders>
              <w:top w:val="nil"/>
              <w:bottom w:val="nil"/>
            </w:tcBorders>
            <w:vAlign w:val="center"/>
          </w:tcPr>
          <w:p w14:paraId="03DE7B3A">
            <w:pPr>
              <w:jc w:val="center"/>
              <w:rPr>
                <w:color w:val="auto"/>
                <w:szCs w:val="21"/>
              </w:rPr>
            </w:pPr>
          </w:p>
        </w:tc>
        <w:tc>
          <w:tcPr>
            <w:tcW w:w="1134" w:type="dxa"/>
            <w:vMerge w:val="continue"/>
            <w:vAlign w:val="center"/>
          </w:tcPr>
          <w:p w14:paraId="10117F1B">
            <w:pPr>
              <w:jc w:val="center"/>
              <w:rPr>
                <w:color w:val="auto"/>
                <w:szCs w:val="21"/>
              </w:rPr>
            </w:pPr>
          </w:p>
        </w:tc>
        <w:tc>
          <w:tcPr>
            <w:tcW w:w="1523" w:type="dxa"/>
            <w:gridSpan w:val="2"/>
            <w:tcBorders>
              <w:right w:val="single" w:color="auto" w:sz="4" w:space="0"/>
            </w:tcBorders>
            <w:vAlign w:val="center"/>
          </w:tcPr>
          <w:p w14:paraId="21CAABFB">
            <w:pPr>
              <w:jc w:val="center"/>
              <w:rPr>
                <w:color w:val="auto"/>
                <w:spacing w:val="5"/>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531BEED6">
            <w:pPr>
              <w:jc w:val="center"/>
              <w:rPr>
                <w:color w:val="auto"/>
                <w:szCs w:val="21"/>
              </w:rPr>
            </w:pPr>
          </w:p>
        </w:tc>
        <w:tc>
          <w:tcPr>
            <w:tcW w:w="1246" w:type="dxa"/>
            <w:tcBorders>
              <w:left w:val="single" w:color="auto" w:sz="4" w:space="0"/>
            </w:tcBorders>
            <w:vAlign w:val="center"/>
          </w:tcPr>
          <w:p w14:paraId="5AB25B29">
            <w:pPr>
              <w:jc w:val="center"/>
              <w:rPr>
                <w:color w:val="auto"/>
                <w:szCs w:val="21"/>
              </w:rPr>
            </w:pPr>
          </w:p>
        </w:tc>
        <w:tc>
          <w:tcPr>
            <w:tcW w:w="1154" w:type="dxa"/>
            <w:vAlign w:val="center"/>
          </w:tcPr>
          <w:p w14:paraId="23B88EA5">
            <w:pPr>
              <w:jc w:val="center"/>
              <w:rPr>
                <w:color w:val="auto"/>
                <w:szCs w:val="21"/>
              </w:rPr>
            </w:pPr>
          </w:p>
        </w:tc>
        <w:tc>
          <w:tcPr>
            <w:tcW w:w="1177" w:type="dxa"/>
            <w:tcBorders>
              <w:right w:val="single" w:color="auto" w:sz="4" w:space="0"/>
            </w:tcBorders>
            <w:vAlign w:val="center"/>
          </w:tcPr>
          <w:p w14:paraId="4FB9C2F3">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1CB7AE0D">
            <w:pPr>
              <w:jc w:val="center"/>
              <w:rPr>
                <w:color w:val="auto"/>
                <w:szCs w:val="21"/>
              </w:rPr>
            </w:pPr>
          </w:p>
        </w:tc>
      </w:tr>
      <w:tr w14:paraId="0669F410">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605" w:type="dxa"/>
            <w:vMerge w:val="continue"/>
            <w:tcBorders>
              <w:top w:val="nil"/>
            </w:tcBorders>
            <w:vAlign w:val="center"/>
          </w:tcPr>
          <w:p w14:paraId="2E05B703">
            <w:pPr>
              <w:jc w:val="center"/>
              <w:rPr>
                <w:color w:val="auto"/>
                <w:szCs w:val="21"/>
              </w:rPr>
            </w:pPr>
          </w:p>
        </w:tc>
        <w:tc>
          <w:tcPr>
            <w:tcW w:w="1134" w:type="dxa"/>
            <w:vMerge w:val="continue"/>
            <w:vAlign w:val="center"/>
          </w:tcPr>
          <w:p w14:paraId="6F55E287">
            <w:pPr>
              <w:jc w:val="center"/>
              <w:rPr>
                <w:color w:val="auto"/>
                <w:szCs w:val="21"/>
              </w:rPr>
            </w:pPr>
          </w:p>
        </w:tc>
        <w:tc>
          <w:tcPr>
            <w:tcW w:w="1523" w:type="dxa"/>
            <w:gridSpan w:val="2"/>
            <w:tcBorders>
              <w:right w:val="single" w:color="auto" w:sz="4" w:space="0"/>
            </w:tcBorders>
            <w:vAlign w:val="center"/>
          </w:tcPr>
          <w:p w14:paraId="6B285602">
            <w:pPr>
              <w:jc w:val="center"/>
              <w:rPr>
                <w:color w:val="auto"/>
                <w:spacing w:val="-2"/>
                <w:szCs w:val="21"/>
              </w:rPr>
            </w:pPr>
          </w:p>
        </w:tc>
        <w:tc>
          <w:tcPr>
            <w:tcW w:w="1477" w:type="dxa"/>
            <w:tcBorders>
              <w:top w:val="single" w:color="auto" w:sz="4" w:space="0"/>
              <w:left w:val="single" w:color="auto" w:sz="4" w:space="0"/>
              <w:bottom w:val="single" w:color="auto" w:sz="4" w:space="0"/>
              <w:right w:val="single" w:color="auto" w:sz="4" w:space="0"/>
            </w:tcBorders>
            <w:vAlign w:val="center"/>
          </w:tcPr>
          <w:p w14:paraId="2C4E4ADF">
            <w:pPr>
              <w:jc w:val="center"/>
              <w:rPr>
                <w:color w:val="auto"/>
                <w:szCs w:val="21"/>
              </w:rPr>
            </w:pPr>
          </w:p>
        </w:tc>
        <w:tc>
          <w:tcPr>
            <w:tcW w:w="1246" w:type="dxa"/>
            <w:tcBorders>
              <w:left w:val="single" w:color="auto" w:sz="4" w:space="0"/>
            </w:tcBorders>
            <w:vAlign w:val="center"/>
          </w:tcPr>
          <w:p w14:paraId="36087B08">
            <w:pPr>
              <w:jc w:val="center"/>
              <w:rPr>
                <w:color w:val="auto"/>
                <w:szCs w:val="21"/>
              </w:rPr>
            </w:pPr>
          </w:p>
        </w:tc>
        <w:tc>
          <w:tcPr>
            <w:tcW w:w="1154" w:type="dxa"/>
            <w:vAlign w:val="center"/>
          </w:tcPr>
          <w:p w14:paraId="594B67D8">
            <w:pPr>
              <w:jc w:val="center"/>
              <w:rPr>
                <w:color w:val="auto"/>
                <w:szCs w:val="21"/>
              </w:rPr>
            </w:pPr>
          </w:p>
        </w:tc>
        <w:tc>
          <w:tcPr>
            <w:tcW w:w="1177" w:type="dxa"/>
            <w:tcBorders>
              <w:right w:val="single" w:color="auto" w:sz="4" w:space="0"/>
            </w:tcBorders>
            <w:vAlign w:val="center"/>
          </w:tcPr>
          <w:p w14:paraId="6149EA3B">
            <w:pPr>
              <w:jc w:val="center"/>
              <w:rPr>
                <w:color w:val="auto"/>
                <w:szCs w:val="21"/>
              </w:rPr>
            </w:pPr>
          </w:p>
        </w:tc>
        <w:tc>
          <w:tcPr>
            <w:tcW w:w="1278" w:type="dxa"/>
            <w:tcBorders>
              <w:top w:val="single" w:color="auto" w:sz="4" w:space="0"/>
              <w:left w:val="single" w:color="auto" w:sz="4" w:space="0"/>
              <w:bottom w:val="single" w:color="auto" w:sz="4" w:space="0"/>
            </w:tcBorders>
            <w:vAlign w:val="center"/>
          </w:tcPr>
          <w:p w14:paraId="587FEAF1">
            <w:pPr>
              <w:jc w:val="center"/>
              <w:rPr>
                <w:color w:val="auto"/>
                <w:szCs w:val="21"/>
              </w:rPr>
            </w:pPr>
          </w:p>
        </w:tc>
      </w:tr>
      <w:tr w14:paraId="579E8EC3">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1701" w:hRule="atLeast"/>
          <w:jc w:val="center"/>
        </w:trPr>
        <w:tc>
          <w:tcPr>
            <w:tcW w:w="9594" w:type="dxa"/>
            <w:gridSpan w:val="9"/>
            <w:shd w:val="clear" w:color="auto" w:fill="auto"/>
            <w:vAlign w:val="center"/>
          </w:tcPr>
          <w:p w14:paraId="21E81983">
            <w:pPr>
              <w:ind w:left="5669"/>
              <w:jc w:val="left"/>
              <w:rPr>
                <w:color w:val="auto"/>
                <w:spacing w:val="-3"/>
                <w:szCs w:val="21"/>
              </w:rPr>
            </w:pPr>
          </w:p>
          <w:p w14:paraId="0CC03E9C">
            <w:pPr>
              <w:ind w:left="5669"/>
              <w:jc w:val="left"/>
              <w:rPr>
                <w:color w:val="auto"/>
                <w:spacing w:val="-3"/>
                <w:szCs w:val="21"/>
              </w:rPr>
            </w:pPr>
          </w:p>
          <w:p w14:paraId="56B37C7B">
            <w:pPr>
              <w:adjustRightInd w:val="0"/>
              <w:snapToGrid w:val="0"/>
              <w:ind w:left="5669"/>
              <w:rPr>
                <w:color w:val="auto"/>
                <w:spacing w:val="-3"/>
                <w:szCs w:val="21"/>
              </w:rPr>
            </w:pPr>
            <w:r>
              <w:rPr>
                <w:color w:val="auto"/>
                <w:spacing w:val="-3"/>
                <w:szCs w:val="21"/>
              </w:rPr>
              <w:t>模块</w:t>
            </w:r>
            <w:r>
              <w:rPr>
                <w:rFonts w:hint="eastAsia"/>
                <w:color w:val="auto"/>
                <w:spacing w:val="-3"/>
                <w:szCs w:val="21"/>
              </w:rPr>
              <w:t>单元生产</w:t>
            </w:r>
            <w:r>
              <w:rPr>
                <w:color w:val="auto"/>
                <w:spacing w:val="-3"/>
                <w:szCs w:val="21"/>
              </w:rPr>
              <w:t>单位</w:t>
            </w:r>
          </w:p>
          <w:p w14:paraId="4C4129D7">
            <w:pPr>
              <w:adjustRightInd w:val="0"/>
              <w:snapToGrid w:val="0"/>
              <w:ind w:left="5669"/>
              <w:rPr>
                <w:color w:val="auto"/>
                <w:spacing w:val="-3"/>
                <w:szCs w:val="21"/>
              </w:rPr>
            </w:pPr>
            <w:r>
              <w:rPr>
                <w:color w:val="auto"/>
                <w:spacing w:val="-3"/>
                <w:szCs w:val="21"/>
              </w:rPr>
              <w:t>项目负责人：</w:t>
            </w:r>
          </w:p>
          <w:p w14:paraId="1D899596">
            <w:pPr>
              <w:pStyle w:val="34"/>
              <w:adjustRightInd w:val="0"/>
              <w:snapToGrid w:val="0"/>
              <w:jc w:val="right"/>
              <w:rPr>
                <w:rFonts w:eastAsia="宋体"/>
                <w:color w:val="auto"/>
                <w:spacing w:val="-7"/>
                <w:sz w:val="21"/>
                <w:szCs w:val="21"/>
                <w:lang w:eastAsia="zh-CN"/>
              </w:rPr>
            </w:pPr>
          </w:p>
          <w:p w14:paraId="6F8958F1">
            <w:pPr>
              <w:pStyle w:val="34"/>
              <w:adjustRightInd w:val="0"/>
              <w:snapToGrid w:val="0"/>
              <w:jc w:val="right"/>
              <w:rPr>
                <w:rFonts w:eastAsia="宋体"/>
                <w:color w:val="auto"/>
                <w:sz w:val="21"/>
                <w:szCs w:val="21"/>
                <w:lang w:eastAsia="zh-CN"/>
              </w:rPr>
            </w:pPr>
            <w:r>
              <w:rPr>
                <w:rFonts w:eastAsia="宋体"/>
                <w:color w:val="auto"/>
                <w:spacing w:val="-7"/>
                <w:sz w:val="21"/>
                <w:szCs w:val="21"/>
              </w:rPr>
              <w:t>年</w:t>
            </w:r>
            <w:r>
              <w:rPr>
                <w:rFonts w:eastAsia="宋体"/>
                <w:color w:val="auto"/>
                <w:spacing w:val="3"/>
                <w:sz w:val="21"/>
                <w:szCs w:val="21"/>
              </w:rPr>
              <w:t xml:space="preserve">    </w:t>
            </w:r>
            <w:r>
              <w:rPr>
                <w:rFonts w:eastAsia="宋体"/>
                <w:color w:val="auto"/>
                <w:spacing w:val="-7"/>
                <w:sz w:val="21"/>
                <w:szCs w:val="21"/>
              </w:rPr>
              <w:t>月</w:t>
            </w:r>
            <w:r>
              <w:rPr>
                <w:rFonts w:eastAsia="宋体"/>
                <w:color w:val="auto"/>
                <w:spacing w:val="9"/>
                <w:sz w:val="21"/>
                <w:szCs w:val="21"/>
              </w:rPr>
              <w:t xml:space="preserve">    </w:t>
            </w:r>
            <w:r>
              <w:rPr>
                <w:rFonts w:eastAsia="宋体"/>
                <w:color w:val="auto"/>
                <w:spacing w:val="-7"/>
                <w:sz w:val="21"/>
                <w:szCs w:val="21"/>
              </w:rPr>
              <w:t>日</w:t>
            </w:r>
          </w:p>
        </w:tc>
      </w:tr>
      <w:tr w14:paraId="565DF017">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1701" w:hRule="atLeast"/>
          <w:jc w:val="center"/>
        </w:trPr>
        <w:tc>
          <w:tcPr>
            <w:tcW w:w="9594" w:type="dxa"/>
            <w:gridSpan w:val="9"/>
            <w:shd w:val="clear" w:color="auto" w:fill="auto"/>
            <w:vAlign w:val="center"/>
          </w:tcPr>
          <w:p w14:paraId="5C9DA056">
            <w:pPr>
              <w:ind w:left="5669"/>
              <w:jc w:val="left"/>
              <w:rPr>
                <w:color w:val="auto"/>
                <w:spacing w:val="-3"/>
                <w:szCs w:val="21"/>
              </w:rPr>
            </w:pPr>
          </w:p>
          <w:p w14:paraId="427229C0">
            <w:pPr>
              <w:ind w:left="5669"/>
              <w:jc w:val="left"/>
              <w:rPr>
                <w:color w:val="auto"/>
                <w:spacing w:val="-3"/>
                <w:szCs w:val="21"/>
              </w:rPr>
            </w:pPr>
          </w:p>
          <w:p w14:paraId="044983C1">
            <w:pPr>
              <w:adjustRightInd w:val="0"/>
              <w:snapToGrid w:val="0"/>
              <w:ind w:left="5669"/>
              <w:rPr>
                <w:color w:val="auto"/>
                <w:spacing w:val="-3"/>
                <w:szCs w:val="21"/>
              </w:rPr>
            </w:pPr>
            <w:r>
              <w:rPr>
                <w:color w:val="auto"/>
                <w:spacing w:val="-3"/>
                <w:szCs w:val="21"/>
              </w:rPr>
              <w:t>监理单位</w:t>
            </w:r>
          </w:p>
          <w:p w14:paraId="769C1B9B">
            <w:pPr>
              <w:adjustRightInd w:val="0"/>
              <w:snapToGrid w:val="0"/>
              <w:ind w:left="5669"/>
              <w:rPr>
                <w:color w:val="auto"/>
                <w:spacing w:val="-3"/>
                <w:szCs w:val="21"/>
              </w:rPr>
            </w:pPr>
            <w:r>
              <w:rPr>
                <w:color w:val="auto"/>
                <w:spacing w:val="-3"/>
                <w:szCs w:val="21"/>
              </w:rPr>
              <w:t>专业监理工程师：</w:t>
            </w:r>
          </w:p>
          <w:p w14:paraId="433744F2">
            <w:pPr>
              <w:pStyle w:val="34"/>
              <w:adjustRightInd w:val="0"/>
              <w:snapToGrid w:val="0"/>
              <w:jc w:val="right"/>
              <w:rPr>
                <w:rFonts w:eastAsia="宋体"/>
                <w:color w:val="auto"/>
                <w:spacing w:val="-7"/>
                <w:sz w:val="21"/>
                <w:szCs w:val="21"/>
                <w:lang w:eastAsia="zh-CN"/>
              </w:rPr>
            </w:pPr>
          </w:p>
          <w:p w14:paraId="00D619F9">
            <w:pPr>
              <w:jc w:val="right"/>
              <w:rPr>
                <w:color w:val="auto"/>
                <w:spacing w:val="-7"/>
                <w:szCs w:val="21"/>
              </w:rPr>
            </w:pPr>
            <w:r>
              <w:rPr>
                <w:color w:val="auto"/>
                <w:spacing w:val="-7"/>
                <w:szCs w:val="21"/>
              </w:rPr>
              <w:t>年</w:t>
            </w:r>
            <w:r>
              <w:rPr>
                <w:color w:val="auto"/>
                <w:spacing w:val="3"/>
                <w:szCs w:val="21"/>
              </w:rPr>
              <w:t xml:space="preserve">    </w:t>
            </w:r>
            <w:r>
              <w:rPr>
                <w:color w:val="auto"/>
                <w:spacing w:val="-7"/>
                <w:szCs w:val="21"/>
              </w:rPr>
              <w:t>月</w:t>
            </w:r>
            <w:r>
              <w:rPr>
                <w:color w:val="auto"/>
                <w:spacing w:val="9"/>
                <w:szCs w:val="21"/>
              </w:rPr>
              <w:t xml:space="preserve">    </w:t>
            </w:r>
            <w:r>
              <w:rPr>
                <w:color w:val="auto"/>
                <w:spacing w:val="-7"/>
                <w:szCs w:val="21"/>
              </w:rPr>
              <w:t>日</w:t>
            </w:r>
          </w:p>
        </w:tc>
      </w:tr>
    </w:tbl>
    <w:p w14:paraId="7BA9F52D">
      <w:pPr>
        <w:rPr>
          <w:color w:val="auto"/>
        </w:rPr>
        <w:sectPr>
          <w:pgSz w:w="11906" w:h="16838"/>
          <w:pgMar w:top="1610" w:right="1349" w:bottom="1213" w:left="1293" w:header="851" w:footer="992" w:gutter="0"/>
          <w:cols w:space="720" w:num="1"/>
          <w:docGrid w:type="linesAndChars" w:linePitch="333" w:charSpace="2165"/>
        </w:sectPr>
      </w:pPr>
    </w:p>
    <w:p w14:paraId="121AA619">
      <w:pPr>
        <w:jc w:val="center"/>
        <w:rPr>
          <w:rFonts w:eastAsia="黑体"/>
          <w:color w:val="auto"/>
          <w:spacing w:val="-1"/>
          <w:szCs w:val="21"/>
        </w:rPr>
      </w:pPr>
      <w:r>
        <w:rPr>
          <w:rFonts w:eastAsia="黑体"/>
          <w:color w:val="auto"/>
          <w:spacing w:val="-1"/>
          <w:szCs w:val="21"/>
        </w:rPr>
        <w:t>表</w:t>
      </w:r>
      <w:r>
        <w:rPr>
          <w:rFonts w:hint="eastAsia" w:eastAsia="黑体"/>
          <w:color w:val="auto"/>
          <w:spacing w:val="-1"/>
          <w:szCs w:val="21"/>
        </w:rPr>
        <w:t>B</w:t>
      </w:r>
      <w:r>
        <w:rPr>
          <w:rFonts w:eastAsia="黑体"/>
          <w:color w:val="auto"/>
          <w:spacing w:val="-1"/>
          <w:szCs w:val="21"/>
        </w:rPr>
        <w:t>.</w:t>
      </w:r>
      <w:r>
        <w:rPr>
          <w:rFonts w:hint="eastAsia" w:eastAsia="黑体"/>
          <w:color w:val="auto"/>
          <w:spacing w:val="-1"/>
          <w:szCs w:val="21"/>
        </w:rPr>
        <w:t>6</w:t>
      </w:r>
      <w:r>
        <w:rPr>
          <w:rFonts w:eastAsia="黑体"/>
          <w:color w:val="auto"/>
          <w:spacing w:val="-1"/>
          <w:szCs w:val="21"/>
        </w:rPr>
        <w:t xml:space="preserve">  模块单元吊装及预拼装质量验收记录表</w:t>
      </w:r>
    </w:p>
    <w:p w14:paraId="7AD55154">
      <w:pPr>
        <w:spacing w:line="38" w:lineRule="exact"/>
        <w:rPr>
          <w:color w:val="auto"/>
        </w:rPr>
      </w:pPr>
    </w:p>
    <w:tbl>
      <w:tblPr>
        <w:tblStyle w:val="17"/>
        <w:tblW w:w="9347" w:type="dxa"/>
        <w:tblInd w:w="12" w:type="dxa"/>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Layout w:type="fixed"/>
        <w:tblCellMar>
          <w:top w:w="0" w:type="dxa"/>
          <w:left w:w="0" w:type="dxa"/>
          <w:bottom w:w="0" w:type="dxa"/>
          <w:right w:w="0" w:type="dxa"/>
        </w:tblCellMar>
      </w:tblPr>
      <w:tblGrid>
        <w:gridCol w:w="559"/>
        <w:gridCol w:w="1470"/>
        <w:gridCol w:w="299"/>
        <w:gridCol w:w="1172"/>
        <w:gridCol w:w="1281"/>
        <w:gridCol w:w="1137"/>
        <w:gridCol w:w="1136"/>
        <w:gridCol w:w="1136"/>
        <w:gridCol w:w="1157"/>
      </w:tblGrid>
      <w:tr w14:paraId="56A6C27C">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2328" w:type="dxa"/>
            <w:gridSpan w:val="3"/>
            <w:vAlign w:val="center"/>
          </w:tcPr>
          <w:p w14:paraId="21BF402B">
            <w:pPr>
              <w:jc w:val="center"/>
              <w:rPr>
                <w:color w:val="auto"/>
                <w:szCs w:val="21"/>
              </w:rPr>
            </w:pPr>
            <w:r>
              <w:rPr>
                <w:color w:val="auto"/>
                <w:spacing w:val="3"/>
                <w:szCs w:val="21"/>
              </w:rPr>
              <w:t>工程名称</w:t>
            </w:r>
          </w:p>
        </w:tc>
        <w:tc>
          <w:tcPr>
            <w:tcW w:w="7019" w:type="dxa"/>
            <w:gridSpan w:val="6"/>
            <w:vAlign w:val="center"/>
          </w:tcPr>
          <w:p w14:paraId="26D9F7EB">
            <w:pPr>
              <w:jc w:val="center"/>
              <w:rPr>
                <w:color w:val="auto"/>
                <w:szCs w:val="21"/>
              </w:rPr>
            </w:pPr>
          </w:p>
        </w:tc>
      </w:tr>
      <w:tr w14:paraId="0AD3E7BF">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328" w:type="dxa"/>
            <w:gridSpan w:val="3"/>
            <w:vAlign w:val="center"/>
          </w:tcPr>
          <w:p w14:paraId="2113D9D3">
            <w:pPr>
              <w:jc w:val="center"/>
              <w:rPr>
                <w:color w:val="auto"/>
                <w:szCs w:val="21"/>
              </w:rPr>
            </w:pPr>
            <w:r>
              <w:rPr>
                <w:color w:val="auto"/>
                <w:spacing w:val="7"/>
                <w:szCs w:val="21"/>
              </w:rPr>
              <w:t>模块单元</w:t>
            </w:r>
            <w:r>
              <w:rPr>
                <w:rFonts w:hint="eastAsia"/>
                <w:color w:val="auto"/>
                <w:spacing w:val="7"/>
                <w:szCs w:val="21"/>
              </w:rPr>
              <w:t>型号</w:t>
            </w:r>
          </w:p>
        </w:tc>
        <w:tc>
          <w:tcPr>
            <w:tcW w:w="3590" w:type="dxa"/>
            <w:gridSpan w:val="3"/>
            <w:vAlign w:val="center"/>
          </w:tcPr>
          <w:p w14:paraId="7977F8CD">
            <w:pPr>
              <w:jc w:val="center"/>
              <w:rPr>
                <w:color w:val="auto"/>
                <w:szCs w:val="21"/>
              </w:rPr>
            </w:pPr>
          </w:p>
        </w:tc>
        <w:tc>
          <w:tcPr>
            <w:tcW w:w="1136" w:type="dxa"/>
            <w:vAlign w:val="center"/>
          </w:tcPr>
          <w:p w14:paraId="5D136188">
            <w:pPr>
              <w:jc w:val="center"/>
              <w:rPr>
                <w:color w:val="auto"/>
                <w:szCs w:val="21"/>
              </w:rPr>
            </w:pPr>
            <w:r>
              <w:rPr>
                <w:color w:val="auto"/>
                <w:spacing w:val="5"/>
                <w:szCs w:val="21"/>
              </w:rPr>
              <w:t>产品</w:t>
            </w:r>
            <w:r>
              <w:rPr>
                <w:rFonts w:hint="eastAsia"/>
                <w:color w:val="auto"/>
                <w:spacing w:val="5"/>
                <w:szCs w:val="21"/>
              </w:rPr>
              <w:t>型号</w:t>
            </w:r>
          </w:p>
        </w:tc>
        <w:tc>
          <w:tcPr>
            <w:tcW w:w="2293" w:type="dxa"/>
            <w:gridSpan w:val="2"/>
            <w:vAlign w:val="center"/>
          </w:tcPr>
          <w:p w14:paraId="4547D551">
            <w:pPr>
              <w:jc w:val="center"/>
              <w:rPr>
                <w:color w:val="auto"/>
                <w:szCs w:val="21"/>
              </w:rPr>
            </w:pPr>
          </w:p>
        </w:tc>
      </w:tr>
      <w:tr w14:paraId="5742EDC5">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328" w:type="dxa"/>
            <w:gridSpan w:val="3"/>
            <w:vAlign w:val="center"/>
          </w:tcPr>
          <w:p w14:paraId="7C969045">
            <w:pPr>
              <w:jc w:val="center"/>
              <w:rPr>
                <w:color w:val="auto"/>
                <w:szCs w:val="21"/>
              </w:rPr>
            </w:pPr>
            <w:r>
              <w:rPr>
                <w:rFonts w:hint="eastAsia"/>
                <w:color w:val="auto"/>
                <w:spacing w:val="5"/>
                <w:szCs w:val="21"/>
              </w:rPr>
              <w:t>生产</w:t>
            </w:r>
            <w:r>
              <w:rPr>
                <w:color w:val="auto"/>
                <w:spacing w:val="5"/>
                <w:szCs w:val="21"/>
              </w:rPr>
              <w:t>批次</w:t>
            </w:r>
          </w:p>
        </w:tc>
        <w:tc>
          <w:tcPr>
            <w:tcW w:w="3590" w:type="dxa"/>
            <w:gridSpan w:val="3"/>
            <w:vAlign w:val="center"/>
          </w:tcPr>
          <w:p w14:paraId="4AE605CD">
            <w:pPr>
              <w:jc w:val="center"/>
              <w:rPr>
                <w:color w:val="auto"/>
                <w:szCs w:val="21"/>
              </w:rPr>
            </w:pPr>
          </w:p>
        </w:tc>
        <w:tc>
          <w:tcPr>
            <w:tcW w:w="1136" w:type="dxa"/>
            <w:vAlign w:val="center"/>
          </w:tcPr>
          <w:p w14:paraId="2576D404">
            <w:pPr>
              <w:jc w:val="center"/>
              <w:rPr>
                <w:color w:val="auto"/>
                <w:szCs w:val="21"/>
              </w:rPr>
            </w:pPr>
            <w:r>
              <w:rPr>
                <w:color w:val="auto"/>
                <w:spacing w:val="5"/>
                <w:szCs w:val="21"/>
              </w:rPr>
              <w:t>检查日期</w:t>
            </w:r>
          </w:p>
        </w:tc>
        <w:tc>
          <w:tcPr>
            <w:tcW w:w="2293" w:type="dxa"/>
            <w:gridSpan w:val="2"/>
            <w:vAlign w:val="center"/>
          </w:tcPr>
          <w:p w14:paraId="6071B32E">
            <w:pPr>
              <w:jc w:val="center"/>
              <w:rPr>
                <w:color w:val="auto"/>
                <w:szCs w:val="21"/>
              </w:rPr>
            </w:pPr>
          </w:p>
        </w:tc>
      </w:tr>
      <w:tr w14:paraId="2AE16946">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3500" w:type="dxa"/>
            <w:gridSpan w:val="4"/>
            <w:vMerge w:val="restart"/>
            <w:tcBorders>
              <w:bottom w:val="nil"/>
            </w:tcBorders>
            <w:vAlign w:val="center"/>
          </w:tcPr>
          <w:p w14:paraId="11749DBE">
            <w:pPr>
              <w:jc w:val="center"/>
              <w:rPr>
                <w:color w:val="auto"/>
                <w:szCs w:val="21"/>
              </w:rPr>
            </w:pPr>
            <w:r>
              <w:rPr>
                <w:color w:val="auto"/>
                <w:spacing w:val="-2"/>
                <w:szCs w:val="21"/>
              </w:rPr>
              <w:t>检查项目及内容</w:t>
            </w:r>
          </w:p>
        </w:tc>
        <w:tc>
          <w:tcPr>
            <w:tcW w:w="1281" w:type="dxa"/>
            <w:vMerge w:val="restart"/>
            <w:tcBorders>
              <w:bottom w:val="nil"/>
            </w:tcBorders>
            <w:vAlign w:val="center"/>
          </w:tcPr>
          <w:p w14:paraId="74DBA012">
            <w:pPr>
              <w:jc w:val="center"/>
              <w:rPr>
                <w:color w:val="auto"/>
                <w:szCs w:val="21"/>
              </w:rPr>
            </w:pPr>
            <w:r>
              <w:rPr>
                <w:color w:val="auto"/>
                <w:spacing w:val="6"/>
                <w:szCs w:val="21"/>
              </w:rPr>
              <w:t>设计要求及规</w:t>
            </w:r>
            <w:r>
              <w:rPr>
                <w:color w:val="auto"/>
                <w:spacing w:val="4"/>
                <w:szCs w:val="21"/>
              </w:rPr>
              <w:t>范规定</w:t>
            </w:r>
          </w:p>
        </w:tc>
        <w:tc>
          <w:tcPr>
            <w:tcW w:w="4566" w:type="dxa"/>
            <w:gridSpan w:val="4"/>
            <w:vAlign w:val="center"/>
          </w:tcPr>
          <w:p w14:paraId="026360FF">
            <w:pPr>
              <w:jc w:val="center"/>
              <w:rPr>
                <w:color w:val="auto"/>
                <w:szCs w:val="21"/>
              </w:rPr>
            </w:pPr>
            <w:r>
              <w:rPr>
                <w:color w:val="auto"/>
                <w:spacing w:val="-2"/>
                <w:szCs w:val="21"/>
              </w:rPr>
              <w:t>检查</w:t>
            </w:r>
          </w:p>
        </w:tc>
      </w:tr>
      <w:tr w14:paraId="3A00B44F">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3500" w:type="dxa"/>
            <w:gridSpan w:val="4"/>
            <w:vMerge w:val="continue"/>
            <w:tcBorders>
              <w:top w:val="nil"/>
            </w:tcBorders>
            <w:vAlign w:val="center"/>
          </w:tcPr>
          <w:p w14:paraId="17BB780C">
            <w:pPr>
              <w:jc w:val="center"/>
              <w:rPr>
                <w:color w:val="auto"/>
                <w:szCs w:val="21"/>
              </w:rPr>
            </w:pPr>
          </w:p>
        </w:tc>
        <w:tc>
          <w:tcPr>
            <w:tcW w:w="1281" w:type="dxa"/>
            <w:vMerge w:val="continue"/>
            <w:tcBorders>
              <w:top w:val="nil"/>
            </w:tcBorders>
            <w:vAlign w:val="center"/>
          </w:tcPr>
          <w:p w14:paraId="36334B47">
            <w:pPr>
              <w:jc w:val="center"/>
              <w:rPr>
                <w:color w:val="auto"/>
                <w:szCs w:val="21"/>
              </w:rPr>
            </w:pPr>
          </w:p>
        </w:tc>
        <w:tc>
          <w:tcPr>
            <w:tcW w:w="1137" w:type="dxa"/>
            <w:vAlign w:val="center"/>
          </w:tcPr>
          <w:p w14:paraId="4CDF4717">
            <w:pPr>
              <w:jc w:val="center"/>
              <w:rPr>
                <w:color w:val="auto"/>
                <w:szCs w:val="21"/>
              </w:rPr>
            </w:pPr>
            <w:r>
              <w:rPr>
                <w:color w:val="auto"/>
                <w:spacing w:val="-2"/>
                <w:szCs w:val="21"/>
              </w:rPr>
              <w:t>合格</w:t>
            </w:r>
          </w:p>
        </w:tc>
        <w:tc>
          <w:tcPr>
            <w:tcW w:w="1136" w:type="dxa"/>
            <w:vAlign w:val="center"/>
          </w:tcPr>
          <w:p w14:paraId="1C18E376">
            <w:pPr>
              <w:jc w:val="center"/>
              <w:rPr>
                <w:color w:val="auto"/>
                <w:szCs w:val="21"/>
              </w:rPr>
            </w:pPr>
            <w:r>
              <w:rPr>
                <w:color w:val="auto"/>
                <w:spacing w:val="2"/>
                <w:szCs w:val="21"/>
              </w:rPr>
              <w:t>不合格</w:t>
            </w:r>
          </w:p>
        </w:tc>
        <w:tc>
          <w:tcPr>
            <w:tcW w:w="1136" w:type="dxa"/>
            <w:vAlign w:val="center"/>
          </w:tcPr>
          <w:p w14:paraId="2DA9B8D8">
            <w:pPr>
              <w:jc w:val="center"/>
              <w:rPr>
                <w:color w:val="auto"/>
                <w:szCs w:val="21"/>
              </w:rPr>
            </w:pPr>
            <w:r>
              <w:rPr>
                <w:color w:val="auto"/>
                <w:spacing w:val="6"/>
                <w:szCs w:val="21"/>
              </w:rPr>
              <w:t>质量检查员</w:t>
            </w:r>
          </w:p>
        </w:tc>
        <w:tc>
          <w:tcPr>
            <w:tcW w:w="1157" w:type="dxa"/>
            <w:vAlign w:val="center"/>
          </w:tcPr>
          <w:p w14:paraId="7543656B">
            <w:pPr>
              <w:jc w:val="center"/>
              <w:rPr>
                <w:color w:val="auto"/>
                <w:szCs w:val="21"/>
              </w:rPr>
            </w:pPr>
            <w:r>
              <w:rPr>
                <w:color w:val="auto"/>
                <w:spacing w:val="6"/>
                <w:szCs w:val="21"/>
              </w:rPr>
              <w:t>质量复核人</w:t>
            </w:r>
          </w:p>
        </w:tc>
      </w:tr>
      <w:tr w14:paraId="6F4318A8">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559" w:type="dxa"/>
            <w:vMerge w:val="restart"/>
            <w:vAlign w:val="center"/>
          </w:tcPr>
          <w:p w14:paraId="45B5AED3">
            <w:pPr>
              <w:pStyle w:val="34"/>
              <w:adjustRightInd w:val="0"/>
              <w:snapToGrid w:val="0"/>
              <w:jc w:val="center"/>
              <w:rPr>
                <w:rFonts w:eastAsia="宋体"/>
                <w:color w:val="auto"/>
                <w:sz w:val="21"/>
                <w:szCs w:val="21"/>
              </w:rPr>
            </w:pPr>
            <w:r>
              <w:rPr>
                <w:rFonts w:eastAsia="宋体"/>
                <w:color w:val="auto"/>
                <w:sz w:val="21"/>
                <w:szCs w:val="21"/>
              </w:rPr>
              <w:t>1</w:t>
            </w:r>
          </w:p>
        </w:tc>
        <w:tc>
          <w:tcPr>
            <w:tcW w:w="1470" w:type="dxa"/>
            <w:vMerge w:val="restart"/>
            <w:vAlign w:val="center"/>
          </w:tcPr>
          <w:p w14:paraId="063E3E06">
            <w:pPr>
              <w:adjustRightInd w:val="0"/>
              <w:snapToGrid w:val="0"/>
              <w:jc w:val="center"/>
              <w:rPr>
                <w:color w:val="auto"/>
                <w:spacing w:val="8"/>
                <w:szCs w:val="21"/>
              </w:rPr>
            </w:pPr>
            <w:r>
              <w:rPr>
                <w:color w:val="auto"/>
                <w:spacing w:val="8"/>
                <w:szCs w:val="21"/>
              </w:rPr>
              <w:t>预埋吊环</w:t>
            </w:r>
          </w:p>
          <w:p w14:paraId="7E34E037">
            <w:pPr>
              <w:adjustRightInd w:val="0"/>
              <w:snapToGrid w:val="0"/>
              <w:jc w:val="center"/>
              <w:rPr>
                <w:color w:val="auto"/>
                <w:szCs w:val="21"/>
              </w:rPr>
            </w:pPr>
            <w:r>
              <w:rPr>
                <w:color w:val="auto"/>
                <w:spacing w:val="8"/>
                <w:szCs w:val="21"/>
              </w:rPr>
              <w:t>检查</w:t>
            </w:r>
          </w:p>
        </w:tc>
        <w:tc>
          <w:tcPr>
            <w:tcW w:w="1471" w:type="dxa"/>
            <w:gridSpan w:val="2"/>
            <w:vAlign w:val="center"/>
          </w:tcPr>
          <w:p w14:paraId="290A269E">
            <w:pPr>
              <w:adjustRightInd w:val="0"/>
              <w:snapToGrid w:val="0"/>
              <w:jc w:val="center"/>
              <w:rPr>
                <w:color w:val="auto"/>
                <w:spacing w:val="8"/>
                <w:szCs w:val="21"/>
              </w:rPr>
            </w:pPr>
          </w:p>
        </w:tc>
        <w:tc>
          <w:tcPr>
            <w:tcW w:w="1281" w:type="dxa"/>
            <w:tcBorders>
              <w:bottom w:val="single" w:color="auto" w:sz="4" w:space="0"/>
            </w:tcBorders>
            <w:vAlign w:val="center"/>
          </w:tcPr>
          <w:p w14:paraId="78D38D42">
            <w:pPr>
              <w:adjustRightInd w:val="0"/>
              <w:snapToGrid w:val="0"/>
              <w:jc w:val="center"/>
              <w:rPr>
                <w:color w:val="auto"/>
                <w:szCs w:val="21"/>
              </w:rPr>
            </w:pPr>
          </w:p>
        </w:tc>
        <w:tc>
          <w:tcPr>
            <w:tcW w:w="1137" w:type="dxa"/>
            <w:vAlign w:val="center"/>
          </w:tcPr>
          <w:p w14:paraId="2D294913">
            <w:pPr>
              <w:adjustRightInd w:val="0"/>
              <w:snapToGrid w:val="0"/>
              <w:jc w:val="center"/>
              <w:rPr>
                <w:color w:val="auto"/>
                <w:szCs w:val="21"/>
              </w:rPr>
            </w:pPr>
          </w:p>
        </w:tc>
        <w:tc>
          <w:tcPr>
            <w:tcW w:w="1136" w:type="dxa"/>
            <w:vAlign w:val="center"/>
          </w:tcPr>
          <w:p w14:paraId="6D5E02CD">
            <w:pPr>
              <w:adjustRightInd w:val="0"/>
              <w:snapToGrid w:val="0"/>
              <w:jc w:val="center"/>
              <w:rPr>
                <w:color w:val="auto"/>
                <w:szCs w:val="21"/>
              </w:rPr>
            </w:pPr>
          </w:p>
        </w:tc>
        <w:tc>
          <w:tcPr>
            <w:tcW w:w="1136" w:type="dxa"/>
            <w:vAlign w:val="center"/>
          </w:tcPr>
          <w:p w14:paraId="4B014F4B">
            <w:pPr>
              <w:adjustRightInd w:val="0"/>
              <w:snapToGrid w:val="0"/>
              <w:jc w:val="center"/>
              <w:rPr>
                <w:color w:val="auto"/>
                <w:szCs w:val="21"/>
              </w:rPr>
            </w:pPr>
          </w:p>
        </w:tc>
        <w:tc>
          <w:tcPr>
            <w:tcW w:w="1157" w:type="dxa"/>
            <w:tcBorders>
              <w:bottom w:val="single" w:color="auto" w:sz="4" w:space="0"/>
            </w:tcBorders>
            <w:vAlign w:val="center"/>
          </w:tcPr>
          <w:p w14:paraId="22EA6494">
            <w:pPr>
              <w:adjustRightInd w:val="0"/>
              <w:snapToGrid w:val="0"/>
              <w:jc w:val="center"/>
              <w:rPr>
                <w:color w:val="auto"/>
                <w:szCs w:val="21"/>
              </w:rPr>
            </w:pPr>
          </w:p>
        </w:tc>
      </w:tr>
      <w:tr w14:paraId="5CE2D2A1">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559" w:type="dxa"/>
            <w:vMerge w:val="continue"/>
            <w:vAlign w:val="center"/>
          </w:tcPr>
          <w:p w14:paraId="7C20E0D1">
            <w:pPr>
              <w:adjustRightInd w:val="0"/>
              <w:snapToGrid w:val="0"/>
              <w:jc w:val="center"/>
              <w:rPr>
                <w:color w:val="auto"/>
              </w:rPr>
            </w:pPr>
          </w:p>
        </w:tc>
        <w:tc>
          <w:tcPr>
            <w:tcW w:w="1470" w:type="dxa"/>
            <w:vMerge w:val="continue"/>
            <w:vAlign w:val="center"/>
          </w:tcPr>
          <w:p w14:paraId="15EFA6F1">
            <w:pPr>
              <w:adjustRightInd w:val="0"/>
              <w:snapToGrid w:val="0"/>
              <w:jc w:val="center"/>
              <w:rPr>
                <w:color w:val="auto"/>
              </w:rPr>
            </w:pPr>
          </w:p>
        </w:tc>
        <w:tc>
          <w:tcPr>
            <w:tcW w:w="1471" w:type="dxa"/>
            <w:gridSpan w:val="2"/>
            <w:vAlign w:val="center"/>
          </w:tcPr>
          <w:p w14:paraId="0A405BC5">
            <w:pPr>
              <w:adjustRightInd w:val="0"/>
              <w:snapToGrid w:val="0"/>
              <w:jc w:val="center"/>
              <w:rPr>
                <w:color w:val="auto"/>
                <w:spacing w:val="8"/>
                <w:szCs w:val="21"/>
              </w:rPr>
            </w:pPr>
          </w:p>
        </w:tc>
        <w:tc>
          <w:tcPr>
            <w:tcW w:w="1281" w:type="dxa"/>
            <w:tcBorders>
              <w:bottom w:val="single" w:color="auto" w:sz="4" w:space="0"/>
            </w:tcBorders>
            <w:vAlign w:val="center"/>
          </w:tcPr>
          <w:p w14:paraId="071FCE55">
            <w:pPr>
              <w:adjustRightInd w:val="0"/>
              <w:snapToGrid w:val="0"/>
              <w:jc w:val="center"/>
              <w:rPr>
                <w:color w:val="auto"/>
                <w:spacing w:val="8"/>
                <w:szCs w:val="21"/>
              </w:rPr>
            </w:pPr>
          </w:p>
        </w:tc>
        <w:tc>
          <w:tcPr>
            <w:tcW w:w="1137" w:type="dxa"/>
            <w:vAlign w:val="center"/>
          </w:tcPr>
          <w:p w14:paraId="05525D4E">
            <w:pPr>
              <w:adjustRightInd w:val="0"/>
              <w:snapToGrid w:val="0"/>
              <w:jc w:val="center"/>
              <w:rPr>
                <w:color w:val="auto"/>
                <w:spacing w:val="8"/>
                <w:szCs w:val="21"/>
              </w:rPr>
            </w:pPr>
          </w:p>
        </w:tc>
        <w:tc>
          <w:tcPr>
            <w:tcW w:w="1136" w:type="dxa"/>
            <w:vAlign w:val="center"/>
          </w:tcPr>
          <w:p w14:paraId="609F0634">
            <w:pPr>
              <w:adjustRightInd w:val="0"/>
              <w:snapToGrid w:val="0"/>
              <w:jc w:val="center"/>
              <w:rPr>
                <w:color w:val="auto"/>
                <w:spacing w:val="8"/>
                <w:szCs w:val="21"/>
              </w:rPr>
            </w:pPr>
          </w:p>
        </w:tc>
        <w:tc>
          <w:tcPr>
            <w:tcW w:w="1136" w:type="dxa"/>
            <w:vAlign w:val="center"/>
          </w:tcPr>
          <w:p w14:paraId="57474878">
            <w:pPr>
              <w:adjustRightInd w:val="0"/>
              <w:snapToGrid w:val="0"/>
              <w:jc w:val="center"/>
              <w:rPr>
                <w:color w:val="auto"/>
                <w:spacing w:val="8"/>
                <w:szCs w:val="21"/>
              </w:rPr>
            </w:pPr>
          </w:p>
        </w:tc>
        <w:tc>
          <w:tcPr>
            <w:tcW w:w="1157" w:type="dxa"/>
            <w:tcBorders>
              <w:bottom w:val="single" w:color="auto" w:sz="4" w:space="0"/>
            </w:tcBorders>
            <w:vAlign w:val="center"/>
          </w:tcPr>
          <w:p w14:paraId="27F746A6">
            <w:pPr>
              <w:adjustRightInd w:val="0"/>
              <w:snapToGrid w:val="0"/>
              <w:jc w:val="center"/>
              <w:rPr>
                <w:color w:val="auto"/>
                <w:spacing w:val="8"/>
                <w:szCs w:val="21"/>
              </w:rPr>
            </w:pPr>
          </w:p>
        </w:tc>
      </w:tr>
      <w:tr w14:paraId="3FF4FFF2">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559" w:type="dxa"/>
            <w:vMerge w:val="continue"/>
            <w:vAlign w:val="center"/>
          </w:tcPr>
          <w:p w14:paraId="5616E1EE">
            <w:pPr>
              <w:adjustRightInd w:val="0"/>
              <w:snapToGrid w:val="0"/>
              <w:jc w:val="center"/>
              <w:rPr>
                <w:color w:val="auto"/>
                <w:spacing w:val="8"/>
                <w:szCs w:val="21"/>
              </w:rPr>
            </w:pPr>
          </w:p>
        </w:tc>
        <w:tc>
          <w:tcPr>
            <w:tcW w:w="1470" w:type="dxa"/>
            <w:vMerge w:val="continue"/>
            <w:vAlign w:val="center"/>
          </w:tcPr>
          <w:p w14:paraId="28A2854E">
            <w:pPr>
              <w:adjustRightInd w:val="0"/>
              <w:snapToGrid w:val="0"/>
              <w:jc w:val="center"/>
              <w:rPr>
                <w:color w:val="auto"/>
                <w:spacing w:val="8"/>
                <w:szCs w:val="21"/>
              </w:rPr>
            </w:pPr>
          </w:p>
        </w:tc>
        <w:tc>
          <w:tcPr>
            <w:tcW w:w="1471" w:type="dxa"/>
            <w:gridSpan w:val="2"/>
            <w:vAlign w:val="center"/>
          </w:tcPr>
          <w:p w14:paraId="2C7FE5A1">
            <w:pPr>
              <w:adjustRightInd w:val="0"/>
              <w:snapToGrid w:val="0"/>
              <w:jc w:val="center"/>
              <w:rPr>
                <w:color w:val="auto"/>
                <w:spacing w:val="8"/>
                <w:szCs w:val="21"/>
              </w:rPr>
            </w:pPr>
          </w:p>
        </w:tc>
        <w:tc>
          <w:tcPr>
            <w:tcW w:w="1281" w:type="dxa"/>
            <w:tcBorders>
              <w:bottom w:val="single" w:color="auto" w:sz="4" w:space="0"/>
            </w:tcBorders>
            <w:vAlign w:val="center"/>
          </w:tcPr>
          <w:p w14:paraId="009ED1A0">
            <w:pPr>
              <w:adjustRightInd w:val="0"/>
              <w:snapToGrid w:val="0"/>
              <w:jc w:val="center"/>
              <w:rPr>
                <w:color w:val="auto"/>
                <w:spacing w:val="8"/>
                <w:szCs w:val="21"/>
              </w:rPr>
            </w:pPr>
          </w:p>
        </w:tc>
        <w:tc>
          <w:tcPr>
            <w:tcW w:w="1137" w:type="dxa"/>
            <w:vAlign w:val="center"/>
          </w:tcPr>
          <w:p w14:paraId="0A1324A4">
            <w:pPr>
              <w:adjustRightInd w:val="0"/>
              <w:snapToGrid w:val="0"/>
              <w:jc w:val="center"/>
              <w:rPr>
                <w:color w:val="auto"/>
                <w:spacing w:val="8"/>
                <w:szCs w:val="21"/>
              </w:rPr>
            </w:pPr>
          </w:p>
        </w:tc>
        <w:tc>
          <w:tcPr>
            <w:tcW w:w="1136" w:type="dxa"/>
            <w:vAlign w:val="center"/>
          </w:tcPr>
          <w:p w14:paraId="6D4C0E6B">
            <w:pPr>
              <w:adjustRightInd w:val="0"/>
              <w:snapToGrid w:val="0"/>
              <w:jc w:val="center"/>
              <w:rPr>
                <w:color w:val="auto"/>
                <w:spacing w:val="8"/>
                <w:szCs w:val="21"/>
              </w:rPr>
            </w:pPr>
          </w:p>
        </w:tc>
        <w:tc>
          <w:tcPr>
            <w:tcW w:w="1136" w:type="dxa"/>
            <w:vAlign w:val="center"/>
          </w:tcPr>
          <w:p w14:paraId="17B7A717">
            <w:pPr>
              <w:adjustRightInd w:val="0"/>
              <w:snapToGrid w:val="0"/>
              <w:jc w:val="center"/>
              <w:rPr>
                <w:color w:val="auto"/>
                <w:spacing w:val="8"/>
                <w:szCs w:val="21"/>
              </w:rPr>
            </w:pPr>
          </w:p>
        </w:tc>
        <w:tc>
          <w:tcPr>
            <w:tcW w:w="1157" w:type="dxa"/>
            <w:tcBorders>
              <w:bottom w:val="single" w:color="auto" w:sz="4" w:space="0"/>
            </w:tcBorders>
            <w:vAlign w:val="center"/>
          </w:tcPr>
          <w:p w14:paraId="4CA4483C">
            <w:pPr>
              <w:adjustRightInd w:val="0"/>
              <w:snapToGrid w:val="0"/>
              <w:jc w:val="center"/>
              <w:rPr>
                <w:color w:val="auto"/>
                <w:spacing w:val="8"/>
                <w:szCs w:val="21"/>
              </w:rPr>
            </w:pPr>
          </w:p>
        </w:tc>
      </w:tr>
      <w:tr w14:paraId="498BAB17">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559" w:type="dxa"/>
            <w:vMerge w:val="continue"/>
            <w:vAlign w:val="center"/>
          </w:tcPr>
          <w:p w14:paraId="7AE2E515">
            <w:pPr>
              <w:adjustRightInd w:val="0"/>
              <w:snapToGrid w:val="0"/>
              <w:jc w:val="center"/>
              <w:rPr>
                <w:color w:val="auto"/>
                <w:spacing w:val="8"/>
                <w:szCs w:val="21"/>
              </w:rPr>
            </w:pPr>
          </w:p>
        </w:tc>
        <w:tc>
          <w:tcPr>
            <w:tcW w:w="1470" w:type="dxa"/>
            <w:vMerge w:val="continue"/>
            <w:vAlign w:val="center"/>
          </w:tcPr>
          <w:p w14:paraId="67B8B488">
            <w:pPr>
              <w:adjustRightInd w:val="0"/>
              <w:snapToGrid w:val="0"/>
              <w:jc w:val="center"/>
              <w:rPr>
                <w:color w:val="auto"/>
                <w:spacing w:val="8"/>
                <w:szCs w:val="21"/>
              </w:rPr>
            </w:pPr>
          </w:p>
        </w:tc>
        <w:tc>
          <w:tcPr>
            <w:tcW w:w="1471" w:type="dxa"/>
            <w:gridSpan w:val="2"/>
            <w:vAlign w:val="center"/>
          </w:tcPr>
          <w:p w14:paraId="0C4D7E27">
            <w:pPr>
              <w:adjustRightInd w:val="0"/>
              <w:snapToGrid w:val="0"/>
              <w:jc w:val="center"/>
              <w:rPr>
                <w:color w:val="auto"/>
                <w:spacing w:val="8"/>
                <w:szCs w:val="21"/>
              </w:rPr>
            </w:pPr>
          </w:p>
        </w:tc>
        <w:tc>
          <w:tcPr>
            <w:tcW w:w="1281" w:type="dxa"/>
            <w:tcBorders>
              <w:bottom w:val="single" w:color="auto" w:sz="4" w:space="0"/>
            </w:tcBorders>
            <w:vAlign w:val="center"/>
          </w:tcPr>
          <w:p w14:paraId="60C00195">
            <w:pPr>
              <w:adjustRightInd w:val="0"/>
              <w:snapToGrid w:val="0"/>
              <w:jc w:val="center"/>
              <w:rPr>
                <w:color w:val="auto"/>
                <w:spacing w:val="8"/>
                <w:szCs w:val="21"/>
              </w:rPr>
            </w:pPr>
          </w:p>
        </w:tc>
        <w:tc>
          <w:tcPr>
            <w:tcW w:w="1137" w:type="dxa"/>
            <w:vAlign w:val="center"/>
          </w:tcPr>
          <w:p w14:paraId="088A246D">
            <w:pPr>
              <w:adjustRightInd w:val="0"/>
              <w:snapToGrid w:val="0"/>
              <w:jc w:val="center"/>
              <w:rPr>
                <w:color w:val="auto"/>
                <w:spacing w:val="8"/>
                <w:szCs w:val="21"/>
              </w:rPr>
            </w:pPr>
          </w:p>
        </w:tc>
        <w:tc>
          <w:tcPr>
            <w:tcW w:w="1136" w:type="dxa"/>
            <w:vAlign w:val="center"/>
          </w:tcPr>
          <w:p w14:paraId="4F3487F5">
            <w:pPr>
              <w:adjustRightInd w:val="0"/>
              <w:snapToGrid w:val="0"/>
              <w:jc w:val="center"/>
              <w:rPr>
                <w:color w:val="auto"/>
                <w:spacing w:val="8"/>
                <w:szCs w:val="21"/>
              </w:rPr>
            </w:pPr>
          </w:p>
        </w:tc>
        <w:tc>
          <w:tcPr>
            <w:tcW w:w="1136" w:type="dxa"/>
            <w:vAlign w:val="center"/>
          </w:tcPr>
          <w:p w14:paraId="180A21D9">
            <w:pPr>
              <w:adjustRightInd w:val="0"/>
              <w:snapToGrid w:val="0"/>
              <w:jc w:val="center"/>
              <w:rPr>
                <w:color w:val="auto"/>
                <w:spacing w:val="8"/>
                <w:szCs w:val="21"/>
              </w:rPr>
            </w:pPr>
          </w:p>
        </w:tc>
        <w:tc>
          <w:tcPr>
            <w:tcW w:w="1157" w:type="dxa"/>
            <w:tcBorders>
              <w:bottom w:val="single" w:color="auto" w:sz="4" w:space="0"/>
            </w:tcBorders>
            <w:vAlign w:val="center"/>
          </w:tcPr>
          <w:p w14:paraId="7947AF44">
            <w:pPr>
              <w:adjustRightInd w:val="0"/>
              <w:snapToGrid w:val="0"/>
              <w:jc w:val="center"/>
              <w:rPr>
                <w:color w:val="auto"/>
                <w:spacing w:val="8"/>
                <w:szCs w:val="21"/>
              </w:rPr>
            </w:pPr>
          </w:p>
        </w:tc>
      </w:tr>
      <w:tr w14:paraId="0956C04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restart"/>
            <w:vAlign w:val="center"/>
          </w:tcPr>
          <w:p w14:paraId="2135B65C">
            <w:pPr>
              <w:pStyle w:val="34"/>
              <w:adjustRightInd w:val="0"/>
              <w:snapToGrid w:val="0"/>
              <w:jc w:val="center"/>
              <w:rPr>
                <w:rFonts w:eastAsia="宋体"/>
                <w:color w:val="auto"/>
                <w:sz w:val="21"/>
                <w:szCs w:val="21"/>
              </w:rPr>
            </w:pPr>
            <w:r>
              <w:rPr>
                <w:rFonts w:eastAsia="宋体"/>
                <w:color w:val="auto"/>
                <w:sz w:val="21"/>
                <w:szCs w:val="21"/>
              </w:rPr>
              <w:t>2</w:t>
            </w:r>
          </w:p>
        </w:tc>
        <w:tc>
          <w:tcPr>
            <w:tcW w:w="1470" w:type="dxa"/>
            <w:vMerge w:val="restart"/>
            <w:vAlign w:val="center"/>
          </w:tcPr>
          <w:p w14:paraId="6A5C3989">
            <w:pPr>
              <w:adjustRightInd w:val="0"/>
              <w:snapToGrid w:val="0"/>
              <w:jc w:val="center"/>
              <w:rPr>
                <w:color w:val="auto"/>
                <w:spacing w:val="8"/>
                <w:szCs w:val="21"/>
              </w:rPr>
            </w:pPr>
            <w:r>
              <w:rPr>
                <w:color w:val="auto"/>
                <w:spacing w:val="8"/>
                <w:szCs w:val="21"/>
              </w:rPr>
              <w:t>额定起重量</w:t>
            </w:r>
          </w:p>
          <w:p w14:paraId="2CD5884A">
            <w:pPr>
              <w:adjustRightInd w:val="0"/>
              <w:snapToGrid w:val="0"/>
              <w:jc w:val="center"/>
              <w:rPr>
                <w:color w:val="auto"/>
                <w:spacing w:val="8"/>
                <w:szCs w:val="21"/>
              </w:rPr>
            </w:pPr>
            <w:r>
              <w:rPr>
                <w:color w:val="auto"/>
                <w:spacing w:val="8"/>
                <w:szCs w:val="21"/>
              </w:rPr>
              <w:t>模块单元</w:t>
            </w:r>
          </w:p>
          <w:p w14:paraId="5814C5C0">
            <w:pPr>
              <w:adjustRightInd w:val="0"/>
              <w:snapToGrid w:val="0"/>
              <w:jc w:val="center"/>
              <w:rPr>
                <w:color w:val="auto"/>
                <w:szCs w:val="21"/>
              </w:rPr>
            </w:pPr>
            <w:r>
              <w:rPr>
                <w:color w:val="auto"/>
                <w:spacing w:val="8"/>
                <w:szCs w:val="21"/>
              </w:rPr>
              <w:t>总重量</w:t>
            </w:r>
          </w:p>
        </w:tc>
        <w:tc>
          <w:tcPr>
            <w:tcW w:w="1471" w:type="dxa"/>
            <w:gridSpan w:val="2"/>
            <w:vAlign w:val="center"/>
          </w:tcPr>
          <w:p w14:paraId="4BF26153">
            <w:pPr>
              <w:adjustRightInd w:val="0"/>
              <w:snapToGrid w:val="0"/>
              <w:jc w:val="center"/>
              <w:rPr>
                <w:color w:val="auto"/>
                <w:spacing w:val="8"/>
                <w:szCs w:val="21"/>
              </w:rPr>
            </w:pPr>
          </w:p>
        </w:tc>
        <w:tc>
          <w:tcPr>
            <w:tcW w:w="1281" w:type="dxa"/>
            <w:tcBorders>
              <w:top w:val="single" w:color="auto" w:sz="4" w:space="0"/>
              <w:bottom w:val="single" w:color="auto" w:sz="4" w:space="0"/>
            </w:tcBorders>
            <w:vAlign w:val="center"/>
          </w:tcPr>
          <w:p w14:paraId="49456788">
            <w:pPr>
              <w:adjustRightInd w:val="0"/>
              <w:snapToGrid w:val="0"/>
              <w:jc w:val="center"/>
              <w:rPr>
                <w:color w:val="auto"/>
                <w:szCs w:val="21"/>
              </w:rPr>
            </w:pPr>
          </w:p>
        </w:tc>
        <w:tc>
          <w:tcPr>
            <w:tcW w:w="1137" w:type="dxa"/>
            <w:vAlign w:val="center"/>
          </w:tcPr>
          <w:p w14:paraId="61F73076">
            <w:pPr>
              <w:adjustRightInd w:val="0"/>
              <w:snapToGrid w:val="0"/>
              <w:jc w:val="center"/>
              <w:rPr>
                <w:color w:val="auto"/>
                <w:szCs w:val="21"/>
              </w:rPr>
            </w:pPr>
          </w:p>
        </w:tc>
        <w:tc>
          <w:tcPr>
            <w:tcW w:w="1136" w:type="dxa"/>
            <w:vAlign w:val="center"/>
          </w:tcPr>
          <w:p w14:paraId="212F8501">
            <w:pPr>
              <w:adjustRightInd w:val="0"/>
              <w:snapToGrid w:val="0"/>
              <w:jc w:val="center"/>
              <w:rPr>
                <w:color w:val="auto"/>
                <w:szCs w:val="21"/>
              </w:rPr>
            </w:pPr>
          </w:p>
        </w:tc>
        <w:tc>
          <w:tcPr>
            <w:tcW w:w="1136" w:type="dxa"/>
            <w:vAlign w:val="center"/>
          </w:tcPr>
          <w:p w14:paraId="06B55428">
            <w:pPr>
              <w:adjustRightInd w:val="0"/>
              <w:snapToGrid w:val="0"/>
              <w:jc w:val="center"/>
              <w:rPr>
                <w:color w:val="auto"/>
                <w:szCs w:val="21"/>
              </w:rPr>
            </w:pPr>
          </w:p>
        </w:tc>
        <w:tc>
          <w:tcPr>
            <w:tcW w:w="1157" w:type="dxa"/>
            <w:tcBorders>
              <w:top w:val="single" w:color="auto" w:sz="4" w:space="0"/>
              <w:bottom w:val="single" w:color="auto" w:sz="4" w:space="0"/>
            </w:tcBorders>
            <w:vAlign w:val="center"/>
          </w:tcPr>
          <w:p w14:paraId="1F52AAD0">
            <w:pPr>
              <w:adjustRightInd w:val="0"/>
              <w:snapToGrid w:val="0"/>
              <w:jc w:val="center"/>
              <w:rPr>
                <w:color w:val="auto"/>
                <w:szCs w:val="21"/>
              </w:rPr>
            </w:pPr>
          </w:p>
        </w:tc>
      </w:tr>
      <w:tr w14:paraId="7C49B936">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4CD6EAD0">
            <w:pPr>
              <w:adjustRightInd w:val="0"/>
              <w:snapToGrid w:val="0"/>
              <w:jc w:val="center"/>
              <w:rPr>
                <w:color w:val="auto"/>
              </w:rPr>
            </w:pPr>
          </w:p>
        </w:tc>
        <w:tc>
          <w:tcPr>
            <w:tcW w:w="1470" w:type="dxa"/>
            <w:vMerge w:val="continue"/>
            <w:vAlign w:val="center"/>
          </w:tcPr>
          <w:p w14:paraId="25C6DACC">
            <w:pPr>
              <w:adjustRightInd w:val="0"/>
              <w:snapToGrid w:val="0"/>
              <w:jc w:val="center"/>
              <w:rPr>
                <w:color w:val="auto"/>
              </w:rPr>
            </w:pPr>
          </w:p>
        </w:tc>
        <w:tc>
          <w:tcPr>
            <w:tcW w:w="1471" w:type="dxa"/>
            <w:gridSpan w:val="2"/>
            <w:vAlign w:val="center"/>
          </w:tcPr>
          <w:p w14:paraId="3E61B4C0">
            <w:pPr>
              <w:adjustRightInd w:val="0"/>
              <w:snapToGrid w:val="0"/>
              <w:jc w:val="center"/>
              <w:rPr>
                <w:color w:val="auto"/>
                <w:spacing w:val="8"/>
                <w:szCs w:val="21"/>
              </w:rPr>
            </w:pPr>
          </w:p>
        </w:tc>
        <w:tc>
          <w:tcPr>
            <w:tcW w:w="1281" w:type="dxa"/>
            <w:tcBorders>
              <w:top w:val="single" w:color="auto" w:sz="4" w:space="0"/>
              <w:bottom w:val="single" w:color="auto" w:sz="4" w:space="0"/>
            </w:tcBorders>
            <w:vAlign w:val="center"/>
          </w:tcPr>
          <w:p w14:paraId="1151279F">
            <w:pPr>
              <w:adjustRightInd w:val="0"/>
              <w:snapToGrid w:val="0"/>
              <w:jc w:val="center"/>
              <w:rPr>
                <w:color w:val="auto"/>
                <w:spacing w:val="8"/>
                <w:szCs w:val="21"/>
              </w:rPr>
            </w:pPr>
          </w:p>
        </w:tc>
        <w:tc>
          <w:tcPr>
            <w:tcW w:w="1137" w:type="dxa"/>
            <w:vAlign w:val="center"/>
          </w:tcPr>
          <w:p w14:paraId="056BA987">
            <w:pPr>
              <w:adjustRightInd w:val="0"/>
              <w:snapToGrid w:val="0"/>
              <w:jc w:val="center"/>
              <w:rPr>
                <w:color w:val="auto"/>
                <w:spacing w:val="8"/>
                <w:szCs w:val="21"/>
              </w:rPr>
            </w:pPr>
          </w:p>
        </w:tc>
        <w:tc>
          <w:tcPr>
            <w:tcW w:w="1136" w:type="dxa"/>
            <w:vAlign w:val="center"/>
          </w:tcPr>
          <w:p w14:paraId="16A9DCB2">
            <w:pPr>
              <w:adjustRightInd w:val="0"/>
              <w:snapToGrid w:val="0"/>
              <w:jc w:val="center"/>
              <w:rPr>
                <w:color w:val="auto"/>
                <w:spacing w:val="8"/>
                <w:szCs w:val="21"/>
              </w:rPr>
            </w:pPr>
          </w:p>
        </w:tc>
        <w:tc>
          <w:tcPr>
            <w:tcW w:w="1136" w:type="dxa"/>
            <w:vAlign w:val="center"/>
          </w:tcPr>
          <w:p w14:paraId="5FBF69D8">
            <w:pPr>
              <w:adjustRightInd w:val="0"/>
              <w:snapToGrid w:val="0"/>
              <w:jc w:val="center"/>
              <w:rPr>
                <w:color w:val="auto"/>
                <w:spacing w:val="8"/>
                <w:szCs w:val="21"/>
              </w:rPr>
            </w:pPr>
          </w:p>
        </w:tc>
        <w:tc>
          <w:tcPr>
            <w:tcW w:w="1157" w:type="dxa"/>
            <w:tcBorders>
              <w:top w:val="single" w:color="auto" w:sz="4" w:space="0"/>
              <w:bottom w:val="single" w:color="auto" w:sz="4" w:space="0"/>
            </w:tcBorders>
            <w:vAlign w:val="center"/>
          </w:tcPr>
          <w:p w14:paraId="48ABC76E">
            <w:pPr>
              <w:adjustRightInd w:val="0"/>
              <w:snapToGrid w:val="0"/>
              <w:jc w:val="center"/>
              <w:rPr>
                <w:color w:val="auto"/>
                <w:spacing w:val="8"/>
                <w:szCs w:val="21"/>
              </w:rPr>
            </w:pPr>
          </w:p>
        </w:tc>
      </w:tr>
      <w:tr w14:paraId="78436B0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02621A5A">
            <w:pPr>
              <w:adjustRightInd w:val="0"/>
              <w:snapToGrid w:val="0"/>
              <w:jc w:val="center"/>
              <w:rPr>
                <w:color w:val="auto"/>
                <w:spacing w:val="8"/>
                <w:szCs w:val="21"/>
              </w:rPr>
            </w:pPr>
          </w:p>
        </w:tc>
        <w:tc>
          <w:tcPr>
            <w:tcW w:w="1470" w:type="dxa"/>
            <w:vMerge w:val="continue"/>
            <w:vAlign w:val="center"/>
          </w:tcPr>
          <w:p w14:paraId="48B12F42">
            <w:pPr>
              <w:adjustRightInd w:val="0"/>
              <w:snapToGrid w:val="0"/>
              <w:jc w:val="center"/>
              <w:rPr>
                <w:color w:val="auto"/>
                <w:spacing w:val="8"/>
                <w:szCs w:val="21"/>
              </w:rPr>
            </w:pPr>
          </w:p>
        </w:tc>
        <w:tc>
          <w:tcPr>
            <w:tcW w:w="1471" w:type="dxa"/>
            <w:gridSpan w:val="2"/>
            <w:vAlign w:val="center"/>
          </w:tcPr>
          <w:p w14:paraId="467EF256">
            <w:pPr>
              <w:adjustRightInd w:val="0"/>
              <w:snapToGrid w:val="0"/>
              <w:jc w:val="center"/>
              <w:rPr>
                <w:color w:val="auto"/>
                <w:spacing w:val="8"/>
                <w:szCs w:val="21"/>
              </w:rPr>
            </w:pPr>
          </w:p>
        </w:tc>
        <w:tc>
          <w:tcPr>
            <w:tcW w:w="1281" w:type="dxa"/>
            <w:tcBorders>
              <w:top w:val="single" w:color="auto" w:sz="4" w:space="0"/>
              <w:bottom w:val="single" w:color="auto" w:sz="4" w:space="0"/>
            </w:tcBorders>
            <w:vAlign w:val="center"/>
          </w:tcPr>
          <w:p w14:paraId="7B9722A3">
            <w:pPr>
              <w:adjustRightInd w:val="0"/>
              <w:snapToGrid w:val="0"/>
              <w:jc w:val="center"/>
              <w:rPr>
                <w:color w:val="auto"/>
                <w:spacing w:val="8"/>
                <w:szCs w:val="21"/>
              </w:rPr>
            </w:pPr>
          </w:p>
        </w:tc>
        <w:tc>
          <w:tcPr>
            <w:tcW w:w="1137" w:type="dxa"/>
            <w:vAlign w:val="center"/>
          </w:tcPr>
          <w:p w14:paraId="12BFAFE2">
            <w:pPr>
              <w:adjustRightInd w:val="0"/>
              <w:snapToGrid w:val="0"/>
              <w:jc w:val="center"/>
              <w:rPr>
                <w:color w:val="auto"/>
                <w:spacing w:val="8"/>
                <w:szCs w:val="21"/>
              </w:rPr>
            </w:pPr>
          </w:p>
        </w:tc>
        <w:tc>
          <w:tcPr>
            <w:tcW w:w="1136" w:type="dxa"/>
            <w:vAlign w:val="center"/>
          </w:tcPr>
          <w:p w14:paraId="22C1D939">
            <w:pPr>
              <w:adjustRightInd w:val="0"/>
              <w:snapToGrid w:val="0"/>
              <w:jc w:val="center"/>
              <w:rPr>
                <w:color w:val="auto"/>
                <w:spacing w:val="8"/>
                <w:szCs w:val="21"/>
              </w:rPr>
            </w:pPr>
          </w:p>
        </w:tc>
        <w:tc>
          <w:tcPr>
            <w:tcW w:w="1136" w:type="dxa"/>
            <w:vAlign w:val="center"/>
          </w:tcPr>
          <w:p w14:paraId="2539A01C">
            <w:pPr>
              <w:adjustRightInd w:val="0"/>
              <w:snapToGrid w:val="0"/>
              <w:jc w:val="center"/>
              <w:rPr>
                <w:color w:val="auto"/>
                <w:spacing w:val="8"/>
                <w:szCs w:val="21"/>
              </w:rPr>
            </w:pPr>
          </w:p>
        </w:tc>
        <w:tc>
          <w:tcPr>
            <w:tcW w:w="1157" w:type="dxa"/>
            <w:tcBorders>
              <w:top w:val="single" w:color="auto" w:sz="4" w:space="0"/>
              <w:bottom w:val="single" w:color="auto" w:sz="4" w:space="0"/>
            </w:tcBorders>
            <w:vAlign w:val="center"/>
          </w:tcPr>
          <w:p w14:paraId="1769ABFB">
            <w:pPr>
              <w:adjustRightInd w:val="0"/>
              <w:snapToGrid w:val="0"/>
              <w:jc w:val="center"/>
              <w:rPr>
                <w:color w:val="auto"/>
                <w:spacing w:val="8"/>
                <w:szCs w:val="21"/>
              </w:rPr>
            </w:pPr>
          </w:p>
        </w:tc>
      </w:tr>
      <w:tr w14:paraId="3C702341">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0CF7BA9F">
            <w:pPr>
              <w:adjustRightInd w:val="0"/>
              <w:snapToGrid w:val="0"/>
              <w:jc w:val="center"/>
              <w:rPr>
                <w:color w:val="auto"/>
                <w:spacing w:val="8"/>
                <w:szCs w:val="21"/>
              </w:rPr>
            </w:pPr>
          </w:p>
        </w:tc>
        <w:tc>
          <w:tcPr>
            <w:tcW w:w="1470" w:type="dxa"/>
            <w:vMerge w:val="continue"/>
            <w:vAlign w:val="center"/>
          </w:tcPr>
          <w:p w14:paraId="761F1AB6">
            <w:pPr>
              <w:adjustRightInd w:val="0"/>
              <w:snapToGrid w:val="0"/>
              <w:jc w:val="center"/>
              <w:rPr>
                <w:color w:val="auto"/>
                <w:spacing w:val="8"/>
                <w:szCs w:val="21"/>
              </w:rPr>
            </w:pPr>
          </w:p>
        </w:tc>
        <w:tc>
          <w:tcPr>
            <w:tcW w:w="1471" w:type="dxa"/>
            <w:gridSpan w:val="2"/>
            <w:vAlign w:val="center"/>
          </w:tcPr>
          <w:p w14:paraId="3390007A">
            <w:pPr>
              <w:adjustRightInd w:val="0"/>
              <w:snapToGrid w:val="0"/>
              <w:jc w:val="center"/>
              <w:rPr>
                <w:color w:val="auto"/>
                <w:spacing w:val="8"/>
                <w:szCs w:val="21"/>
              </w:rPr>
            </w:pPr>
          </w:p>
        </w:tc>
        <w:tc>
          <w:tcPr>
            <w:tcW w:w="1281" w:type="dxa"/>
            <w:tcBorders>
              <w:top w:val="single" w:color="auto" w:sz="4" w:space="0"/>
              <w:bottom w:val="single" w:color="auto" w:sz="4" w:space="0"/>
            </w:tcBorders>
            <w:vAlign w:val="center"/>
          </w:tcPr>
          <w:p w14:paraId="60623150">
            <w:pPr>
              <w:adjustRightInd w:val="0"/>
              <w:snapToGrid w:val="0"/>
              <w:jc w:val="center"/>
              <w:rPr>
                <w:color w:val="auto"/>
                <w:spacing w:val="8"/>
                <w:szCs w:val="21"/>
              </w:rPr>
            </w:pPr>
          </w:p>
        </w:tc>
        <w:tc>
          <w:tcPr>
            <w:tcW w:w="1137" w:type="dxa"/>
            <w:vAlign w:val="center"/>
          </w:tcPr>
          <w:p w14:paraId="4FA6DD60">
            <w:pPr>
              <w:adjustRightInd w:val="0"/>
              <w:snapToGrid w:val="0"/>
              <w:jc w:val="center"/>
              <w:rPr>
                <w:color w:val="auto"/>
                <w:spacing w:val="8"/>
                <w:szCs w:val="21"/>
              </w:rPr>
            </w:pPr>
          </w:p>
        </w:tc>
        <w:tc>
          <w:tcPr>
            <w:tcW w:w="1136" w:type="dxa"/>
            <w:vAlign w:val="center"/>
          </w:tcPr>
          <w:p w14:paraId="55170E10">
            <w:pPr>
              <w:adjustRightInd w:val="0"/>
              <w:snapToGrid w:val="0"/>
              <w:jc w:val="center"/>
              <w:rPr>
                <w:color w:val="auto"/>
                <w:spacing w:val="8"/>
                <w:szCs w:val="21"/>
              </w:rPr>
            </w:pPr>
          </w:p>
        </w:tc>
        <w:tc>
          <w:tcPr>
            <w:tcW w:w="1136" w:type="dxa"/>
            <w:vAlign w:val="center"/>
          </w:tcPr>
          <w:p w14:paraId="4C82C987">
            <w:pPr>
              <w:adjustRightInd w:val="0"/>
              <w:snapToGrid w:val="0"/>
              <w:jc w:val="center"/>
              <w:rPr>
                <w:color w:val="auto"/>
                <w:spacing w:val="8"/>
                <w:szCs w:val="21"/>
              </w:rPr>
            </w:pPr>
          </w:p>
        </w:tc>
        <w:tc>
          <w:tcPr>
            <w:tcW w:w="1157" w:type="dxa"/>
            <w:tcBorders>
              <w:top w:val="single" w:color="auto" w:sz="4" w:space="0"/>
              <w:bottom w:val="single" w:color="auto" w:sz="4" w:space="0"/>
            </w:tcBorders>
            <w:vAlign w:val="center"/>
          </w:tcPr>
          <w:p w14:paraId="51785C66">
            <w:pPr>
              <w:adjustRightInd w:val="0"/>
              <w:snapToGrid w:val="0"/>
              <w:jc w:val="center"/>
              <w:rPr>
                <w:color w:val="auto"/>
                <w:spacing w:val="8"/>
                <w:szCs w:val="21"/>
              </w:rPr>
            </w:pPr>
          </w:p>
        </w:tc>
      </w:tr>
      <w:tr w14:paraId="47BE828F">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restart"/>
            <w:vAlign w:val="center"/>
          </w:tcPr>
          <w:p w14:paraId="465D803C">
            <w:pPr>
              <w:pStyle w:val="34"/>
              <w:adjustRightInd w:val="0"/>
              <w:snapToGrid w:val="0"/>
              <w:jc w:val="center"/>
              <w:rPr>
                <w:rFonts w:eastAsia="宋体"/>
                <w:color w:val="auto"/>
                <w:sz w:val="21"/>
                <w:szCs w:val="21"/>
              </w:rPr>
            </w:pPr>
            <w:r>
              <w:rPr>
                <w:rFonts w:eastAsia="宋体"/>
                <w:color w:val="auto"/>
                <w:sz w:val="21"/>
                <w:szCs w:val="21"/>
              </w:rPr>
              <w:t>3</w:t>
            </w:r>
          </w:p>
        </w:tc>
        <w:tc>
          <w:tcPr>
            <w:tcW w:w="1470" w:type="dxa"/>
            <w:vMerge w:val="restart"/>
            <w:vAlign w:val="center"/>
          </w:tcPr>
          <w:p w14:paraId="4E4EDDB7">
            <w:pPr>
              <w:adjustRightInd w:val="0"/>
              <w:snapToGrid w:val="0"/>
              <w:jc w:val="center"/>
              <w:rPr>
                <w:color w:val="auto"/>
                <w:spacing w:val="8"/>
                <w:szCs w:val="21"/>
              </w:rPr>
            </w:pPr>
            <w:r>
              <w:rPr>
                <w:color w:val="auto"/>
                <w:spacing w:val="8"/>
                <w:szCs w:val="21"/>
              </w:rPr>
              <w:t>吊装后外观</w:t>
            </w:r>
          </w:p>
          <w:p w14:paraId="3E6DB7DA">
            <w:pPr>
              <w:adjustRightInd w:val="0"/>
              <w:snapToGrid w:val="0"/>
              <w:jc w:val="center"/>
              <w:rPr>
                <w:color w:val="auto"/>
                <w:szCs w:val="21"/>
              </w:rPr>
            </w:pPr>
            <w:r>
              <w:rPr>
                <w:color w:val="auto"/>
                <w:spacing w:val="8"/>
                <w:szCs w:val="21"/>
              </w:rPr>
              <w:t>质量检</w:t>
            </w:r>
            <w:r>
              <w:rPr>
                <w:color w:val="auto"/>
                <w:szCs w:val="21"/>
              </w:rPr>
              <w:t>测</w:t>
            </w:r>
          </w:p>
        </w:tc>
        <w:tc>
          <w:tcPr>
            <w:tcW w:w="1471" w:type="dxa"/>
            <w:gridSpan w:val="2"/>
            <w:vAlign w:val="center"/>
          </w:tcPr>
          <w:p w14:paraId="2B5FD55F">
            <w:pPr>
              <w:adjustRightInd w:val="0"/>
              <w:snapToGrid w:val="0"/>
              <w:jc w:val="center"/>
              <w:rPr>
                <w:color w:val="auto"/>
                <w:spacing w:val="8"/>
                <w:szCs w:val="21"/>
              </w:rPr>
            </w:pPr>
          </w:p>
        </w:tc>
        <w:tc>
          <w:tcPr>
            <w:tcW w:w="1281" w:type="dxa"/>
            <w:tcBorders>
              <w:top w:val="single" w:color="auto" w:sz="4" w:space="0"/>
              <w:bottom w:val="single" w:color="auto" w:sz="4" w:space="0"/>
            </w:tcBorders>
            <w:vAlign w:val="center"/>
          </w:tcPr>
          <w:p w14:paraId="495EE388">
            <w:pPr>
              <w:adjustRightInd w:val="0"/>
              <w:snapToGrid w:val="0"/>
              <w:jc w:val="center"/>
              <w:rPr>
                <w:color w:val="auto"/>
                <w:szCs w:val="21"/>
              </w:rPr>
            </w:pPr>
          </w:p>
        </w:tc>
        <w:tc>
          <w:tcPr>
            <w:tcW w:w="1137" w:type="dxa"/>
            <w:vAlign w:val="center"/>
          </w:tcPr>
          <w:p w14:paraId="2E01AF07">
            <w:pPr>
              <w:adjustRightInd w:val="0"/>
              <w:snapToGrid w:val="0"/>
              <w:jc w:val="center"/>
              <w:rPr>
                <w:color w:val="auto"/>
                <w:szCs w:val="21"/>
              </w:rPr>
            </w:pPr>
          </w:p>
        </w:tc>
        <w:tc>
          <w:tcPr>
            <w:tcW w:w="1136" w:type="dxa"/>
            <w:vAlign w:val="center"/>
          </w:tcPr>
          <w:p w14:paraId="22CAB024">
            <w:pPr>
              <w:adjustRightInd w:val="0"/>
              <w:snapToGrid w:val="0"/>
              <w:jc w:val="center"/>
              <w:rPr>
                <w:color w:val="auto"/>
                <w:szCs w:val="21"/>
              </w:rPr>
            </w:pPr>
          </w:p>
        </w:tc>
        <w:tc>
          <w:tcPr>
            <w:tcW w:w="1136" w:type="dxa"/>
            <w:vAlign w:val="center"/>
          </w:tcPr>
          <w:p w14:paraId="4555EC47">
            <w:pPr>
              <w:adjustRightInd w:val="0"/>
              <w:snapToGrid w:val="0"/>
              <w:jc w:val="center"/>
              <w:rPr>
                <w:color w:val="auto"/>
                <w:szCs w:val="21"/>
              </w:rPr>
            </w:pPr>
          </w:p>
        </w:tc>
        <w:tc>
          <w:tcPr>
            <w:tcW w:w="1157" w:type="dxa"/>
            <w:tcBorders>
              <w:top w:val="single" w:color="auto" w:sz="4" w:space="0"/>
              <w:bottom w:val="single" w:color="auto" w:sz="4" w:space="0"/>
            </w:tcBorders>
            <w:vAlign w:val="center"/>
          </w:tcPr>
          <w:p w14:paraId="1A4D2D95">
            <w:pPr>
              <w:adjustRightInd w:val="0"/>
              <w:snapToGrid w:val="0"/>
              <w:jc w:val="center"/>
              <w:rPr>
                <w:color w:val="auto"/>
                <w:szCs w:val="21"/>
              </w:rPr>
            </w:pPr>
          </w:p>
        </w:tc>
      </w:tr>
      <w:tr w14:paraId="64773E91">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07D62718">
            <w:pPr>
              <w:adjustRightInd w:val="0"/>
              <w:snapToGrid w:val="0"/>
              <w:jc w:val="center"/>
              <w:rPr>
                <w:color w:val="auto"/>
              </w:rPr>
            </w:pPr>
          </w:p>
        </w:tc>
        <w:tc>
          <w:tcPr>
            <w:tcW w:w="1470" w:type="dxa"/>
            <w:vMerge w:val="continue"/>
            <w:vAlign w:val="center"/>
          </w:tcPr>
          <w:p w14:paraId="6FEC6411">
            <w:pPr>
              <w:adjustRightInd w:val="0"/>
              <w:snapToGrid w:val="0"/>
              <w:jc w:val="center"/>
              <w:rPr>
                <w:color w:val="auto"/>
              </w:rPr>
            </w:pPr>
          </w:p>
        </w:tc>
        <w:tc>
          <w:tcPr>
            <w:tcW w:w="1471" w:type="dxa"/>
            <w:gridSpan w:val="2"/>
            <w:vAlign w:val="center"/>
          </w:tcPr>
          <w:p w14:paraId="2D20B5B7">
            <w:pPr>
              <w:adjustRightInd w:val="0"/>
              <w:snapToGrid w:val="0"/>
              <w:jc w:val="center"/>
              <w:rPr>
                <w:color w:val="auto"/>
                <w:spacing w:val="8"/>
                <w:szCs w:val="21"/>
              </w:rPr>
            </w:pPr>
          </w:p>
        </w:tc>
        <w:tc>
          <w:tcPr>
            <w:tcW w:w="1281" w:type="dxa"/>
            <w:tcBorders>
              <w:top w:val="single" w:color="auto" w:sz="4" w:space="0"/>
              <w:bottom w:val="single" w:color="auto" w:sz="4" w:space="0"/>
            </w:tcBorders>
            <w:vAlign w:val="center"/>
          </w:tcPr>
          <w:p w14:paraId="72E3D2AA">
            <w:pPr>
              <w:adjustRightInd w:val="0"/>
              <w:snapToGrid w:val="0"/>
              <w:jc w:val="center"/>
              <w:rPr>
                <w:color w:val="auto"/>
                <w:spacing w:val="8"/>
                <w:szCs w:val="21"/>
              </w:rPr>
            </w:pPr>
          </w:p>
        </w:tc>
        <w:tc>
          <w:tcPr>
            <w:tcW w:w="1137" w:type="dxa"/>
            <w:vAlign w:val="center"/>
          </w:tcPr>
          <w:p w14:paraId="72A43F90">
            <w:pPr>
              <w:adjustRightInd w:val="0"/>
              <w:snapToGrid w:val="0"/>
              <w:jc w:val="center"/>
              <w:rPr>
                <w:color w:val="auto"/>
                <w:spacing w:val="8"/>
                <w:szCs w:val="21"/>
              </w:rPr>
            </w:pPr>
          </w:p>
        </w:tc>
        <w:tc>
          <w:tcPr>
            <w:tcW w:w="1136" w:type="dxa"/>
            <w:vAlign w:val="center"/>
          </w:tcPr>
          <w:p w14:paraId="3298C830">
            <w:pPr>
              <w:adjustRightInd w:val="0"/>
              <w:snapToGrid w:val="0"/>
              <w:jc w:val="center"/>
              <w:rPr>
                <w:color w:val="auto"/>
                <w:spacing w:val="8"/>
                <w:szCs w:val="21"/>
              </w:rPr>
            </w:pPr>
          </w:p>
        </w:tc>
        <w:tc>
          <w:tcPr>
            <w:tcW w:w="1136" w:type="dxa"/>
            <w:vAlign w:val="center"/>
          </w:tcPr>
          <w:p w14:paraId="1070D00D">
            <w:pPr>
              <w:adjustRightInd w:val="0"/>
              <w:snapToGrid w:val="0"/>
              <w:jc w:val="center"/>
              <w:rPr>
                <w:color w:val="auto"/>
                <w:spacing w:val="8"/>
                <w:szCs w:val="21"/>
              </w:rPr>
            </w:pPr>
          </w:p>
        </w:tc>
        <w:tc>
          <w:tcPr>
            <w:tcW w:w="1157" w:type="dxa"/>
            <w:tcBorders>
              <w:top w:val="single" w:color="auto" w:sz="4" w:space="0"/>
              <w:bottom w:val="single" w:color="auto" w:sz="4" w:space="0"/>
            </w:tcBorders>
            <w:vAlign w:val="center"/>
          </w:tcPr>
          <w:p w14:paraId="6E4B65F8">
            <w:pPr>
              <w:adjustRightInd w:val="0"/>
              <w:snapToGrid w:val="0"/>
              <w:jc w:val="center"/>
              <w:rPr>
                <w:color w:val="auto"/>
                <w:spacing w:val="8"/>
                <w:szCs w:val="21"/>
              </w:rPr>
            </w:pPr>
          </w:p>
        </w:tc>
      </w:tr>
      <w:tr w14:paraId="7FF7B02E">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22F97FF1">
            <w:pPr>
              <w:adjustRightInd w:val="0"/>
              <w:snapToGrid w:val="0"/>
              <w:jc w:val="center"/>
              <w:rPr>
                <w:color w:val="auto"/>
                <w:spacing w:val="8"/>
                <w:szCs w:val="21"/>
              </w:rPr>
            </w:pPr>
          </w:p>
        </w:tc>
        <w:tc>
          <w:tcPr>
            <w:tcW w:w="1470" w:type="dxa"/>
            <w:vMerge w:val="continue"/>
            <w:vAlign w:val="center"/>
          </w:tcPr>
          <w:p w14:paraId="2ECFE1F7">
            <w:pPr>
              <w:adjustRightInd w:val="0"/>
              <w:snapToGrid w:val="0"/>
              <w:jc w:val="center"/>
              <w:rPr>
                <w:color w:val="auto"/>
                <w:spacing w:val="8"/>
                <w:szCs w:val="21"/>
              </w:rPr>
            </w:pPr>
          </w:p>
        </w:tc>
        <w:tc>
          <w:tcPr>
            <w:tcW w:w="1471" w:type="dxa"/>
            <w:gridSpan w:val="2"/>
            <w:vAlign w:val="center"/>
          </w:tcPr>
          <w:p w14:paraId="34D55E13">
            <w:pPr>
              <w:adjustRightInd w:val="0"/>
              <w:snapToGrid w:val="0"/>
              <w:jc w:val="center"/>
              <w:rPr>
                <w:color w:val="auto"/>
                <w:spacing w:val="8"/>
                <w:szCs w:val="21"/>
              </w:rPr>
            </w:pPr>
          </w:p>
        </w:tc>
        <w:tc>
          <w:tcPr>
            <w:tcW w:w="1281" w:type="dxa"/>
            <w:tcBorders>
              <w:top w:val="single" w:color="auto" w:sz="4" w:space="0"/>
              <w:bottom w:val="single" w:color="auto" w:sz="4" w:space="0"/>
            </w:tcBorders>
            <w:vAlign w:val="center"/>
          </w:tcPr>
          <w:p w14:paraId="696FCEC0">
            <w:pPr>
              <w:adjustRightInd w:val="0"/>
              <w:snapToGrid w:val="0"/>
              <w:jc w:val="center"/>
              <w:rPr>
                <w:color w:val="auto"/>
                <w:spacing w:val="8"/>
                <w:szCs w:val="21"/>
              </w:rPr>
            </w:pPr>
          </w:p>
        </w:tc>
        <w:tc>
          <w:tcPr>
            <w:tcW w:w="1137" w:type="dxa"/>
            <w:vAlign w:val="center"/>
          </w:tcPr>
          <w:p w14:paraId="6C67860C">
            <w:pPr>
              <w:adjustRightInd w:val="0"/>
              <w:snapToGrid w:val="0"/>
              <w:jc w:val="center"/>
              <w:rPr>
                <w:color w:val="auto"/>
                <w:spacing w:val="8"/>
                <w:szCs w:val="21"/>
              </w:rPr>
            </w:pPr>
          </w:p>
        </w:tc>
        <w:tc>
          <w:tcPr>
            <w:tcW w:w="1136" w:type="dxa"/>
            <w:vAlign w:val="center"/>
          </w:tcPr>
          <w:p w14:paraId="4623A9F2">
            <w:pPr>
              <w:adjustRightInd w:val="0"/>
              <w:snapToGrid w:val="0"/>
              <w:jc w:val="center"/>
              <w:rPr>
                <w:color w:val="auto"/>
                <w:spacing w:val="8"/>
                <w:szCs w:val="21"/>
              </w:rPr>
            </w:pPr>
          </w:p>
        </w:tc>
        <w:tc>
          <w:tcPr>
            <w:tcW w:w="1136" w:type="dxa"/>
            <w:vAlign w:val="center"/>
          </w:tcPr>
          <w:p w14:paraId="508415BD">
            <w:pPr>
              <w:adjustRightInd w:val="0"/>
              <w:snapToGrid w:val="0"/>
              <w:jc w:val="center"/>
              <w:rPr>
                <w:color w:val="auto"/>
                <w:spacing w:val="8"/>
                <w:szCs w:val="21"/>
              </w:rPr>
            </w:pPr>
          </w:p>
        </w:tc>
        <w:tc>
          <w:tcPr>
            <w:tcW w:w="1157" w:type="dxa"/>
            <w:tcBorders>
              <w:top w:val="single" w:color="auto" w:sz="4" w:space="0"/>
              <w:bottom w:val="single" w:color="auto" w:sz="4" w:space="0"/>
            </w:tcBorders>
            <w:vAlign w:val="center"/>
          </w:tcPr>
          <w:p w14:paraId="00B7BAF8">
            <w:pPr>
              <w:adjustRightInd w:val="0"/>
              <w:snapToGrid w:val="0"/>
              <w:jc w:val="center"/>
              <w:rPr>
                <w:color w:val="auto"/>
                <w:spacing w:val="8"/>
                <w:szCs w:val="21"/>
              </w:rPr>
            </w:pPr>
          </w:p>
        </w:tc>
      </w:tr>
      <w:tr w14:paraId="30876EAB">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7394113C">
            <w:pPr>
              <w:adjustRightInd w:val="0"/>
              <w:snapToGrid w:val="0"/>
              <w:jc w:val="center"/>
              <w:rPr>
                <w:color w:val="auto"/>
                <w:spacing w:val="8"/>
                <w:szCs w:val="21"/>
              </w:rPr>
            </w:pPr>
          </w:p>
        </w:tc>
        <w:tc>
          <w:tcPr>
            <w:tcW w:w="1470" w:type="dxa"/>
            <w:vMerge w:val="continue"/>
            <w:vAlign w:val="center"/>
          </w:tcPr>
          <w:p w14:paraId="3BDC182E">
            <w:pPr>
              <w:adjustRightInd w:val="0"/>
              <w:snapToGrid w:val="0"/>
              <w:jc w:val="center"/>
              <w:rPr>
                <w:color w:val="auto"/>
                <w:spacing w:val="8"/>
                <w:szCs w:val="21"/>
              </w:rPr>
            </w:pPr>
          </w:p>
        </w:tc>
        <w:tc>
          <w:tcPr>
            <w:tcW w:w="1471" w:type="dxa"/>
            <w:gridSpan w:val="2"/>
            <w:vAlign w:val="center"/>
          </w:tcPr>
          <w:p w14:paraId="2D6ECF3A">
            <w:pPr>
              <w:adjustRightInd w:val="0"/>
              <w:snapToGrid w:val="0"/>
              <w:jc w:val="center"/>
              <w:rPr>
                <w:color w:val="auto"/>
                <w:spacing w:val="8"/>
                <w:szCs w:val="21"/>
              </w:rPr>
            </w:pPr>
          </w:p>
        </w:tc>
        <w:tc>
          <w:tcPr>
            <w:tcW w:w="1281" w:type="dxa"/>
            <w:tcBorders>
              <w:top w:val="single" w:color="auto" w:sz="4" w:space="0"/>
              <w:bottom w:val="single" w:color="auto" w:sz="4" w:space="0"/>
            </w:tcBorders>
            <w:vAlign w:val="center"/>
          </w:tcPr>
          <w:p w14:paraId="32154DCE">
            <w:pPr>
              <w:adjustRightInd w:val="0"/>
              <w:snapToGrid w:val="0"/>
              <w:jc w:val="center"/>
              <w:rPr>
                <w:color w:val="auto"/>
                <w:spacing w:val="8"/>
                <w:szCs w:val="21"/>
              </w:rPr>
            </w:pPr>
          </w:p>
        </w:tc>
        <w:tc>
          <w:tcPr>
            <w:tcW w:w="1137" w:type="dxa"/>
            <w:vAlign w:val="center"/>
          </w:tcPr>
          <w:p w14:paraId="3DEC4200">
            <w:pPr>
              <w:adjustRightInd w:val="0"/>
              <w:snapToGrid w:val="0"/>
              <w:jc w:val="center"/>
              <w:rPr>
                <w:color w:val="auto"/>
                <w:spacing w:val="8"/>
                <w:szCs w:val="21"/>
              </w:rPr>
            </w:pPr>
          </w:p>
        </w:tc>
        <w:tc>
          <w:tcPr>
            <w:tcW w:w="1136" w:type="dxa"/>
            <w:vAlign w:val="center"/>
          </w:tcPr>
          <w:p w14:paraId="3FA846E3">
            <w:pPr>
              <w:adjustRightInd w:val="0"/>
              <w:snapToGrid w:val="0"/>
              <w:jc w:val="center"/>
              <w:rPr>
                <w:color w:val="auto"/>
                <w:spacing w:val="8"/>
                <w:szCs w:val="21"/>
              </w:rPr>
            </w:pPr>
          </w:p>
        </w:tc>
        <w:tc>
          <w:tcPr>
            <w:tcW w:w="1136" w:type="dxa"/>
            <w:vAlign w:val="center"/>
          </w:tcPr>
          <w:p w14:paraId="751AD1CC">
            <w:pPr>
              <w:adjustRightInd w:val="0"/>
              <w:snapToGrid w:val="0"/>
              <w:jc w:val="center"/>
              <w:rPr>
                <w:color w:val="auto"/>
                <w:spacing w:val="8"/>
                <w:szCs w:val="21"/>
              </w:rPr>
            </w:pPr>
          </w:p>
        </w:tc>
        <w:tc>
          <w:tcPr>
            <w:tcW w:w="1157" w:type="dxa"/>
            <w:tcBorders>
              <w:top w:val="single" w:color="auto" w:sz="4" w:space="0"/>
              <w:bottom w:val="single" w:color="auto" w:sz="4" w:space="0"/>
            </w:tcBorders>
            <w:vAlign w:val="center"/>
          </w:tcPr>
          <w:p w14:paraId="3C348619">
            <w:pPr>
              <w:adjustRightInd w:val="0"/>
              <w:snapToGrid w:val="0"/>
              <w:jc w:val="center"/>
              <w:rPr>
                <w:color w:val="auto"/>
                <w:spacing w:val="8"/>
                <w:szCs w:val="21"/>
              </w:rPr>
            </w:pPr>
          </w:p>
        </w:tc>
      </w:tr>
      <w:tr w14:paraId="068927A7">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restart"/>
            <w:vAlign w:val="center"/>
          </w:tcPr>
          <w:p w14:paraId="2BA34C37">
            <w:pPr>
              <w:pStyle w:val="34"/>
              <w:adjustRightInd w:val="0"/>
              <w:snapToGrid w:val="0"/>
              <w:jc w:val="center"/>
              <w:rPr>
                <w:rFonts w:eastAsia="宋体"/>
                <w:color w:val="auto"/>
                <w:sz w:val="21"/>
                <w:szCs w:val="21"/>
              </w:rPr>
            </w:pPr>
            <w:r>
              <w:rPr>
                <w:rFonts w:eastAsia="宋体"/>
                <w:color w:val="auto"/>
                <w:sz w:val="21"/>
                <w:szCs w:val="21"/>
              </w:rPr>
              <w:t>4</w:t>
            </w:r>
          </w:p>
        </w:tc>
        <w:tc>
          <w:tcPr>
            <w:tcW w:w="1470" w:type="dxa"/>
            <w:vMerge w:val="restart"/>
            <w:vAlign w:val="center"/>
          </w:tcPr>
          <w:p w14:paraId="26F0FDE9">
            <w:pPr>
              <w:adjustRightInd w:val="0"/>
              <w:snapToGrid w:val="0"/>
              <w:jc w:val="center"/>
              <w:rPr>
                <w:color w:val="auto"/>
                <w:spacing w:val="7"/>
                <w:szCs w:val="21"/>
              </w:rPr>
            </w:pPr>
            <w:r>
              <w:rPr>
                <w:color w:val="auto"/>
                <w:spacing w:val="7"/>
                <w:szCs w:val="21"/>
              </w:rPr>
              <w:t>拼装质量</w:t>
            </w:r>
          </w:p>
          <w:p w14:paraId="7EC36AE8">
            <w:pPr>
              <w:adjustRightInd w:val="0"/>
              <w:snapToGrid w:val="0"/>
              <w:jc w:val="center"/>
              <w:rPr>
                <w:color w:val="auto"/>
                <w:szCs w:val="21"/>
              </w:rPr>
            </w:pPr>
            <w:r>
              <w:rPr>
                <w:color w:val="auto"/>
                <w:spacing w:val="7"/>
                <w:szCs w:val="21"/>
              </w:rPr>
              <w:t>检测</w:t>
            </w:r>
          </w:p>
        </w:tc>
        <w:tc>
          <w:tcPr>
            <w:tcW w:w="1471" w:type="dxa"/>
            <w:gridSpan w:val="2"/>
            <w:vAlign w:val="center"/>
          </w:tcPr>
          <w:p w14:paraId="138CA234">
            <w:pPr>
              <w:adjustRightInd w:val="0"/>
              <w:snapToGrid w:val="0"/>
              <w:jc w:val="center"/>
              <w:rPr>
                <w:color w:val="auto"/>
                <w:spacing w:val="7"/>
                <w:szCs w:val="21"/>
              </w:rPr>
            </w:pPr>
          </w:p>
        </w:tc>
        <w:tc>
          <w:tcPr>
            <w:tcW w:w="1281" w:type="dxa"/>
            <w:tcBorders>
              <w:top w:val="single" w:color="auto" w:sz="4" w:space="0"/>
            </w:tcBorders>
            <w:vAlign w:val="center"/>
          </w:tcPr>
          <w:p w14:paraId="12A4B507">
            <w:pPr>
              <w:adjustRightInd w:val="0"/>
              <w:snapToGrid w:val="0"/>
              <w:jc w:val="center"/>
              <w:rPr>
                <w:color w:val="auto"/>
                <w:szCs w:val="21"/>
              </w:rPr>
            </w:pPr>
          </w:p>
        </w:tc>
        <w:tc>
          <w:tcPr>
            <w:tcW w:w="1137" w:type="dxa"/>
            <w:vAlign w:val="center"/>
          </w:tcPr>
          <w:p w14:paraId="19795C64">
            <w:pPr>
              <w:adjustRightInd w:val="0"/>
              <w:snapToGrid w:val="0"/>
              <w:jc w:val="center"/>
              <w:rPr>
                <w:color w:val="auto"/>
                <w:szCs w:val="21"/>
              </w:rPr>
            </w:pPr>
          </w:p>
        </w:tc>
        <w:tc>
          <w:tcPr>
            <w:tcW w:w="1136" w:type="dxa"/>
            <w:vAlign w:val="center"/>
          </w:tcPr>
          <w:p w14:paraId="6E166D31">
            <w:pPr>
              <w:adjustRightInd w:val="0"/>
              <w:snapToGrid w:val="0"/>
              <w:jc w:val="center"/>
              <w:rPr>
                <w:color w:val="auto"/>
                <w:szCs w:val="21"/>
              </w:rPr>
            </w:pPr>
          </w:p>
        </w:tc>
        <w:tc>
          <w:tcPr>
            <w:tcW w:w="1136" w:type="dxa"/>
            <w:vAlign w:val="center"/>
          </w:tcPr>
          <w:p w14:paraId="46702804">
            <w:pPr>
              <w:adjustRightInd w:val="0"/>
              <w:snapToGrid w:val="0"/>
              <w:jc w:val="center"/>
              <w:rPr>
                <w:color w:val="auto"/>
                <w:szCs w:val="21"/>
              </w:rPr>
            </w:pPr>
          </w:p>
        </w:tc>
        <w:tc>
          <w:tcPr>
            <w:tcW w:w="1157" w:type="dxa"/>
            <w:tcBorders>
              <w:top w:val="single" w:color="auto" w:sz="4" w:space="0"/>
            </w:tcBorders>
            <w:vAlign w:val="center"/>
          </w:tcPr>
          <w:p w14:paraId="7299F5C2">
            <w:pPr>
              <w:adjustRightInd w:val="0"/>
              <w:snapToGrid w:val="0"/>
              <w:jc w:val="center"/>
              <w:rPr>
                <w:color w:val="auto"/>
                <w:szCs w:val="21"/>
              </w:rPr>
            </w:pPr>
          </w:p>
        </w:tc>
      </w:tr>
      <w:tr w14:paraId="711B3F33">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06A8D17B">
            <w:pPr>
              <w:adjustRightInd w:val="0"/>
              <w:snapToGrid w:val="0"/>
              <w:jc w:val="center"/>
              <w:rPr>
                <w:color w:val="auto"/>
              </w:rPr>
            </w:pPr>
          </w:p>
        </w:tc>
        <w:tc>
          <w:tcPr>
            <w:tcW w:w="1470" w:type="dxa"/>
            <w:vMerge w:val="continue"/>
            <w:vAlign w:val="center"/>
          </w:tcPr>
          <w:p w14:paraId="791B00A6">
            <w:pPr>
              <w:adjustRightInd w:val="0"/>
              <w:snapToGrid w:val="0"/>
              <w:jc w:val="center"/>
              <w:rPr>
                <w:color w:val="auto"/>
              </w:rPr>
            </w:pPr>
          </w:p>
        </w:tc>
        <w:tc>
          <w:tcPr>
            <w:tcW w:w="1471" w:type="dxa"/>
            <w:gridSpan w:val="2"/>
            <w:vAlign w:val="center"/>
          </w:tcPr>
          <w:p w14:paraId="2EEDFD40">
            <w:pPr>
              <w:adjustRightInd w:val="0"/>
              <w:snapToGrid w:val="0"/>
              <w:jc w:val="center"/>
              <w:rPr>
                <w:color w:val="auto"/>
                <w:spacing w:val="7"/>
                <w:szCs w:val="21"/>
              </w:rPr>
            </w:pPr>
          </w:p>
        </w:tc>
        <w:tc>
          <w:tcPr>
            <w:tcW w:w="1281" w:type="dxa"/>
            <w:tcBorders>
              <w:top w:val="single" w:color="auto" w:sz="4" w:space="0"/>
            </w:tcBorders>
            <w:vAlign w:val="center"/>
          </w:tcPr>
          <w:p w14:paraId="3724C60A">
            <w:pPr>
              <w:adjustRightInd w:val="0"/>
              <w:snapToGrid w:val="0"/>
              <w:jc w:val="center"/>
              <w:rPr>
                <w:color w:val="auto"/>
                <w:spacing w:val="7"/>
                <w:szCs w:val="21"/>
              </w:rPr>
            </w:pPr>
          </w:p>
        </w:tc>
        <w:tc>
          <w:tcPr>
            <w:tcW w:w="1137" w:type="dxa"/>
            <w:vAlign w:val="center"/>
          </w:tcPr>
          <w:p w14:paraId="1424FEE9">
            <w:pPr>
              <w:adjustRightInd w:val="0"/>
              <w:snapToGrid w:val="0"/>
              <w:jc w:val="center"/>
              <w:rPr>
                <w:color w:val="auto"/>
                <w:spacing w:val="7"/>
                <w:szCs w:val="21"/>
              </w:rPr>
            </w:pPr>
          </w:p>
        </w:tc>
        <w:tc>
          <w:tcPr>
            <w:tcW w:w="1136" w:type="dxa"/>
            <w:vAlign w:val="center"/>
          </w:tcPr>
          <w:p w14:paraId="56EC390C">
            <w:pPr>
              <w:adjustRightInd w:val="0"/>
              <w:snapToGrid w:val="0"/>
              <w:jc w:val="center"/>
              <w:rPr>
                <w:color w:val="auto"/>
                <w:spacing w:val="7"/>
                <w:szCs w:val="21"/>
              </w:rPr>
            </w:pPr>
          </w:p>
        </w:tc>
        <w:tc>
          <w:tcPr>
            <w:tcW w:w="1136" w:type="dxa"/>
            <w:vAlign w:val="center"/>
          </w:tcPr>
          <w:p w14:paraId="19711EE3">
            <w:pPr>
              <w:adjustRightInd w:val="0"/>
              <w:snapToGrid w:val="0"/>
              <w:jc w:val="center"/>
              <w:rPr>
                <w:color w:val="auto"/>
                <w:spacing w:val="7"/>
                <w:szCs w:val="21"/>
              </w:rPr>
            </w:pPr>
          </w:p>
        </w:tc>
        <w:tc>
          <w:tcPr>
            <w:tcW w:w="1157" w:type="dxa"/>
            <w:tcBorders>
              <w:top w:val="single" w:color="auto" w:sz="4" w:space="0"/>
            </w:tcBorders>
            <w:vAlign w:val="center"/>
          </w:tcPr>
          <w:p w14:paraId="5463AD15">
            <w:pPr>
              <w:adjustRightInd w:val="0"/>
              <w:snapToGrid w:val="0"/>
              <w:jc w:val="center"/>
              <w:rPr>
                <w:color w:val="auto"/>
                <w:spacing w:val="7"/>
                <w:szCs w:val="21"/>
              </w:rPr>
            </w:pPr>
          </w:p>
        </w:tc>
      </w:tr>
      <w:tr w14:paraId="5DC66078">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34026AC6">
            <w:pPr>
              <w:adjustRightInd w:val="0"/>
              <w:snapToGrid w:val="0"/>
              <w:jc w:val="center"/>
              <w:rPr>
                <w:color w:val="auto"/>
                <w:spacing w:val="7"/>
                <w:szCs w:val="21"/>
              </w:rPr>
            </w:pPr>
          </w:p>
        </w:tc>
        <w:tc>
          <w:tcPr>
            <w:tcW w:w="1470" w:type="dxa"/>
            <w:vMerge w:val="continue"/>
            <w:vAlign w:val="center"/>
          </w:tcPr>
          <w:p w14:paraId="701C3EFF">
            <w:pPr>
              <w:adjustRightInd w:val="0"/>
              <w:snapToGrid w:val="0"/>
              <w:jc w:val="center"/>
              <w:rPr>
                <w:color w:val="auto"/>
                <w:spacing w:val="7"/>
                <w:szCs w:val="21"/>
              </w:rPr>
            </w:pPr>
          </w:p>
        </w:tc>
        <w:tc>
          <w:tcPr>
            <w:tcW w:w="1471" w:type="dxa"/>
            <w:gridSpan w:val="2"/>
            <w:vAlign w:val="center"/>
          </w:tcPr>
          <w:p w14:paraId="3964F1C0">
            <w:pPr>
              <w:adjustRightInd w:val="0"/>
              <w:snapToGrid w:val="0"/>
              <w:jc w:val="center"/>
              <w:rPr>
                <w:color w:val="auto"/>
                <w:spacing w:val="7"/>
                <w:szCs w:val="21"/>
              </w:rPr>
            </w:pPr>
          </w:p>
        </w:tc>
        <w:tc>
          <w:tcPr>
            <w:tcW w:w="1281" w:type="dxa"/>
            <w:tcBorders>
              <w:top w:val="single" w:color="auto" w:sz="4" w:space="0"/>
            </w:tcBorders>
            <w:vAlign w:val="center"/>
          </w:tcPr>
          <w:p w14:paraId="0A31E72D">
            <w:pPr>
              <w:adjustRightInd w:val="0"/>
              <w:snapToGrid w:val="0"/>
              <w:jc w:val="center"/>
              <w:rPr>
                <w:color w:val="auto"/>
                <w:spacing w:val="7"/>
                <w:szCs w:val="21"/>
              </w:rPr>
            </w:pPr>
          </w:p>
        </w:tc>
        <w:tc>
          <w:tcPr>
            <w:tcW w:w="1137" w:type="dxa"/>
            <w:vAlign w:val="center"/>
          </w:tcPr>
          <w:p w14:paraId="3DC51831">
            <w:pPr>
              <w:adjustRightInd w:val="0"/>
              <w:snapToGrid w:val="0"/>
              <w:jc w:val="center"/>
              <w:rPr>
                <w:color w:val="auto"/>
                <w:spacing w:val="7"/>
                <w:szCs w:val="21"/>
              </w:rPr>
            </w:pPr>
          </w:p>
        </w:tc>
        <w:tc>
          <w:tcPr>
            <w:tcW w:w="1136" w:type="dxa"/>
            <w:vAlign w:val="center"/>
          </w:tcPr>
          <w:p w14:paraId="44B4A52F">
            <w:pPr>
              <w:adjustRightInd w:val="0"/>
              <w:snapToGrid w:val="0"/>
              <w:jc w:val="center"/>
              <w:rPr>
                <w:color w:val="auto"/>
                <w:spacing w:val="7"/>
                <w:szCs w:val="21"/>
              </w:rPr>
            </w:pPr>
          </w:p>
        </w:tc>
        <w:tc>
          <w:tcPr>
            <w:tcW w:w="1136" w:type="dxa"/>
            <w:vAlign w:val="center"/>
          </w:tcPr>
          <w:p w14:paraId="7C12B710">
            <w:pPr>
              <w:adjustRightInd w:val="0"/>
              <w:snapToGrid w:val="0"/>
              <w:jc w:val="center"/>
              <w:rPr>
                <w:color w:val="auto"/>
                <w:spacing w:val="7"/>
                <w:szCs w:val="21"/>
              </w:rPr>
            </w:pPr>
          </w:p>
        </w:tc>
        <w:tc>
          <w:tcPr>
            <w:tcW w:w="1157" w:type="dxa"/>
            <w:tcBorders>
              <w:top w:val="single" w:color="auto" w:sz="4" w:space="0"/>
            </w:tcBorders>
            <w:vAlign w:val="center"/>
          </w:tcPr>
          <w:p w14:paraId="1E7D36AE">
            <w:pPr>
              <w:adjustRightInd w:val="0"/>
              <w:snapToGrid w:val="0"/>
              <w:jc w:val="center"/>
              <w:rPr>
                <w:color w:val="auto"/>
                <w:spacing w:val="7"/>
                <w:szCs w:val="21"/>
              </w:rPr>
            </w:pPr>
          </w:p>
        </w:tc>
      </w:tr>
      <w:tr w14:paraId="0F622AD7">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559" w:type="dxa"/>
            <w:vMerge w:val="continue"/>
            <w:vAlign w:val="center"/>
          </w:tcPr>
          <w:p w14:paraId="095DE8DE">
            <w:pPr>
              <w:adjustRightInd w:val="0"/>
              <w:snapToGrid w:val="0"/>
              <w:jc w:val="center"/>
              <w:rPr>
                <w:color w:val="auto"/>
                <w:spacing w:val="7"/>
                <w:szCs w:val="21"/>
              </w:rPr>
            </w:pPr>
          </w:p>
        </w:tc>
        <w:tc>
          <w:tcPr>
            <w:tcW w:w="1470" w:type="dxa"/>
            <w:vMerge w:val="continue"/>
            <w:vAlign w:val="center"/>
          </w:tcPr>
          <w:p w14:paraId="31BC8832">
            <w:pPr>
              <w:adjustRightInd w:val="0"/>
              <w:snapToGrid w:val="0"/>
              <w:jc w:val="center"/>
              <w:rPr>
                <w:color w:val="auto"/>
                <w:spacing w:val="7"/>
                <w:szCs w:val="21"/>
              </w:rPr>
            </w:pPr>
          </w:p>
        </w:tc>
        <w:tc>
          <w:tcPr>
            <w:tcW w:w="1471" w:type="dxa"/>
            <w:gridSpan w:val="2"/>
            <w:vAlign w:val="center"/>
          </w:tcPr>
          <w:p w14:paraId="00EC5E0A">
            <w:pPr>
              <w:adjustRightInd w:val="0"/>
              <w:snapToGrid w:val="0"/>
              <w:jc w:val="center"/>
              <w:rPr>
                <w:color w:val="auto"/>
                <w:spacing w:val="7"/>
                <w:szCs w:val="21"/>
              </w:rPr>
            </w:pPr>
          </w:p>
        </w:tc>
        <w:tc>
          <w:tcPr>
            <w:tcW w:w="1281" w:type="dxa"/>
            <w:tcBorders>
              <w:top w:val="single" w:color="auto" w:sz="4" w:space="0"/>
            </w:tcBorders>
            <w:vAlign w:val="center"/>
          </w:tcPr>
          <w:p w14:paraId="2DFED615">
            <w:pPr>
              <w:adjustRightInd w:val="0"/>
              <w:snapToGrid w:val="0"/>
              <w:jc w:val="center"/>
              <w:rPr>
                <w:color w:val="auto"/>
                <w:spacing w:val="7"/>
                <w:szCs w:val="21"/>
              </w:rPr>
            </w:pPr>
          </w:p>
        </w:tc>
        <w:tc>
          <w:tcPr>
            <w:tcW w:w="1137" w:type="dxa"/>
            <w:vAlign w:val="center"/>
          </w:tcPr>
          <w:p w14:paraId="22F06E94">
            <w:pPr>
              <w:adjustRightInd w:val="0"/>
              <w:snapToGrid w:val="0"/>
              <w:jc w:val="center"/>
              <w:rPr>
                <w:color w:val="auto"/>
                <w:spacing w:val="7"/>
                <w:szCs w:val="21"/>
              </w:rPr>
            </w:pPr>
          </w:p>
        </w:tc>
        <w:tc>
          <w:tcPr>
            <w:tcW w:w="1136" w:type="dxa"/>
            <w:vAlign w:val="center"/>
          </w:tcPr>
          <w:p w14:paraId="1C7D26F1">
            <w:pPr>
              <w:adjustRightInd w:val="0"/>
              <w:snapToGrid w:val="0"/>
              <w:jc w:val="center"/>
              <w:rPr>
                <w:color w:val="auto"/>
                <w:spacing w:val="7"/>
                <w:szCs w:val="21"/>
              </w:rPr>
            </w:pPr>
          </w:p>
        </w:tc>
        <w:tc>
          <w:tcPr>
            <w:tcW w:w="1136" w:type="dxa"/>
            <w:vAlign w:val="center"/>
          </w:tcPr>
          <w:p w14:paraId="1CA50FCC">
            <w:pPr>
              <w:adjustRightInd w:val="0"/>
              <w:snapToGrid w:val="0"/>
              <w:jc w:val="center"/>
              <w:rPr>
                <w:color w:val="auto"/>
                <w:spacing w:val="7"/>
                <w:szCs w:val="21"/>
              </w:rPr>
            </w:pPr>
          </w:p>
        </w:tc>
        <w:tc>
          <w:tcPr>
            <w:tcW w:w="1157" w:type="dxa"/>
            <w:tcBorders>
              <w:top w:val="single" w:color="auto" w:sz="4" w:space="0"/>
            </w:tcBorders>
            <w:vAlign w:val="center"/>
          </w:tcPr>
          <w:p w14:paraId="5EEA2DAD">
            <w:pPr>
              <w:adjustRightInd w:val="0"/>
              <w:snapToGrid w:val="0"/>
              <w:jc w:val="center"/>
              <w:rPr>
                <w:color w:val="auto"/>
                <w:spacing w:val="7"/>
                <w:szCs w:val="21"/>
              </w:rPr>
            </w:pPr>
          </w:p>
        </w:tc>
      </w:tr>
      <w:tr w14:paraId="6036B9AD">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1701" w:hRule="atLeast"/>
        </w:trPr>
        <w:tc>
          <w:tcPr>
            <w:tcW w:w="9347" w:type="dxa"/>
            <w:gridSpan w:val="9"/>
            <w:shd w:val="clear" w:color="auto" w:fill="auto"/>
            <w:vAlign w:val="center"/>
          </w:tcPr>
          <w:p w14:paraId="39144279">
            <w:pPr>
              <w:ind w:left="5669"/>
              <w:jc w:val="left"/>
              <w:rPr>
                <w:color w:val="auto"/>
                <w:spacing w:val="-3"/>
                <w:szCs w:val="21"/>
              </w:rPr>
            </w:pPr>
          </w:p>
          <w:p w14:paraId="1EC92DD8">
            <w:pPr>
              <w:ind w:left="5669"/>
              <w:jc w:val="left"/>
              <w:rPr>
                <w:color w:val="auto"/>
                <w:spacing w:val="-3"/>
                <w:szCs w:val="21"/>
              </w:rPr>
            </w:pPr>
          </w:p>
          <w:p w14:paraId="33843698">
            <w:pPr>
              <w:ind w:left="5669"/>
              <w:jc w:val="left"/>
              <w:rPr>
                <w:color w:val="auto"/>
                <w:spacing w:val="-3"/>
                <w:szCs w:val="21"/>
              </w:rPr>
            </w:pPr>
            <w:r>
              <w:rPr>
                <w:color w:val="auto"/>
                <w:spacing w:val="-3"/>
                <w:szCs w:val="21"/>
              </w:rPr>
              <w:t>模块</w:t>
            </w:r>
            <w:r>
              <w:rPr>
                <w:rFonts w:hint="eastAsia"/>
                <w:color w:val="auto"/>
                <w:spacing w:val="-3"/>
                <w:szCs w:val="21"/>
              </w:rPr>
              <w:t>单元生产</w:t>
            </w:r>
            <w:r>
              <w:rPr>
                <w:color w:val="auto"/>
                <w:spacing w:val="-3"/>
                <w:szCs w:val="21"/>
              </w:rPr>
              <w:t>单位</w:t>
            </w:r>
          </w:p>
          <w:p w14:paraId="284A4758">
            <w:pPr>
              <w:ind w:left="5669"/>
              <w:jc w:val="left"/>
              <w:rPr>
                <w:color w:val="auto"/>
                <w:spacing w:val="-3"/>
                <w:szCs w:val="21"/>
              </w:rPr>
            </w:pPr>
            <w:r>
              <w:rPr>
                <w:color w:val="auto"/>
                <w:spacing w:val="-3"/>
                <w:szCs w:val="21"/>
              </w:rPr>
              <w:t>项目负责人：</w:t>
            </w:r>
          </w:p>
          <w:p w14:paraId="589B6332">
            <w:pPr>
              <w:adjustRightInd w:val="0"/>
              <w:snapToGrid w:val="0"/>
              <w:jc w:val="right"/>
              <w:rPr>
                <w:color w:val="auto"/>
                <w:spacing w:val="-7"/>
                <w:szCs w:val="21"/>
              </w:rPr>
            </w:pPr>
          </w:p>
          <w:p w14:paraId="22486E9E">
            <w:pPr>
              <w:spacing w:before="120" w:line="219" w:lineRule="auto"/>
              <w:jc w:val="right"/>
              <w:rPr>
                <w:color w:val="auto"/>
                <w:szCs w:val="21"/>
              </w:rPr>
            </w:pPr>
            <w:r>
              <w:rPr>
                <w:color w:val="auto"/>
                <w:spacing w:val="-7"/>
                <w:szCs w:val="21"/>
              </w:rPr>
              <w:t>年</w:t>
            </w:r>
            <w:r>
              <w:rPr>
                <w:color w:val="auto"/>
                <w:spacing w:val="3"/>
                <w:szCs w:val="21"/>
              </w:rPr>
              <w:t xml:space="preserve">    </w:t>
            </w:r>
            <w:r>
              <w:rPr>
                <w:color w:val="auto"/>
                <w:spacing w:val="-7"/>
                <w:szCs w:val="21"/>
              </w:rPr>
              <w:t>月</w:t>
            </w:r>
            <w:r>
              <w:rPr>
                <w:color w:val="auto"/>
                <w:spacing w:val="9"/>
                <w:szCs w:val="21"/>
              </w:rPr>
              <w:t xml:space="preserve">    </w:t>
            </w:r>
            <w:r>
              <w:rPr>
                <w:color w:val="auto"/>
                <w:spacing w:val="-7"/>
                <w:szCs w:val="21"/>
              </w:rPr>
              <w:t>日</w:t>
            </w:r>
          </w:p>
        </w:tc>
      </w:tr>
      <w:tr w14:paraId="0D5539C5">
        <w:tblPrEx>
          <w:tblBorders>
            <w:top w:val="single" w:color="auto" w:sz="12" w:space="0"/>
            <w:left w:val="single" w:color="auto" w:sz="12" w:space="0"/>
            <w:bottom w:val="single" w:color="auto" w:sz="12" w:space="0"/>
            <w:right w:val="single" w:color="auto" w:sz="12" w:space="0"/>
            <w:insideH w:val="single" w:color="000000" w:sz="2" w:space="0"/>
            <w:insideV w:val="single" w:color="000000" w:sz="2" w:space="0"/>
          </w:tblBorders>
          <w:tblCellMar>
            <w:top w:w="0" w:type="dxa"/>
            <w:left w:w="0" w:type="dxa"/>
            <w:bottom w:w="0" w:type="dxa"/>
            <w:right w:w="0" w:type="dxa"/>
          </w:tblCellMar>
        </w:tblPrEx>
        <w:trPr>
          <w:trHeight w:val="1701" w:hRule="atLeast"/>
        </w:trPr>
        <w:tc>
          <w:tcPr>
            <w:tcW w:w="9347" w:type="dxa"/>
            <w:gridSpan w:val="9"/>
            <w:shd w:val="clear" w:color="auto" w:fill="auto"/>
            <w:vAlign w:val="center"/>
          </w:tcPr>
          <w:p w14:paraId="716DE1E6">
            <w:pPr>
              <w:ind w:left="5669"/>
              <w:jc w:val="left"/>
              <w:rPr>
                <w:color w:val="auto"/>
                <w:spacing w:val="-3"/>
                <w:szCs w:val="21"/>
              </w:rPr>
            </w:pPr>
          </w:p>
          <w:p w14:paraId="74B21438">
            <w:pPr>
              <w:ind w:left="5669"/>
              <w:jc w:val="left"/>
              <w:rPr>
                <w:color w:val="auto"/>
                <w:spacing w:val="-3"/>
                <w:szCs w:val="21"/>
              </w:rPr>
            </w:pPr>
          </w:p>
          <w:p w14:paraId="5B716BEC">
            <w:pPr>
              <w:adjustRightInd w:val="0"/>
              <w:snapToGrid w:val="0"/>
              <w:ind w:left="5669"/>
              <w:rPr>
                <w:color w:val="auto"/>
                <w:spacing w:val="-3"/>
                <w:szCs w:val="21"/>
              </w:rPr>
            </w:pPr>
            <w:r>
              <w:rPr>
                <w:color w:val="auto"/>
                <w:spacing w:val="-3"/>
                <w:szCs w:val="21"/>
              </w:rPr>
              <w:t>监理单位</w:t>
            </w:r>
          </w:p>
          <w:p w14:paraId="1BB3F249">
            <w:pPr>
              <w:adjustRightInd w:val="0"/>
              <w:snapToGrid w:val="0"/>
              <w:ind w:left="5669"/>
              <w:rPr>
                <w:color w:val="auto"/>
                <w:spacing w:val="-3"/>
                <w:szCs w:val="21"/>
              </w:rPr>
            </w:pPr>
            <w:r>
              <w:rPr>
                <w:color w:val="auto"/>
                <w:spacing w:val="-3"/>
                <w:szCs w:val="21"/>
              </w:rPr>
              <w:t>专业监理工程师：</w:t>
            </w:r>
          </w:p>
          <w:p w14:paraId="787352D9">
            <w:pPr>
              <w:pStyle w:val="34"/>
              <w:adjustRightInd w:val="0"/>
              <w:snapToGrid w:val="0"/>
              <w:jc w:val="right"/>
              <w:rPr>
                <w:rFonts w:eastAsia="宋体"/>
                <w:color w:val="auto"/>
                <w:spacing w:val="-7"/>
                <w:sz w:val="21"/>
                <w:szCs w:val="21"/>
                <w:lang w:eastAsia="zh-CN"/>
              </w:rPr>
            </w:pPr>
          </w:p>
          <w:p w14:paraId="41920C96">
            <w:pPr>
              <w:jc w:val="right"/>
              <w:rPr>
                <w:color w:val="auto"/>
                <w:spacing w:val="-7"/>
                <w:szCs w:val="21"/>
              </w:rPr>
            </w:pPr>
            <w:r>
              <w:rPr>
                <w:color w:val="auto"/>
                <w:spacing w:val="-7"/>
                <w:szCs w:val="21"/>
              </w:rPr>
              <w:t>年</w:t>
            </w:r>
            <w:r>
              <w:rPr>
                <w:color w:val="auto"/>
                <w:spacing w:val="3"/>
                <w:szCs w:val="21"/>
              </w:rPr>
              <w:t xml:space="preserve">    </w:t>
            </w:r>
            <w:r>
              <w:rPr>
                <w:color w:val="auto"/>
                <w:spacing w:val="-7"/>
                <w:szCs w:val="21"/>
              </w:rPr>
              <w:t>月</w:t>
            </w:r>
            <w:r>
              <w:rPr>
                <w:color w:val="auto"/>
                <w:spacing w:val="9"/>
                <w:szCs w:val="21"/>
              </w:rPr>
              <w:t xml:space="preserve">    </w:t>
            </w:r>
            <w:r>
              <w:rPr>
                <w:color w:val="auto"/>
                <w:spacing w:val="-7"/>
                <w:szCs w:val="21"/>
              </w:rPr>
              <w:t>日</w:t>
            </w:r>
          </w:p>
        </w:tc>
      </w:tr>
    </w:tbl>
    <w:p w14:paraId="7BF5698F">
      <w:pPr>
        <w:rPr>
          <w:color w:val="auto"/>
        </w:rPr>
        <w:sectPr>
          <w:pgSz w:w="11906" w:h="16838"/>
          <w:pgMar w:top="1610" w:right="1349" w:bottom="1213" w:left="1293" w:header="851" w:footer="992" w:gutter="0"/>
          <w:cols w:space="720" w:num="1"/>
          <w:docGrid w:type="linesAndChars" w:linePitch="333" w:charSpace="2165"/>
        </w:sectPr>
      </w:pPr>
    </w:p>
    <w:bookmarkEnd w:id="534"/>
    <w:bookmarkEnd w:id="535"/>
    <w:p w14:paraId="0C3F74BA">
      <w:pPr>
        <w:pStyle w:val="2"/>
        <w:rPr>
          <w:bCs/>
          <w:color w:val="auto"/>
        </w:rPr>
      </w:pPr>
      <w:bookmarkStart w:id="541" w:name="_Toc9462"/>
      <w:bookmarkStart w:id="542" w:name="_Toc26779"/>
      <w:bookmarkStart w:id="543" w:name="_Toc6245"/>
      <w:bookmarkStart w:id="544" w:name="_Toc15304"/>
      <w:bookmarkStart w:id="545" w:name="_Toc27420"/>
      <w:bookmarkStart w:id="546" w:name="_Toc32753"/>
      <w:bookmarkStart w:id="547" w:name="_Toc27540"/>
      <w:bookmarkStart w:id="548" w:name="_Toc5638"/>
      <w:bookmarkStart w:id="549" w:name="_Toc13666"/>
      <w:r>
        <w:rPr>
          <w:rFonts w:hint="eastAsia"/>
          <w:color w:val="auto"/>
        </w:rPr>
        <w:t>附录C</w:t>
      </w:r>
      <w:r>
        <w:rPr>
          <w:color w:val="auto"/>
        </w:rPr>
        <w:t xml:space="preserve"> </w:t>
      </w:r>
      <w:r>
        <w:rPr>
          <w:rFonts w:hint="eastAsia"/>
          <w:color w:val="auto"/>
        </w:rPr>
        <w:t xml:space="preserve"> </w:t>
      </w:r>
      <w:r>
        <w:rPr>
          <w:rFonts w:hint="eastAsia"/>
          <w:bCs/>
          <w:color w:val="auto"/>
        </w:rPr>
        <w:t>模块单元吊装测试</w:t>
      </w:r>
      <w:bookmarkEnd w:id="541"/>
      <w:bookmarkEnd w:id="542"/>
      <w:bookmarkEnd w:id="543"/>
      <w:bookmarkEnd w:id="544"/>
      <w:bookmarkEnd w:id="545"/>
      <w:bookmarkEnd w:id="546"/>
      <w:bookmarkEnd w:id="547"/>
      <w:bookmarkEnd w:id="548"/>
      <w:bookmarkEnd w:id="549"/>
    </w:p>
    <w:p w14:paraId="04292C6B">
      <w:pPr>
        <w:numPr>
          <w:ilvl w:val="0"/>
          <w:numId w:val="40"/>
        </w:numPr>
        <w:spacing w:line="312" w:lineRule="auto"/>
        <w:rPr>
          <w:color w:val="auto"/>
        </w:rPr>
      </w:pPr>
      <w:r>
        <w:rPr>
          <w:rFonts w:hint="eastAsia"/>
          <w:color w:val="auto"/>
        </w:rPr>
        <w:t>模块单元吊装测试用的吊架、吊环、吊钩和手拉葫芦等吊具及设备的规格、尺寸应与现场吊装方案保持一致。起重机械设备应满足吊装作业要求。</w:t>
      </w:r>
    </w:p>
    <w:p w14:paraId="3431D98F">
      <w:pPr>
        <w:numPr>
          <w:ilvl w:val="0"/>
          <w:numId w:val="40"/>
        </w:numPr>
        <w:spacing w:line="312" w:lineRule="auto"/>
        <w:rPr>
          <w:color w:val="auto"/>
        </w:rPr>
      </w:pPr>
      <w:r>
        <w:rPr>
          <w:rFonts w:hint="eastAsia"/>
          <w:color w:val="auto"/>
        </w:rPr>
        <w:t>模块单元吊装测试的场地、道路等条件应满足吊装作业要求。</w:t>
      </w:r>
    </w:p>
    <w:p w14:paraId="33AFD390">
      <w:pPr>
        <w:numPr>
          <w:ilvl w:val="0"/>
          <w:numId w:val="40"/>
        </w:numPr>
        <w:spacing w:line="312" w:lineRule="auto"/>
        <w:rPr>
          <w:color w:val="auto"/>
        </w:rPr>
      </w:pPr>
      <w:r>
        <w:rPr>
          <w:rFonts w:hint="eastAsia"/>
          <w:color w:val="auto"/>
        </w:rPr>
        <w:t>模块单元吊装测试前，其混凝土强度应符合设计规定，并应将其上的模板、灰浆残渣、垃圾碎块等全部清除干净。</w:t>
      </w:r>
    </w:p>
    <w:p w14:paraId="2696A2AB">
      <w:pPr>
        <w:numPr>
          <w:ilvl w:val="0"/>
          <w:numId w:val="40"/>
        </w:numPr>
        <w:spacing w:line="312" w:lineRule="auto"/>
        <w:rPr>
          <w:color w:val="auto"/>
        </w:rPr>
      </w:pPr>
      <w:r>
        <w:rPr>
          <w:rFonts w:hint="eastAsia"/>
          <w:color w:val="auto"/>
        </w:rPr>
        <w:t>模块单元的吊装测试应符合下列规定：</w:t>
      </w:r>
    </w:p>
    <w:p w14:paraId="2CAD1E1C">
      <w:pPr>
        <w:spacing w:line="312" w:lineRule="auto"/>
        <w:ind w:firstLine="422" w:firstLineChars="200"/>
        <w:rPr>
          <w:color w:val="auto"/>
        </w:rPr>
      </w:pPr>
      <w:r>
        <w:rPr>
          <w:b/>
          <w:color w:val="auto"/>
        </w:rPr>
        <w:t>1</w:t>
      </w:r>
      <w:r>
        <w:rPr>
          <w:color w:val="auto"/>
        </w:rPr>
        <w:t xml:space="preserve">  </w:t>
      </w:r>
      <w:r>
        <w:rPr>
          <w:rFonts w:hint="eastAsia"/>
          <w:color w:val="auto"/>
        </w:rPr>
        <w:t>模块单元上的吊点布置、吊环设计应符合本标准的规定；</w:t>
      </w:r>
    </w:p>
    <w:p w14:paraId="4953F9C7">
      <w:pPr>
        <w:spacing w:line="312" w:lineRule="auto"/>
        <w:ind w:firstLine="422" w:firstLineChars="200"/>
        <w:rPr>
          <w:color w:val="auto"/>
        </w:rPr>
      </w:pPr>
      <w:r>
        <w:rPr>
          <w:b/>
          <w:color w:val="auto"/>
        </w:rPr>
        <w:t>2</w:t>
      </w:r>
      <w:r>
        <w:rPr>
          <w:color w:val="auto"/>
        </w:rPr>
        <w:t xml:space="preserve">  </w:t>
      </w:r>
      <w:r>
        <w:rPr>
          <w:rFonts w:hint="eastAsia"/>
          <w:color w:val="auto"/>
        </w:rPr>
        <w:t>用手拉葫芦或长短吊链连接模块单元与吊架时，吊环与吊架预留孔位应逐一对应；</w:t>
      </w:r>
    </w:p>
    <w:p w14:paraId="10D5A396">
      <w:pPr>
        <w:spacing w:line="312" w:lineRule="auto"/>
        <w:ind w:firstLine="422" w:firstLineChars="200"/>
        <w:rPr>
          <w:color w:val="auto"/>
        </w:rPr>
      </w:pPr>
      <w:r>
        <w:rPr>
          <w:b/>
          <w:color w:val="auto"/>
        </w:rPr>
        <w:t>3</w:t>
      </w:r>
      <w:r>
        <w:rPr>
          <w:color w:val="auto"/>
        </w:rPr>
        <w:t xml:space="preserve">  </w:t>
      </w:r>
      <w:r>
        <w:rPr>
          <w:rFonts w:hint="eastAsia"/>
          <w:color w:val="auto"/>
        </w:rPr>
        <w:t>起吊前应调整吊链，使模块单元与吊架保持水平，吊架下方与模块单元吊点相连的吊链与竖直方向的夹角不宜大于10度，不应大于15度；</w:t>
      </w:r>
    </w:p>
    <w:p w14:paraId="7B05AA58">
      <w:pPr>
        <w:spacing w:line="312" w:lineRule="auto"/>
        <w:ind w:firstLine="422" w:firstLineChars="200"/>
        <w:rPr>
          <w:color w:val="auto"/>
        </w:rPr>
      </w:pPr>
      <w:r>
        <w:rPr>
          <w:b/>
          <w:color w:val="auto"/>
        </w:rPr>
        <w:t>4</w:t>
      </w:r>
      <w:r>
        <w:rPr>
          <w:color w:val="auto"/>
        </w:rPr>
        <w:t xml:space="preserve">  </w:t>
      </w:r>
      <w:r>
        <w:rPr>
          <w:rFonts w:hint="eastAsia"/>
          <w:color w:val="auto"/>
        </w:rPr>
        <w:t>模块单元吊装测试中应采用慢起、稳升、缓放的操作方式，吊运过程，应保持稳定，不得偏斜、摇摆和扭转；</w:t>
      </w:r>
    </w:p>
    <w:p w14:paraId="7D31720F">
      <w:pPr>
        <w:spacing w:line="312" w:lineRule="auto"/>
        <w:ind w:firstLine="422" w:firstLineChars="200"/>
        <w:rPr>
          <w:color w:val="auto"/>
        </w:rPr>
      </w:pPr>
      <w:r>
        <w:rPr>
          <w:b/>
          <w:color w:val="auto"/>
        </w:rPr>
        <w:t>5</w:t>
      </w:r>
      <w:r>
        <w:rPr>
          <w:color w:val="auto"/>
        </w:rPr>
        <w:t xml:space="preserve">  </w:t>
      </w:r>
      <w:r>
        <w:rPr>
          <w:rFonts w:hint="eastAsia"/>
          <w:color w:val="auto"/>
        </w:rPr>
        <w:t>初次吊装时，应将模块单元提升至距离地面</w:t>
      </w:r>
      <w:r>
        <w:rPr>
          <w:color w:val="auto"/>
        </w:rPr>
        <w:t>100mm~200mm</w:t>
      </w:r>
      <w:r>
        <w:rPr>
          <w:rFonts w:hint="eastAsia"/>
          <w:color w:val="auto"/>
        </w:rPr>
        <w:t>范围内，悬停</w:t>
      </w:r>
      <w:r>
        <w:rPr>
          <w:color w:val="auto"/>
        </w:rPr>
        <w:t>5~10</w:t>
      </w:r>
      <w:r>
        <w:rPr>
          <w:rFonts w:hint="eastAsia"/>
          <w:color w:val="auto"/>
        </w:rPr>
        <w:t>分钟，检查各部件的运行、角度及受力情况；</w:t>
      </w:r>
    </w:p>
    <w:p w14:paraId="4798B1C5">
      <w:pPr>
        <w:spacing w:line="312" w:lineRule="auto"/>
        <w:ind w:firstLine="422" w:firstLineChars="200"/>
        <w:rPr>
          <w:color w:val="auto"/>
        </w:rPr>
      </w:pPr>
      <w:r>
        <w:rPr>
          <w:b/>
          <w:color w:val="auto"/>
        </w:rPr>
        <w:t>6</w:t>
      </w:r>
      <w:r>
        <w:rPr>
          <w:color w:val="auto"/>
        </w:rPr>
        <w:t xml:space="preserve">  </w:t>
      </w:r>
      <w:r>
        <w:rPr>
          <w:rFonts w:hint="eastAsia"/>
          <w:color w:val="auto"/>
        </w:rPr>
        <w:t>模块单元起吊后应进行前、后、上、下、左、右六个方向的运动情况测试，起吊速度不宜低于</w:t>
      </w:r>
      <w:r>
        <w:rPr>
          <w:color w:val="auto"/>
        </w:rPr>
        <w:t>30m/min</w:t>
      </w:r>
      <w:r>
        <w:rPr>
          <w:rFonts w:hint="eastAsia"/>
          <w:color w:val="auto"/>
        </w:rPr>
        <w:t>；</w:t>
      </w:r>
    </w:p>
    <w:p w14:paraId="6FACF959">
      <w:pPr>
        <w:spacing w:line="312" w:lineRule="auto"/>
        <w:ind w:firstLine="422" w:firstLineChars="200"/>
        <w:rPr>
          <w:color w:val="auto"/>
        </w:rPr>
      </w:pPr>
      <w:r>
        <w:rPr>
          <w:b/>
          <w:color w:val="auto"/>
        </w:rPr>
        <w:t>7</w:t>
      </w:r>
      <w:r>
        <w:rPr>
          <w:color w:val="auto"/>
        </w:rPr>
        <w:t xml:space="preserve">  </w:t>
      </w:r>
      <w:r>
        <w:rPr>
          <w:rFonts w:hint="eastAsia"/>
          <w:color w:val="auto"/>
        </w:rPr>
        <w:t>同一模块单元应至少重复进行</w:t>
      </w:r>
      <w:r>
        <w:rPr>
          <w:color w:val="auto"/>
        </w:rPr>
        <w:t>3</w:t>
      </w:r>
      <w:r>
        <w:rPr>
          <w:rFonts w:hint="eastAsia"/>
          <w:color w:val="auto"/>
        </w:rPr>
        <w:t>次吊装测试。</w:t>
      </w:r>
    </w:p>
    <w:p w14:paraId="6F8F279D">
      <w:pPr>
        <w:numPr>
          <w:ilvl w:val="0"/>
          <w:numId w:val="40"/>
        </w:numPr>
        <w:spacing w:line="312" w:lineRule="auto"/>
        <w:rPr>
          <w:color w:val="auto"/>
        </w:rPr>
      </w:pPr>
      <w:r>
        <w:rPr>
          <w:rFonts w:hint="eastAsia"/>
          <w:color w:val="auto"/>
        </w:rPr>
        <w:t>模块单元在吊装测试中若出现明显的模块变形和混凝土损伤应重新进行模块单元吊装方案设计或采取临时加固措施。</w:t>
      </w:r>
    </w:p>
    <w:p w14:paraId="44B86C89">
      <w:pPr>
        <w:numPr>
          <w:ilvl w:val="0"/>
          <w:numId w:val="41"/>
        </w:numPr>
        <w:spacing w:line="312" w:lineRule="auto"/>
        <w:rPr>
          <w:color w:val="auto"/>
        </w:rPr>
        <w:sectPr>
          <w:pgSz w:w="11906" w:h="16838"/>
          <w:pgMar w:top="1440" w:right="1800" w:bottom="1440" w:left="1800" w:header="851" w:footer="992" w:gutter="0"/>
          <w:cols w:space="425" w:num="1"/>
          <w:docGrid w:type="lines" w:linePitch="312" w:charSpace="0"/>
        </w:sectPr>
      </w:pPr>
    </w:p>
    <w:p w14:paraId="09A6985E">
      <w:pPr>
        <w:pStyle w:val="2"/>
        <w:rPr>
          <w:bCs/>
          <w:color w:val="auto"/>
        </w:rPr>
      </w:pPr>
      <w:bookmarkStart w:id="550" w:name="_Toc93999737"/>
      <w:bookmarkStart w:id="551" w:name="_Toc82523981"/>
      <w:bookmarkStart w:id="552" w:name="_Toc93998976"/>
      <w:bookmarkStart w:id="553" w:name="_Toc6771"/>
      <w:bookmarkStart w:id="554" w:name="_Toc19755"/>
      <w:bookmarkStart w:id="555" w:name="_Toc26957"/>
      <w:bookmarkStart w:id="556" w:name="_Toc110958516"/>
      <w:bookmarkStart w:id="557" w:name="_Toc4781"/>
      <w:bookmarkStart w:id="558" w:name="_Toc24663"/>
      <w:bookmarkStart w:id="559" w:name="_Toc10162"/>
      <w:bookmarkStart w:id="560" w:name="_Toc24282"/>
      <w:bookmarkStart w:id="561" w:name="_Toc11221"/>
      <w:bookmarkStart w:id="562" w:name="_Toc22235"/>
      <w:bookmarkStart w:id="563" w:name="_Toc7813"/>
      <w:bookmarkStart w:id="564" w:name="_Toc14701"/>
      <w:bookmarkStart w:id="565" w:name="_Toc110952748"/>
      <w:r>
        <w:rPr>
          <w:rFonts w:hint="eastAsia"/>
          <w:bCs/>
          <w:color w:val="auto"/>
        </w:rPr>
        <w:t>本标准用词说明</w:t>
      </w:r>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p w14:paraId="1FD1DFBA">
      <w:pPr>
        <w:spacing w:line="312" w:lineRule="auto"/>
        <w:ind w:firstLine="422" w:firstLineChars="200"/>
        <w:jc w:val="left"/>
        <w:rPr>
          <w:bCs/>
          <w:color w:val="auto"/>
          <w:szCs w:val="21"/>
        </w:rPr>
      </w:pPr>
      <w:r>
        <w:rPr>
          <w:rFonts w:hint="eastAsia"/>
          <w:b/>
          <w:color w:val="auto"/>
          <w:szCs w:val="21"/>
        </w:rPr>
        <w:t>1</w:t>
      </w:r>
      <w:r>
        <w:rPr>
          <w:rFonts w:hint="eastAsia"/>
          <w:bCs/>
          <w:color w:val="auto"/>
          <w:szCs w:val="21"/>
        </w:rPr>
        <w:t xml:space="preserve"> </w:t>
      </w:r>
      <w:r>
        <w:rPr>
          <w:bCs/>
          <w:color w:val="auto"/>
          <w:szCs w:val="21"/>
        </w:rPr>
        <w:t xml:space="preserve"> </w:t>
      </w:r>
      <w:r>
        <w:rPr>
          <w:rFonts w:hint="eastAsia"/>
          <w:bCs/>
          <w:color w:val="auto"/>
          <w:szCs w:val="21"/>
        </w:rPr>
        <w:t>为了便于在执行本标准条文时区别对待，对要求严格程度不同的用词说明如下：</w:t>
      </w:r>
    </w:p>
    <w:p w14:paraId="1D87579D">
      <w:pPr>
        <w:spacing w:line="312" w:lineRule="auto"/>
        <w:ind w:firstLine="632" w:firstLineChars="300"/>
        <w:jc w:val="left"/>
        <w:rPr>
          <w:rFonts w:cs="宋体"/>
          <w:bCs/>
          <w:color w:val="auto"/>
          <w:szCs w:val="21"/>
        </w:rPr>
      </w:pPr>
      <w:r>
        <w:rPr>
          <w:rFonts w:hint="eastAsia" w:cs="宋体"/>
          <w:b/>
          <w:color w:val="auto"/>
          <w:szCs w:val="21"/>
        </w:rPr>
        <w:t>1</w:t>
      </w:r>
      <w:r>
        <w:rPr>
          <w:rFonts w:hint="eastAsia" w:cs="宋体"/>
          <w:bCs/>
          <w:color w:val="auto"/>
          <w:szCs w:val="21"/>
        </w:rPr>
        <w:t>）表示很严格，非这样做不可的用词：</w:t>
      </w:r>
    </w:p>
    <w:p w14:paraId="63CC63BA">
      <w:pPr>
        <w:spacing w:line="312" w:lineRule="auto"/>
        <w:ind w:firstLine="945" w:firstLineChars="450"/>
        <w:jc w:val="left"/>
        <w:rPr>
          <w:rFonts w:cs="宋体"/>
          <w:color w:val="auto"/>
          <w:szCs w:val="21"/>
        </w:rPr>
      </w:pPr>
      <w:r>
        <w:rPr>
          <w:rFonts w:hint="eastAsia" w:cs="宋体"/>
          <w:color w:val="auto"/>
          <w:szCs w:val="21"/>
        </w:rPr>
        <w:t>正面词采用“必须”，反面词采用“严禁”；</w:t>
      </w:r>
    </w:p>
    <w:p w14:paraId="6D15E68F">
      <w:pPr>
        <w:spacing w:line="312" w:lineRule="auto"/>
        <w:ind w:firstLine="632" w:firstLineChars="300"/>
        <w:jc w:val="left"/>
        <w:rPr>
          <w:rFonts w:eastAsia="黑体" w:cs="黑体"/>
          <w:color w:val="auto"/>
          <w:szCs w:val="21"/>
        </w:rPr>
      </w:pPr>
      <w:r>
        <w:rPr>
          <w:rFonts w:hint="eastAsia" w:eastAsia="黑体"/>
          <w:b/>
          <w:bCs/>
          <w:color w:val="auto"/>
          <w:szCs w:val="21"/>
        </w:rPr>
        <w:t>2</w:t>
      </w:r>
      <w:r>
        <w:rPr>
          <w:rFonts w:hint="eastAsia" w:eastAsia="黑体"/>
          <w:bCs/>
          <w:color w:val="auto"/>
          <w:szCs w:val="21"/>
        </w:rPr>
        <w:t>）</w:t>
      </w:r>
      <w:r>
        <w:rPr>
          <w:rFonts w:hint="eastAsia" w:cs="宋体"/>
          <w:color w:val="auto"/>
          <w:szCs w:val="21"/>
        </w:rPr>
        <w:t>表示严格，在正常情况下均应这样做的用词：</w:t>
      </w:r>
    </w:p>
    <w:p w14:paraId="4A8DBDFE">
      <w:pPr>
        <w:spacing w:line="312" w:lineRule="auto"/>
        <w:ind w:firstLine="945" w:firstLineChars="450"/>
        <w:jc w:val="left"/>
        <w:rPr>
          <w:rFonts w:cs="宋体"/>
          <w:color w:val="auto"/>
          <w:szCs w:val="21"/>
        </w:rPr>
      </w:pPr>
      <w:r>
        <w:rPr>
          <w:rFonts w:hint="eastAsia" w:cs="宋体"/>
          <w:color w:val="auto"/>
          <w:szCs w:val="21"/>
        </w:rPr>
        <w:t>正面词采用“应”，反面词采用“不应”或“不得”；</w:t>
      </w:r>
    </w:p>
    <w:p w14:paraId="607F346A">
      <w:pPr>
        <w:spacing w:line="312" w:lineRule="auto"/>
        <w:ind w:firstLine="632" w:firstLineChars="300"/>
        <w:jc w:val="left"/>
        <w:rPr>
          <w:rFonts w:eastAsia="黑体" w:cs="黑体"/>
          <w:color w:val="auto"/>
          <w:szCs w:val="21"/>
        </w:rPr>
      </w:pPr>
      <w:r>
        <w:rPr>
          <w:rFonts w:hint="eastAsia" w:eastAsia="黑体"/>
          <w:b/>
          <w:bCs/>
          <w:color w:val="auto"/>
          <w:szCs w:val="21"/>
        </w:rPr>
        <w:t>3</w:t>
      </w:r>
      <w:r>
        <w:rPr>
          <w:rFonts w:hint="eastAsia" w:eastAsia="黑体"/>
          <w:bCs/>
          <w:color w:val="auto"/>
          <w:szCs w:val="21"/>
        </w:rPr>
        <w:t>）</w:t>
      </w:r>
      <w:r>
        <w:rPr>
          <w:rFonts w:hint="eastAsia" w:cs="宋体"/>
          <w:color w:val="auto"/>
          <w:szCs w:val="21"/>
        </w:rPr>
        <w:t>表示允许稍有选择，在条件许可时首先应这样做的用词：</w:t>
      </w:r>
    </w:p>
    <w:p w14:paraId="37AC2851">
      <w:pPr>
        <w:spacing w:line="312" w:lineRule="auto"/>
        <w:ind w:firstLine="945" w:firstLineChars="450"/>
        <w:jc w:val="left"/>
        <w:rPr>
          <w:rFonts w:cs="宋体"/>
          <w:color w:val="auto"/>
          <w:szCs w:val="21"/>
        </w:rPr>
      </w:pPr>
      <w:r>
        <w:rPr>
          <w:rFonts w:hint="eastAsia" w:cs="宋体"/>
          <w:color w:val="auto"/>
          <w:szCs w:val="21"/>
        </w:rPr>
        <w:t>正面词采用“宜”，反面词采用“不宜”；</w:t>
      </w:r>
    </w:p>
    <w:p w14:paraId="1D0F6E96">
      <w:pPr>
        <w:spacing w:line="312" w:lineRule="auto"/>
        <w:ind w:firstLine="632" w:firstLineChars="300"/>
        <w:jc w:val="left"/>
        <w:rPr>
          <w:rFonts w:cs="宋体"/>
          <w:color w:val="auto"/>
          <w:szCs w:val="21"/>
        </w:rPr>
      </w:pPr>
      <w:r>
        <w:rPr>
          <w:rFonts w:hint="eastAsia" w:eastAsia="黑体"/>
          <w:b/>
          <w:bCs/>
          <w:color w:val="auto"/>
          <w:szCs w:val="21"/>
        </w:rPr>
        <w:t>4</w:t>
      </w:r>
      <w:r>
        <w:rPr>
          <w:rFonts w:hint="eastAsia" w:eastAsia="黑体"/>
          <w:bCs/>
          <w:color w:val="auto"/>
          <w:szCs w:val="21"/>
        </w:rPr>
        <w:t>）</w:t>
      </w:r>
      <w:r>
        <w:rPr>
          <w:rFonts w:hint="eastAsia" w:cs="宋体"/>
          <w:color w:val="auto"/>
          <w:szCs w:val="21"/>
        </w:rPr>
        <w:t>表示有选择，在一定条件下可以这样做的用词，采用“可”。</w:t>
      </w:r>
    </w:p>
    <w:p w14:paraId="71E10BA1">
      <w:pPr>
        <w:spacing w:line="312" w:lineRule="auto"/>
        <w:ind w:firstLine="422" w:firstLineChars="200"/>
        <w:rPr>
          <w:rFonts w:cs="宋体"/>
          <w:color w:val="auto"/>
          <w:szCs w:val="21"/>
        </w:rPr>
        <w:sectPr>
          <w:pgSz w:w="11906" w:h="16838"/>
          <w:pgMar w:top="1440" w:right="1800" w:bottom="1440" w:left="1800" w:header="851" w:footer="992" w:gutter="0"/>
          <w:cols w:space="425" w:num="1"/>
          <w:docGrid w:type="lines" w:linePitch="312" w:charSpace="0"/>
        </w:sectPr>
      </w:pPr>
      <w:r>
        <w:rPr>
          <w:rFonts w:hint="eastAsia" w:eastAsia="黑体"/>
          <w:b/>
          <w:bCs/>
          <w:color w:val="auto"/>
          <w:szCs w:val="21"/>
        </w:rPr>
        <w:t>2</w:t>
      </w:r>
      <w:r>
        <w:rPr>
          <w:rFonts w:hint="eastAsia" w:cs="宋体"/>
          <w:color w:val="auto"/>
          <w:szCs w:val="21"/>
        </w:rPr>
        <w:t xml:space="preserve"> </w:t>
      </w:r>
      <w:r>
        <w:rPr>
          <w:rFonts w:cs="宋体"/>
          <w:color w:val="auto"/>
          <w:szCs w:val="21"/>
        </w:rPr>
        <w:t xml:space="preserve"> </w:t>
      </w:r>
      <w:r>
        <w:rPr>
          <w:rFonts w:hint="eastAsia" w:cs="宋体"/>
          <w:color w:val="auto"/>
          <w:szCs w:val="21"/>
        </w:rPr>
        <w:t>条文中指明应按其他有关的标准执行的写法为“应符合……的规定”或“应按……执行”</w:t>
      </w:r>
    </w:p>
    <w:p w14:paraId="2496AD8B">
      <w:pPr>
        <w:pStyle w:val="2"/>
        <w:rPr>
          <w:color w:val="auto"/>
        </w:rPr>
      </w:pPr>
      <w:bookmarkStart w:id="566" w:name="_Toc24831"/>
      <w:bookmarkStart w:id="567" w:name="_Toc12676"/>
      <w:bookmarkStart w:id="568" w:name="_Toc12770"/>
      <w:bookmarkStart w:id="569" w:name="_Toc28901"/>
      <w:bookmarkStart w:id="570" w:name="_Toc21587"/>
      <w:bookmarkStart w:id="571" w:name="_Toc1397"/>
      <w:bookmarkStart w:id="572" w:name="_Toc13817"/>
      <w:bookmarkStart w:id="573" w:name="_Toc19031"/>
      <w:bookmarkStart w:id="574" w:name="_Toc22405"/>
      <w:bookmarkStart w:id="575" w:name="_Toc21269"/>
      <w:r>
        <w:rPr>
          <w:rFonts w:hint="eastAsia"/>
          <w:color w:val="auto"/>
        </w:rPr>
        <w:t>引用标准目录</w:t>
      </w:r>
      <w:bookmarkEnd w:id="566"/>
      <w:bookmarkEnd w:id="567"/>
      <w:bookmarkEnd w:id="568"/>
      <w:bookmarkEnd w:id="569"/>
      <w:bookmarkEnd w:id="570"/>
      <w:bookmarkEnd w:id="571"/>
      <w:bookmarkEnd w:id="572"/>
      <w:bookmarkEnd w:id="573"/>
      <w:bookmarkEnd w:id="574"/>
      <w:bookmarkEnd w:id="575"/>
    </w:p>
    <w:p w14:paraId="4CA983D3">
      <w:pPr>
        <w:pStyle w:val="32"/>
        <w:numPr>
          <w:ilvl w:val="0"/>
          <w:numId w:val="42"/>
        </w:numPr>
        <w:tabs>
          <w:tab w:val="left" w:pos="420"/>
          <w:tab w:val="clear" w:pos="0"/>
        </w:tabs>
        <w:spacing w:line="312" w:lineRule="auto"/>
        <w:ind w:firstLine="420"/>
        <w:jc w:val="left"/>
        <w:rPr>
          <w:color w:val="auto"/>
          <w:szCs w:val="21"/>
        </w:rPr>
      </w:pPr>
      <w:r>
        <w:rPr>
          <w:color w:val="auto"/>
        </w:rPr>
        <w:t>《人造板及饰面人造板理化性能试验方法》GB/T 17657</w:t>
      </w:r>
    </w:p>
    <w:p w14:paraId="7CF5DC58">
      <w:pPr>
        <w:pStyle w:val="32"/>
        <w:numPr>
          <w:ilvl w:val="0"/>
          <w:numId w:val="42"/>
        </w:numPr>
        <w:tabs>
          <w:tab w:val="left" w:pos="420"/>
          <w:tab w:val="clear" w:pos="0"/>
        </w:tabs>
        <w:spacing w:line="312" w:lineRule="auto"/>
        <w:ind w:firstLine="420"/>
        <w:jc w:val="left"/>
        <w:rPr>
          <w:color w:val="auto"/>
          <w:szCs w:val="21"/>
        </w:rPr>
      </w:pPr>
      <w:r>
        <w:rPr>
          <w:color w:val="auto"/>
        </w:rPr>
        <w:t>《建筑结构荷载规范》GB 50009</w:t>
      </w:r>
    </w:p>
    <w:p w14:paraId="32BD7E0F">
      <w:pPr>
        <w:pStyle w:val="32"/>
        <w:numPr>
          <w:ilvl w:val="0"/>
          <w:numId w:val="42"/>
        </w:numPr>
        <w:tabs>
          <w:tab w:val="left" w:pos="420"/>
          <w:tab w:val="clear" w:pos="0"/>
        </w:tabs>
        <w:spacing w:line="312" w:lineRule="auto"/>
        <w:ind w:firstLine="420"/>
        <w:jc w:val="left"/>
        <w:rPr>
          <w:color w:val="auto"/>
          <w:szCs w:val="21"/>
        </w:rPr>
      </w:pPr>
      <w:r>
        <w:rPr>
          <w:color w:val="auto"/>
        </w:rPr>
        <w:t>《混凝土结构设计标准》GB/T 50010</w:t>
      </w:r>
    </w:p>
    <w:p w14:paraId="04247C02">
      <w:pPr>
        <w:pStyle w:val="32"/>
        <w:numPr>
          <w:ilvl w:val="0"/>
          <w:numId w:val="42"/>
        </w:numPr>
        <w:tabs>
          <w:tab w:val="left" w:pos="420"/>
          <w:tab w:val="clear" w:pos="0"/>
        </w:tabs>
        <w:spacing w:line="312" w:lineRule="auto"/>
        <w:ind w:firstLine="420"/>
        <w:jc w:val="left"/>
        <w:rPr>
          <w:color w:val="auto"/>
          <w:szCs w:val="21"/>
        </w:rPr>
      </w:pPr>
      <w:r>
        <w:rPr>
          <w:color w:val="auto"/>
        </w:rPr>
        <w:t>《建筑抗震设计标准》GB/T 50011</w:t>
      </w:r>
    </w:p>
    <w:p w14:paraId="67D1A004">
      <w:pPr>
        <w:pStyle w:val="32"/>
        <w:numPr>
          <w:ilvl w:val="0"/>
          <w:numId w:val="42"/>
        </w:numPr>
        <w:tabs>
          <w:tab w:val="left" w:pos="420"/>
          <w:tab w:val="clear" w:pos="0"/>
        </w:tabs>
        <w:spacing w:line="312" w:lineRule="auto"/>
        <w:ind w:firstLine="420"/>
        <w:jc w:val="left"/>
        <w:rPr>
          <w:color w:val="auto"/>
          <w:szCs w:val="21"/>
        </w:rPr>
      </w:pPr>
      <w:r>
        <w:rPr>
          <w:color w:val="auto"/>
        </w:rPr>
        <w:t>《建筑设计防火规范》GB 50016</w:t>
      </w:r>
    </w:p>
    <w:p w14:paraId="01D54763">
      <w:pPr>
        <w:pStyle w:val="32"/>
        <w:numPr>
          <w:ilvl w:val="0"/>
          <w:numId w:val="42"/>
        </w:numPr>
        <w:tabs>
          <w:tab w:val="left" w:pos="420"/>
          <w:tab w:val="clear" w:pos="0"/>
        </w:tabs>
        <w:spacing w:line="312" w:lineRule="auto"/>
        <w:ind w:firstLine="420"/>
        <w:jc w:val="left"/>
        <w:rPr>
          <w:color w:val="auto"/>
          <w:szCs w:val="21"/>
        </w:rPr>
      </w:pPr>
      <w:r>
        <w:rPr>
          <w:color w:val="auto"/>
        </w:rPr>
        <w:t>《钢结构设计标准》</w:t>
      </w:r>
      <w:r>
        <w:rPr>
          <w:color w:val="auto"/>
        </w:rPr>
        <w:fldChar w:fldCharType="begin"/>
      </w:r>
      <w:r>
        <w:rPr>
          <w:color w:val="auto"/>
        </w:rPr>
        <w:instrText xml:space="preserve"> HYPERLINK "https://ebook.chinabuilding.com.cn/zbooklib/book/detail/show?SiteID=1&amp;bookID=105417" \t "https://ebook.chinabuilding.com.cn/zbooklib/_blank" </w:instrText>
      </w:r>
      <w:r>
        <w:rPr>
          <w:color w:val="auto"/>
        </w:rPr>
        <w:fldChar w:fldCharType="separate"/>
      </w:r>
      <w:r>
        <w:rPr>
          <w:color w:val="auto"/>
          <w:shd w:val="clear" w:color="auto" w:fill="FFFFFF"/>
        </w:rPr>
        <w:t>GB</w:t>
      </w:r>
      <w:r>
        <w:rPr>
          <w:color w:val="auto"/>
        </w:rPr>
        <w:t xml:space="preserve"> </w:t>
      </w:r>
      <w:r>
        <w:rPr>
          <w:color w:val="auto"/>
          <w:shd w:val="clear" w:color="auto" w:fill="FFFFFF"/>
        </w:rPr>
        <w:t>50017</w:t>
      </w:r>
      <w:r>
        <w:rPr>
          <w:color w:val="auto"/>
          <w:shd w:val="clear" w:color="auto" w:fill="FFFFFF"/>
        </w:rPr>
        <w:fldChar w:fldCharType="end"/>
      </w:r>
    </w:p>
    <w:p w14:paraId="2100684F">
      <w:pPr>
        <w:pStyle w:val="32"/>
        <w:numPr>
          <w:ilvl w:val="0"/>
          <w:numId w:val="42"/>
        </w:numPr>
        <w:tabs>
          <w:tab w:val="left" w:pos="420"/>
          <w:tab w:val="clear" w:pos="0"/>
        </w:tabs>
        <w:spacing w:line="312" w:lineRule="auto"/>
        <w:ind w:firstLine="420"/>
        <w:jc w:val="left"/>
        <w:rPr>
          <w:color w:val="auto"/>
          <w:szCs w:val="21"/>
        </w:rPr>
      </w:pPr>
      <w:r>
        <w:rPr>
          <w:rFonts w:hint="eastAsia"/>
          <w:color w:val="auto"/>
          <w:szCs w:val="21"/>
        </w:rPr>
        <w:t>《混凝土物理力学性能试验方法标准》GB/T 50081</w:t>
      </w:r>
    </w:p>
    <w:p w14:paraId="6DDD6561">
      <w:pPr>
        <w:pStyle w:val="32"/>
        <w:numPr>
          <w:ilvl w:val="0"/>
          <w:numId w:val="42"/>
        </w:numPr>
        <w:tabs>
          <w:tab w:val="left" w:pos="420"/>
          <w:tab w:val="clear" w:pos="0"/>
        </w:tabs>
        <w:spacing w:line="312" w:lineRule="auto"/>
        <w:ind w:firstLine="420"/>
        <w:jc w:val="left"/>
        <w:rPr>
          <w:color w:val="auto"/>
          <w:szCs w:val="21"/>
        </w:rPr>
      </w:pPr>
      <w:r>
        <w:rPr>
          <w:color w:val="auto"/>
          <w:szCs w:val="24"/>
        </w:rPr>
        <w:t>《混凝土强度检验评定标准》GB/T 50107</w:t>
      </w:r>
    </w:p>
    <w:p w14:paraId="153454E7">
      <w:pPr>
        <w:pStyle w:val="32"/>
        <w:numPr>
          <w:ilvl w:val="0"/>
          <w:numId w:val="42"/>
        </w:numPr>
        <w:tabs>
          <w:tab w:val="left" w:pos="420"/>
          <w:tab w:val="clear" w:pos="0"/>
        </w:tabs>
        <w:spacing w:line="312" w:lineRule="auto"/>
        <w:ind w:firstLine="420"/>
        <w:jc w:val="left"/>
        <w:rPr>
          <w:color w:val="auto"/>
          <w:szCs w:val="21"/>
        </w:rPr>
      </w:pPr>
      <w:r>
        <w:rPr>
          <w:color w:val="auto"/>
        </w:rPr>
        <w:t>《混凝土结构工程施工质量验收规范》GB 50204</w:t>
      </w:r>
    </w:p>
    <w:p w14:paraId="699AE1C4">
      <w:pPr>
        <w:pStyle w:val="32"/>
        <w:numPr>
          <w:ilvl w:val="0"/>
          <w:numId w:val="42"/>
        </w:numPr>
        <w:tabs>
          <w:tab w:val="left" w:pos="420"/>
          <w:tab w:val="clear" w:pos="0"/>
        </w:tabs>
        <w:spacing w:line="312" w:lineRule="auto"/>
        <w:ind w:firstLine="420"/>
        <w:jc w:val="left"/>
        <w:rPr>
          <w:color w:val="auto"/>
          <w:szCs w:val="21"/>
        </w:rPr>
      </w:pPr>
      <w:r>
        <w:rPr>
          <w:color w:val="auto"/>
        </w:rPr>
        <w:t>《钢结构工程施工质量验收标准》GB 50205</w:t>
      </w:r>
    </w:p>
    <w:p w14:paraId="26B40F0D">
      <w:pPr>
        <w:pStyle w:val="32"/>
        <w:numPr>
          <w:ilvl w:val="0"/>
          <w:numId w:val="42"/>
        </w:numPr>
        <w:tabs>
          <w:tab w:val="left" w:pos="420"/>
          <w:tab w:val="clear" w:pos="0"/>
        </w:tabs>
        <w:spacing w:line="312" w:lineRule="auto"/>
        <w:ind w:firstLine="420"/>
        <w:jc w:val="left"/>
        <w:rPr>
          <w:color w:val="auto"/>
          <w:szCs w:val="21"/>
        </w:rPr>
      </w:pPr>
      <w:r>
        <w:rPr>
          <w:color w:val="auto"/>
        </w:rPr>
        <w:t>《建筑内部装修设计防火规范》GB 50222</w:t>
      </w:r>
    </w:p>
    <w:p w14:paraId="7D485A2A">
      <w:pPr>
        <w:pStyle w:val="32"/>
        <w:numPr>
          <w:ilvl w:val="0"/>
          <w:numId w:val="42"/>
        </w:numPr>
        <w:tabs>
          <w:tab w:val="left" w:pos="420"/>
          <w:tab w:val="clear" w:pos="0"/>
        </w:tabs>
        <w:spacing w:line="312" w:lineRule="auto"/>
        <w:ind w:firstLine="420"/>
        <w:jc w:val="left"/>
        <w:rPr>
          <w:color w:val="auto"/>
          <w:szCs w:val="21"/>
        </w:rPr>
      </w:pPr>
      <w:r>
        <w:rPr>
          <w:color w:val="auto"/>
        </w:rPr>
        <w:t>《建筑给水排水及采暖工程施工质量验收规范》GB 50242</w:t>
      </w:r>
    </w:p>
    <w:p w14:paraId="46DBD11F">
      <w:pPr>
        <w:pStyle w:val="32"/>
        <w:numPr>
          <w:ilvl w:val="0"/>
          <w:numId w:val="42"/>
        </w:numPr>
        <w:tabs>
          <w:tab w:val="left" w:pos="420"/>
          <w:tab w:val="clear" w:pos="0"/>
        </w:tabs>
        <w:spacing w:line="312" w:lineRule="auto"/>
        <w:ind w:firstLine="420"/>
        <w:jc w:val="left"/>
        <w:rPr>
          <w:color w:val="auto"/>
          <w:szCs w:val="21"/>
        </w:rPr>
      </w:pPr>
      <w:r>
        <w:rPr>
          <w:color w:val="auto"/>
        </w:rPr>
        <w:t>《通风与空调工程施工质量验收规范》GB 50243</w:t>
      </w:r>
    </w:p>
    <w:p w14:paraId="49DC0013">
      <w:pPr>
        <w:pStyle w:val="32"/>
        <w:numPr>
          <w:ilvl w:val="0"/>
          <w:numId w:val="42"/>
        </w:numPr>
        <w:tabs>
          <w:tab w:val="left" w:pos="420"/>
          <w:tab w:val="clear" w:pos="0"/>
        </w:tabs>
        <w:spacing w:line="312" w:lineRule="auto"/>
        <w:ind w:firstLine="420"/>
        <w:jc w:val="left"/>
        <w:rPr>
          <w:color w:val="auto"/>
          <w:szCs w:val="21"/>
        </w:rPr>
      </w:pPr>
      <w:r>
        <w:rPr>
          <w:color w:val="auto"/>
        </w:rPr>
        <w:t>《建筑工程施工质量验收统一标准》GB 50300</w:t>
      </w:r>
    </w:p>
    <w:p w14:paraId="44461C85">
      <w:pPr>
        <w:pStyle w:val="32"/>
        <w:numPr>
          <w:ilvl w:val="0"/>
          <w:numId w:val="42"/>
        </w:numPr>
        <w:tabs>
          <w:tab w:val="left" w:pos="420"/>
          <w:tab w:val="clear" w:pos="0"/>
        </w:tabs>
        <w:spacing w:line="312" w:lineRule="auto"/>
        <w:ind w:firstLine="420"/>
        <w:jc w:val="left"/>
        <w:rPr>
          <w:color w:val="auto"/>
          <w:szCs w:val="21"/>
        </w:rPr>
      </w:pPr>
      <w:r>
        <w:rPr>
          <w:color w:val="auto"/>
        </w:rPr>
        <w:t>《建筑电气工程施工质量验收规范》GB 50303</w:t>
      </w:r>
    </w:p>
    <w:p w14:paraId="08D9E0D8">
      <w:pPr>
        <w:pStyle w:val="32"/>
        <w:numPr>
          <w:ilvl w:val="0"/>
          <w:numId w:val="42"/>
        </w:numPr>
        <w:tabs>
          <w:tab w:val="left" w:pos="420"/>
          <w:tab w:val="clear" w:pos="0"/>
        </w:tabs>
        <w:spacing w:line="312" w:lineRule="auto"/>
        <w:ind w:firstLine="420"/>
        <w:jc w:val="left"/>
        <w:rPr>
          <w:color w:val="auto"/>
          <w:szCs w:val="21"/>
        </w:rPr>
      </w:pPr>
      <w:r>
        <w:rPr>
          <w:color w:val="auto"/>
        </w:rPr>
        <w:t>《屋面工程技术规范》GB 50345</w:t>
      </w:r>
    </w:p>
    <w:p w14:paraId="756781C4">
      <w:pPr>
        <w:pStyle w:val="32"/>
        <w:numPr>
          <w:ilvl w:val="0"/>
          <w:numId w:val="42"/>
        </w:numPr>
        <w:tabs>
          <w:tab w:val="left" w:pos="420"/>
          <w:tab w:val="clear" w:pos="0"/>
        </w:tabs>
        <w:spacing w:line="312" w:lineRule="auto"/>
        <w:ind w:firstLine="420"/>
        <w:jc w:val="left"/>
        <w:rPr>
          <w:color w:val="auto"/>
          <w:szCs w:val="21"/>
        </w:rPr>
      </w:pPr>
      <w:r>
        <w:rPr>
          <w:color w:val="auto"/>
        </w:rPr>
        <w:t>《民用建筑设计统一标准》GB 50352</w:t>
      </w:r>
    </w:p>
    <w:p w14:paraId="002C7343">
      <w:pPr>
        <w:pStyle w:val="32"/>
        <w:numPr>
          <w:ilvl w:val="0"/>
          <w:numId w:val="42"/>
        </w:numPr>
        <w:tabs>
          <w:tab w:val="left" w:pos="420"/>
          <w:tab w:val="clear" w:pos="0"/>
        </w:tabs>
        <w:spacing w:line="312" w:lineRule="auto"/>
        <w:ind w:firstLine="420"/>
        <w:jc w:val="left"/>
        <w:rPr>
          <w:color w:val="auto"/>
          <w:szCs w:val="21"/>
        </w:rPr>
      </w:pPr>
      <w:r>
        <w:rPr>
          <w:color w:val="auto"/>
        </w:rPr>
        <w:t>《</w:t>
      </w:r>
      <w:r>
        <w:rPr>
          <w:rFonts w:hint="eastAsia"/>
          <w:color w:val="auto"/>
        </w:rPr>
        <w:t>水泥基灌浆料应用技术规程</w:t>
      </w:r>
      <w:r>
        <w:rPr>
          <w:color w:val="auto"/>
        </w:rPr>
        <w:t>》</w:t>
      </w:r>
      <w:r>
        <w:rPr>
          <w:rFonts w:hint="eastAsia"/>
          <w:color w:val="auto"/>
        </w:rPr>
        <w:t>GB/T 50448</w:t>
      </w:r>
    </w:p>
    <w:p w14:paraId="49B577C0">
      <w:pPr>
        <w:pStyle w:val="32"/>
        <w:numPr>
          <w:ilvl w:val="0"/>
          <w:numId w:val="42"/>
        </w:numPr>
        <w:tabs>
          <w:tab w:val="left" w:pos="420"/>
          <w:tab w:val="clear" w:pos="0"/>
        </w:tabs>
        <w:spacing w:line="312" w:lineRule="auto"/>
        <w:ind w:firstLine="420"/>
        <w:jc w:val="left"/>
        <w:rPr>
          <w:color w:val="auto"/>
          <w:szCs w:val="21"/>
        </w:rPr>
      </w:pPr>
      <w:r>
        <w:rPr>
          <w:color w:val="auto"/>
        </w:rPr>
        <w:t>《智能建筑工程施工规范》GB 50606</w:t>
      </w:r>
    </w:p>
    <w:p w14:paraId="25EC5871">
      <w:pPr>
        <w:pStyle w:val="32"/>
        <w:numPr>
          <w:ilvl w:val="0"/>
          <w:numId w:val="42"/>
        </w:numPr>
        <w:tabs>
          <w:tab w:val="left" w:pos="420"/>
          <w:tab w:val="clear" w:pos="0"/>
        </w:tabs>
        <w:spacing w:line="312" w:lineRule="auto"/>
        <w:ind w:firstLine="420"/>
        <w:jc w:val="left"/>
        <w:rPr>
          <w:color w:val="auto"/>
          <w:szCs w:val="21"/>
        </w:rPr>
      </w:pPr>
      <w:r>
        <w:rPr>
          <w:color w:val="auto"/>
        </w:rPr>
        <w:t>《钢结构焊接规范》</w:t>
      </w:r>
      <w:r>
        <w:rPr>
          <w:color w:val="auto"/>
        </w:rPr>
        <w:fldChar w:fldCharType="begin"/>
      </w:r>
      <w:r>
        <w:rPr>
          <w:color w:val="auto"/>
        </w:rPr>
        <w:instrText xml:space="preserve"> HYPERLINK "https://ebook.chinabuilding.com.cn/zbooklib/book/detail/show?SiteID=1&amp;bookID=105417" \t "https://ebook.chinabuilding.com.cn/zbooklib/_blank" </w:instrText>
      </w:r>
      <w:r>
        <w:rPr>
          <w:color w:val="auto"/>
        </w:rPr>
        <w:fldChar w:fldCharType="separate"/>
      </w:r>
      <w:r>
        <w:rPr>
          <w:color w:val="auto"/>
        </w:rPr>
        <w:t>GB 506</w:t>
      </w:r>
      <w:r>
        <w:rPr>
          <w:color w:val="auto"/>
        </w:rPr>
        <w:fldChar w:fldCharType="end"/>
      </w:r>
      <w:r>
        <w:rPr>
          <w:color w:val="auto"/>
        </w:rPr>
        <w:t>61</w:t>
      </w:r>
    </w:p>
    <w:p w14:paraId="73E08626">
      <w:pPr>
        <w:pStyle w:val="32"/>
        <w:numPr>
          <w:ilvl w:val="0"/>
          <w:numId w:val="42"/>
        </w:numPr>
        <w:tabs>
          <w:tab w:val="left" w:pos="420"/>
          <w:tab w:val="clear" w:pos="0"/>
        </w:tabs>
        <w:spacing w:line="312" w:lineRule="auto"/>
        <w:ind w:firstLine="420"/>
        <w:jc w:val="left"/>
        <w:rPr>
          <w:color w:val="auto"/>
          <w:szCs w:val="21"/>
        </w:rPr>
      </w:pPr>
      <w:r>
        <w:rPr>
          <w:color w:val="auto"/>
        </w:rPr>
        <w:t>《混凝土结构工程施工规范》GB 50666</w:t>
      </w:r>
    </w:p>
    <w:p w14:paraId="5C3502F8">
      <w:pPr>
        <w:pStyle w:val="32"/>
        <w:numPr>
          <w:ilvl w:val="0"/>
          <w:numId w:val="42"/>
        </w:numPr>
        <w:tabs>
          <w:tab w:val="left" w:pos="420"/>
          <w:tab w:val="clear" w:pos="0"/>
        </w:tabs>
        <w:spacing w:line="312" w:lineRule="auto"/>
        <w:ind w:firstLine="420"/>
        <w:jc w:val="left"/>
        <w:rPr>
          <w:color w:val="auto"/>
          <w:szCs w:val="21"/>
        </w:rPr>
      </w:pPr>
      <w:r>
        <w:rPr>
          <w:color w:val="auto"/>
          <w:kern w:val="0"/>
          <w:szCs w:val="21"/>
          <w:lang w:bidi="en-US"/>
        </w:rPr>
        <w:t>《通风与空调工程施工规范》GB 50738</w:t>
      </w:r>
    </w:p>
    <w:p w14:paraId="2E24C5F3">
      <w:pPr>
        <w:pStyle w:val="32"/>
        <w:numPr>
          <w:ilvl w:val="0"/>
          <w:numId w:val="42"/>
        </w:numPr>
        <w:tabs>
          <w:tab w:val="left" w:pos="420"/>
          <w:tab w:val="clear" w:pos="0"/>
        </w:tabs>
        <w:spacing w:line="312" w:lineRule="auto"/>
        <w:ind w:firstLine="420"/>
        <w:jc w:val="left"/>
        <w:rPr>
          <w:color w:val="auto"/>
          <w:szCs w:val="21"/>
        </w:rPr>
      </w:pPr>
      <w:r>
        <w:rPr>
          <w:color w:val="auto"/>
        </w:rPr>
        <w:t>《钢结构工程施工规范》</w:t>
      </w:r>
      <w:r>
        <w:rPr>
          <w:rFonts w:eastAsia="Times New Roman"/>
          <w:color w:val="auto"/>
          <w:lang w:bidi="en-US"/>
        </w:rPr>
        <w:t xml:space="preserve">GB </w:t>
      </w:r>
      <w:r>
        <w:rPr>
          <w:rFonts w:eastAsia="Times New Roman"/>
          <w:color w:val="auto"/>
        </w:rPr>
        <w:t>50755</w:t>
      </w:r>
    </w:p>
    <w:p w14:paraId="338B4656">
      <w:pPr>
        <w:pStyle w:val="32"/>
        <w:numPr>
          <w:ilvl w:val="0"/>
          <w:numId w:val="42"/>
        </w:numPr>
        <w:tabs>
          <w:tab w:val="left" w:pos="420"/>
          <w:tab w:val="clear" w:pos="0"/>
        </w:tabs>
        <w:spacing w:line="312" w:lineRule="auto"/>
        <w:ind w:firstLine="420"/>
        <w:jc w:val="left"/>
        <w:rPr>
          <w:color w:val="auto"/>
          <w:szCs w:val="21"/>
        </w:rPr>
      </w:pPr>
      <w:r>
        <w:rPr>
          <w:color w:val="auto"/>
        </w:rPr>
        <w:t>《装配式混凝土建筑技术标准》GB/T 51231</w:t>
      </w:r>
    </w:p>
    <w:p w14:paraId="27B275F9">
      <w:pPr>
        <w:pStyle w:val="32"/>
        <w:numPr>
          <w:ilvl w:val="0"/>
          <w:numId w:val="42"/>
        </w:numPr>
        <w:tabs>
          <w:tab w:val="left" w:pos="420"/>
          <w:tab w:val="clear" w:pos="0"/>
        </w:tabs>
        <w:spacing w:line="312" w:lineRule="auto"/>
        <w:ind w:firstLine="420"/>
        <w:jc w:val="left"/>
        <w:rPr>
          <w:color w:val="auto"/>
          <w:szCs w:val="21"/>
        </w:rPr>
      </w:pPr>
      <w:r>
        <w:rPr>
          <w:color w:val="auto"/>
        </w:rPr>
        <w:t>《建筑防火封堵应用技术标准》GB 51410</w:t>
      </w:r>
    </w:p>
    <w:p w14:paraId="5DFC5A8A">
      <w:pPr>
        <w:pStyle w:val="32"/>
        <w:numPr>
          <w:ilvl w:val="0"/>
          <w:numId w:val="42"/>
        </w:numPr>
        <w:tabs>
          <w:tab w:val="left" w:pos="420"/>
          <w:tab w:val="clear" w:pos="0"/>
        </w:tabs>
        <w:spacing w:line="312" w:lineRule="auto"/>
        <w:ind w:firstLine="420"/>
        <w:jc w:val="left"/>
        <w:rPr>
          <w:color w:val="auto"/>
          <w:szCs w:val="21"/>
        </w:rPr>
      </w:pPr>
      <w:r>
        <w:rPr>
          <w:color w:val="auto"/>
          <w:kern w:val="0"/>
          <w:lang w:bidi="en-US"/>
        </w:rPr>
        <w:t>《建筑幕墙》GB/T 21086</w:t>
      </w:r>
    </w:p>
    <w:p w14:paraId="72360C9F">
      <w:pPr>
        <w:pStyle w:val="32"/>
        <w:numPr>
          <w:ilvl w:val="0"/>
          <w:numId w:val="42"/>
        </w:numPr>
        <w:tabs>
          <w:tab w:val="left" w:pos="420"/>
          <w:tab w:val="clear" w:pos="0"/>
        </w:tabs>
        <w:spacing w:line="312" w:lineRule="auto"/>
        <w:ind w:firstLine="420"/>
        <w:jc w:val="left"/>
        <w:rPr>
          <w:color w:val="auto"/>
          <w:szCs w:val="21"/>
        </w:rPr>
      </w:pPr>
      <w:r>
        <w:rPr>
          <w:bCs/>
          <w:color w:val="auto"/>
        </w:rPr>
        <w:t>《工程结构通用规范》GB 55001</w:t>
      </w:r>
    </w:p>
    <w:p w14:paraId="00F1102B">
      <w:pPr>
        <w:pStyle w:val="32"/>
        <w:numPr>
          <w:ilvl w:val="0"/>
          <w:numId w:val="42"/>
        </w:numPr>
        <w:tabs>
          <w:tab w:val="left" w:pos="420"/>
          <w:tab w:val="clear" w:pos="0"/>
        </w:tabs>
        <w:spacing w:line="312" w:lineRule="auto"/>
        <w:ind w:firstLine="420"/>
        <w:jc w:val="left"/>
        <w:rPr>
          <w:color w:val="auto"/>
          <w:szCs w:val="21"/>
        </w:rPr>
      </w:pPr>
      <w:r>
        <w:rPr>
          <w:color w:val="auto"/>
          <w:szCs w:val="21"/>
        </w:rPr>
        <w:t>《钢结构通用规范》GB 55006</w:t>
      </w:r>
    </w:p>
    <w:p w14:paraId="0F143E2E">
      <w:pPr>
        <w:pStyle w:val="32"/>
        <w:numPr>
          <w:ilvl w:val="0"/>
          <w:numId w:val="42"/>
        </w:numPr>
        <w:tabs>
          <w:tab w:val="left" w:pos="420"/>
          <w:tab w:val="clear" w:pos="0"/>
        </w:tabs>
        <w:spacing w:line="312" w:lineRule="auto"/>
        <w:ind w:firstLine="420"/>
        <w:jc w:val="left"/>
        <w:rPr>
          <w:color w:val="auto"/>
          <w:szCs w:val="21"/>
        </w:rPr>
      </w:pPr>
      <w:r>
        <w:rPr>
          <w:color w:val="auto"/>
          <w:szCs w:val="21"/>
        </w:rPr>
        <w:t>《混凝土结构通用规范》GB 55008</w:t>
      </w:r>
    </w:p>
    <w:p w14:paraId="06650716">
      <w:pPr>
        <w:pStyle w:val="32"/>
        <w:numPr>
          <w:ilvl w:val="0"/>
          <w:numId w:val="42"/>
        </w:numPr>
        <w:tabs>
          <w:tab w:val="left" w:pos="420"/>
          <w:tab w:val="clear" w:pos="0"/>
        </w:tabs>
        <w:spacing w:line="312" w:lineRule="auto"/>
        <w:ind w:firstLine="420"/>
        <w:jc w:val="left"/>
        <w:rPr>
          <w:color w:val="auto"/>
          <w:szCs w:val="21"/>
        </w:rPr>
      </w:pPr>
      <w:r>
        <w:rPr>
          <w:color w:val="auto"/>
        </w:rPr>
        <w:t>《建筑环境通用规范》GB 55016</w:t>
      </w:r>
    </w:p>
    <w:p w14:paraId="32044D4A">
      <w:pPr>
        <w:pStyle w:val="32"/>
        <w:numPr>
          <w:ilvl w:val="0"/>
          <w:numId w:val="42"/>
        </w:numPr>
        <w:tabs>
          <w:tab w:val="left" w:pos="420"/>
          <w:tab w:val="clear" w:pos="0"/>
        </w:tabs>
        <w:spacing w:line="312" w:lineRule="auto"/>
        <w:ind w:firstLine="420"/>
        <w:jc w:val="left"/>
        <w:rPr>
          <w:color w:val="auto"/>
          <w:szCs w:val="21"/>
        </w:rPr>
      </w:pPr>
      <w:r>
        <w:rPr>
          <w:rFonts w:hint="eastAsia"/>
          <w:color w:val="auto"/>
          <w:szCs w:val="21"/>
        </w:rPr>
        <w:t>《宿舍、旅馆建筑项目规范》GB 55025</w:t>
      </w:r>
    </w:p>
    <w:p w14:paraId="60464B66">
      <w:pPr>
        <w:pStyle w:val="32"/>
        <w:numPr>
          <w:ilvl w:val="0"/>
          <w:numId w:val="42"/>
        </w:numPr>
        <w:tabs>
          <w:tab w:val="left" w:pos="420"/>
          <w:tab w:val="clear" w:pos="0"/>
        </w:tabs>
        <w:spacing w:line="312" w:lineRule="auto"/>
        <w:ind w:firstLine="420"/>
        <w:jc w:val="left"/>
        <w:rPr>
          <w:color w:val="auto"/>
          <w:szCs w:val="21"/>
        </w:rPr>
      </w:pPr>
      <w:r>
        <w:rPr>
          <w:color w:val="auto"/>
        </w:rPr>
        <w:t>《建筑与市政工程防水通用规范》GB 55030</w:t>
      </w:r>
    </w:p>
    <w:p w14:paraId="52CD5B10">
      <w:pPr>
        <w:pStyle w:val="32"/>
        <w:numPr>
          <w:ilvl w:val="0"/>
          <w:numId w:val="42"/>
        </w:numPr>
        <w:tabs>
          <w:tab w:val="left" w:pos="420"/>
          <w:tab w:val="clear" w:pos="0"/>
        </w:tabs>
        <w:spacing w:line="312" w:lineRule="auto"/>
        <w:ind w:firstLine="420"/>
        <w:jc w:val="left"/>
        <w:rPr>
          <w:color w:val="auto"/>
          <w:szCs w:val="21"/>
        </w:rPr>
      </w:pPr>
      <w:r>
        <w:rPr>
          <w:color w:val="auto"/>
        </w:rPr>
        <w:t>《民用建筑通用规范》GB 55031</w:t>
      </w:r>
    </w:p>
    <w:p w14:paraId="253F9727">
      <w:pPr>
        <w:pStyle w:val="32"/>
        <w:numPr>
          <w:ilvl w:val="0"/>
          <w:numId w:val="42"/>
        </w:numPr>
        <w:tabs>
          <w:tab w:val="left" w:pos="420"/>
          <w:tab w:val="clear" w:pos="0"/>
        </w:tabs>
        <w:spacing w:line="312" w:lineRule="auto"/>
        <w:ind w:firstLine="420"/>
        <w:jc w:val="left"/>
        <w:rPr>
          <w:color w:val="auto"/>
          <w:szCs w:val="21"/>
        </w:rPr>
      </w:pPr>
      <w:r>
        <w:rPr>
          <w:color w:val="auto"/>
        </w:rPr>
        <w:t>《建筑与市政工程施工质量控制通用规范》GB 55032</w:t>
      </w:r>
    </w:p>
    <w:p w14:paraId="6387DF26">
      <w:pPr>
        <w:pStyle w:val="32"/>
        <w:numPr>
          <w:ilvl w:val="0"/>
          <w:numId w:val="42"/>
        </w:numPr>
        <w:tabs>
          <w:tab w:val="left" w:pos="420"/>
          <w:tab w:val="clear" w:pos="0"/>
        </w:tabs>
        <w:spacing w:line="312" w:lineRule="auto"/>
        <w:ind w:firstLine="420"/>
        <w:jc w:val="left"/>
        <w:rPr>
          <w:color w:val="auto"/>
          <w:szCs w:val="21"/>
        </w:rPr>
      </w:pPr>
      <w:r>
        <w:rPr>
          <w:color w:val="auto"/>
        </w:rPr>
        <w:t>《建筑防火通用规范》GB 55037</w:t>
      </w:r>
    </w:p>
    <w:p w14:paraId="14784964">
      <w:pPr>
        <w:pStyle w:val="32"/>
        <w:numPr>
          <w:ilvl w:val="0"/>
          <w:numId w:val="42"/>
        </w:numPr>
        <w:tabs>
          <w:tab w:val="left" w:pos="420"/>
          <w:tab w:val="clear" w:pos="0"/>
        </w:tabs>
        <w:spacing w:line="312" w:lineRule="auto"/>
        <w:ind w:firstLine="420"/>
        <w:jc w:val="left"/>
        <w:rPr>
          <w:color w:val="auto"/>
          <w:szCs w:val="21"/>
        </w:rPr>
      </w:pPr>
      <w:r>
        <w:rPr>
          <w:color w:val="auto"/>
        </w:rPr>
        <w:t>《装配式混凝土结构技术规程》JGJ 1</w:t>
      </w:r>
    </w:p>
    <w:p w14:paraId="49E8F159">
      <w:pPr>
        <w:pStyle w:val="32"/>
        <w:numPr>
          <w:ilvl w:val="0"/>
          <w:numId w:val="42"/>
        </w:numPr>
        <w:tabs>
          <w:tab w:val="left" w:pos="420"/>
          <w:tab w:val="clear" w:pos="0"/>
        </w:tabs>
        <w:spacing w:line="312" w:lineRule="auto"/>
        <w:ind w:firstLine="420"/>
        <w:jc w:val="left"/>
        <w:rPr>
          <w:color w:val="auto"/>
          <w:szCs w:val="21"/>
        </w:rPr>
      </w:pPr>
      <w:r>
        <w:rPr>
          <w:color w:val="auto"/>
        </w:rPr>
        <w:t>《高层建筑混凝土结构技术规程》JGJ 3</w:t>
      </w:r>
    </w:p>
    <w:p w14:paraId="5B837DFE">
      <w:pPr>
        <w:pStyle w:val="32"/>
        <w:numPr>
          <w:ilvl w:val="0"/>
          <w:numId w:val="42"/>
        </w:numPr>
        <w:tabs>
          <w:tab w:val="left" w:pos="420"/>
          <w:tab w:val="clear" w:pos="0"/>
        </w:tabs>
        <w:spacing w:line="312" w:lineRule="auto"/>
        <w:ind w:firstLine="420"/>
        <w:jc w:val="left"/>
        <w:rPr>
          <w:color w:val="auto"/>
          <w:szCs w:val="21"/>
        </w:rPr>
      </w:pPr>
      <w:r>
        <w:rPr>
          <w:color w:val="auto"/>
        </w:rPr>
        <w:t>《轻骨料混凝土应用技术标准》JGJ/T 12</w:t>
      </w:r>
    </w:p>
    <w:p w14:paraId="19E64BC2">
      <w:pPr>
        <w:pStyle w:val="32"/>
        <w:numPr>
          <w:ilvl w:val="0"/>
          <w:numId w:val="42"/>
        </w:numPr>
        <w:tabs>
          <w:tab w:val="left" w:pos="420"/>
          <w:tab w:val="clear" w:pos="0"/>
        </w:tabs>
        <w:spacing w:line="312" w:lineRule="auto"/>
        <w:ind w:firstLine="420"/>
        <w:jc w:val="left"/>
        <w:rPr>
          <w:color w:val="auto"/>
          <w:szCs w:val="21"/>
        </w:rPr>
      </w:pPr>
      <w:r>
        <w:rPr>
          <w:color w:val="auto"/>
        </w:rPr>
        <w:t>《钢筋焊接及验收规程》JGJ 18</w:t>
      </w:r>
    </w:p>
    <w:p w14:paraId="13935D90">
      <w:pPr>
        <w:pStyle w:val="32"/>
        <w:numPr>
          <w:ilvl w:val="0"/>
          <w:numId w:val="42"/>
        </w:numPr>
        <w:tabs>
          <w:tab w:val="left" w:pos="420"/>
          <w:tab w:val="clear" w:pos="0"/>
        </w:tabs>
        <w:spacing w:line="312" w:lineRule="auto"/>
        <w:ind w:firstLine="420"/>
        <w:jc w:val="left"/>
        <w:rPr>
          <w:color w:val="auto"/>
          <w:szCs w:val="21"/>
        </w:rPr>
      </w:pPr>
      <w:r>
        <w:rPr>
          <w:color w:val="auto"/>
        </w:rPr>
        <w:t>《建筑机械使用安全技术规程》JGJ 33</w:t>
      </w:r>
    </w:p>
    <w:p w14:paraId="65215C30">
      <w:pPr>
        <w:pStyle w:val="32"/>
        <w:numPr>
          <w:ilvl w:val="0"/>
          <w:numId w:val="42"/>
        </w:numPr>
        <w:tabs>
          <w:tab w:val="left" w:pos="420"/>
          <w:tab w:val="clear" w:pos="0"/>
        </w:tabs>
        <w:spacing w:line="312" w:lineRule="auto"/>
        <w:ind w:firstLine="420"/>
        <w:jc w:val="left"/>
        <w:rPr>
          <w:color w:val="auto"/>
          <w:szCs w:val="21"/>
        </w:rPr>
      </w:pPr>
      <w:r>
        <w:rPr>
          <w:rFonts w:hint="eastAsia"/>
          <w:color w:val="auto"/>
          <w:szCs w:val="21"/>
        </w:rPr>
        <w:t>《宿舍建筑设计规范》JGJ 36</w:t>
      </w:r>
    </w:p>
    <w:p w14:paraId="03881309">
      <w:pPr>
        <w:pStyle w:val="32"/>
        <w:numPr>
          <w:ilvl w:val="0"/>
          <w:numId w:val="42"/>
        </w:numPr>
        <w:tabs>
          <w:tab w:val="left" w:pos="420"/>
          <w:tab w:val="clear" w:pos="0"/>
        </w:tabs>
        <w:spacing w:line="312" w:lineRule="auto"/>
        <w:ind w:firstLine="420"/>
        <w:jc w:val="left"/>
        <w:rPr>
          <w:color w:val="auto"/>
          <w:szCs w:val="21"/>
        </w:rPr>
      </w:pPr>
      <w:r>
        <w:rPr>
          <w:color w:val="auto"/>
        </w:rPr>
        <w:t>《施工现场临时用电安全技术规范》JGJ 46</w:t>
      </w:r>
    </w:p>
    <w:p w14:paraId="0302BE14">
      <w:pPr>
        <w:pStyle w:val="32"/>
        <w:numPr>
          <w:ilvl w:val="0"/>
          <w:numId w:val="42"/>
        </w:numPr>
        <w:tabs>
          <w:tab w:val="left" w:pos="420"/>
          <w:tab w:val="clear" w:pos="0"/>
        </w:tabs>
        <w:spacing w:line="312" w:lineRule="auto"/>
        <w:ind w:firstLine="420"/>
        <w:jc w:val="left"/>
        <w:rPr>
          <w:color w:val="auto"/>
          <w:szCs w:val="21"/>
        </w:rPr>
      </w:pPr>
      <w:r>
        <w:rPr>
          <w:color w:val="auto"/>
        </w:rPr>
        <w:t>《建筑施工高处作业安全技术规范》JGJ 80</w:t>
      </w:r>
    </w:p>
    <w:p w14:paraId="64865C3F">
      <w:pPr>
        <w:pStyle w:val="32"/>
        <w:numPr>
          <w:ilvl w:val="0"/>
          <w:numId w:val="42"/>
        </w:numPr>
        <w:tabs>
          <w:tab w:val="left" w:pos="420"/>
          <w:tab w:val="clear" w:pos="0"/>
        </w:tabs>
        <w:spacing w:line="312" w:lineRule="auto"/>
        <w:ind w:firstLine="420"/>
        <w:jc w:val="left"/>
        <w:rPr>
          <w:color w:val="auto"/>
          <w:szCs w:val="21"/>
        </w:rPr>
      </w:pPr>
      <w:r>
        <w:rPr>
          <w:bCs/>
          <w:color w:val="auto"/>
          <w:szCs w:val="21"/>
        </w:rPr>
        <w:t>《钢结构高强度栓连接技术规程》JGJ 82</w:t>
      </w:r>
    </w:p>
    <w:p w14:paraId="2A17B725">
      <w:pPr>
        <w:pStyle w:val="32"/>
        <w:numPr>
          <w:ilvl w:val="0"/>
          <w:numId w:val="42"/>
        </w:numPr>
        <w:tabs>
          <w:tab w:val="left" w:pos="420"/>
          <w:tab w:val="clear" w:pos="0"/>
        </w:tabs>
        <w:spacing w:line="312" w:lineRule="auto"/>
        <w:ind w:firstLine="420"/>
        <w:jc w:val="left"/>
        <w:rPr>
          <w:color w:val="auto"/>
          <w:szCs w:val="21"/>
        </w:rPr>
      </w:pPr>
      <w:r>
        <w:rPr>
          <w:color w:val="auto"/>
          <w:kern w:val="0"/>
          <w:lang w:bidi="en-US"/>
        </w:rPr>
        <w:t>《玻璃幕墙工程技术规范》JGJ 102</w:t>
      </w:r>
    </w:p>
    <w:p w14:paraId="601909B4">
      <w:pPr>
        <w:pStyle w:val="32"/>
        <w:numPr>
          <w:ilvl w:val="0"/>
          <w:numId w:val="42"/>
        </w:numPr>
        <w:tabs>
          <w:tab w:val="left" w:pos="420"/>
          <w:tab w:val="clear" w:pos="0"/>
        </w:tabs>
        <w:spacing w:line="312" w:lineRule="auto"/>
        <w:ind w:firstLine="420"/>
        <w:jc w:val="left"/>
        <w:rPr>
          <w:color w:val="auto"/>
          <w:szCs w:val="21"/>
        </w:rPr>
      </w:pPr>
      <w:r>
        <w:rPr>
          <w:color w:val="auto"/>
        </w:rPr>
        <w:t>《钢筋机械连接技术规程》JGJ 107</w:t>
      </w:r>
    </w:p>
    <w:p w14:paraId="57B8FBBC">
      <w:pPr>
        <w:pStyle w:val="32"/>
        <w:numPr>
          <w:ilvl w:val="0"/>
          <w:numId w:val="42"/>
        </w:numPr>
        <w:tabs>
          <w:tab w:val="left" w:pos="420"/>
          <w:tab w:val="clear" w:pos="0"/>
        </w:tabs>
        <w:spacing w:line="312" w:lineRule="auto"/>
        <w:ind w:firstLine="420"/>
        <w:jc w:val="left"/>
        <w:rPr>
          <w:color w:val="auto"/>
          <w:szCs w:val="21"/>
        </w:rPr>
      </w:pPr>
      <w:r>
        <w:rPr>
          <w:color w:val="auto"/>
        </w:rPr>
        <w:t>《建筑工程饰面砖粘结强度检验标准》JGJ 110</w:t>
      </w:r>
    </w:p>
    <w:p w14:paraId="0892F4B5">
      <w:pPr>
        <w:pStyle w:val="32"/>
        <w:numPr>
          <w:ilvl w:val="0"/>
          <w:numId w:val="42"/>
        </w:numPr>
        <w:tabs>
          <w:tab w:val="left" w:pos="420"/>
          <w:tab w:val="clear" w:pos="0"/>
        </w:tabs>
        <w:spacing w:line="312" w:lineRule="auto"/>
        <w:ind w:firstLine="420"/>
        <w:jc w:val="left"/>
        <w:rPr>
          <w:color w:val="auto"/>
          <w:szCs w:val="21"/>
        </w:rPr>
      </w:pPr>
      <w:r>
        <w:rPr>
          <w:color w:val="auto"/>
        </w:rPr>
        <w:t>《钢筋焊接网混凝土结构技术规程》JGJ 114</w:t>
      </w:r>
    </w:p>
    <w:p w14:paraId="361F84F2">
      <w:pPr>
        <w:pStyle w:val="32"/>
        <w:numPr>
          <w:ilvl w:val="0"/>
          <w:numId w:val="42"/>
        </w:numPr>
        <w:tabs>
          <w:tab w:val="left" w:pos="420"/>
          <w:tab w:val="clear" w:pos="0"/>
        </w:tabs>
        <w:spacing w:line="312" w:lineRule="auto"/>
        <w:ind w:firstLine="420"/>
        <w:jc w:val="left"/>
        <w:rPr>
          <w:color w:val="auto"/>
          <w:szCs w:val="21"/>
        </w:rPr>
      </w:pPr>
      <w:r>
        <w:rPr>
          <w:color w:val="auto"/>
        </w:rPr>
        <w:t>《外墙饰面砖工程施工及验收规程》JGJ 126</w:t>
      </w:r>
    </w:p>
    <w:p w14:paraId="6C02C4B0">
      <w:pPr>
        <w:pStyle w:val="32"/>
        <w:numPr>
          <w:ilvl w:val="0"/>
          <w:numId w:val="42"/>
        </w:numPr>
        <w:tabs>
          <w:tab w:val="left" w:pos="420"/>
          <w:tab w:val="clear" w:pos="0"/>
        </w:tabs>
        <w:spacing w:line="312" w:lineRule="auto"/>
        <w:ind w:firstLine="420"/>
        <w:jc w:val="left"/>
        <w:rPr>
          <w:color w:val="auto"/>
          <w:szCs w:val="21"/>
        </w:rPr>
      </w:pPr>
      <w:r>
        <w:rPr>
          <w:color w:val="auto"/>
          <w:kern w:val="0"/>
          <w:lang w:bidi="en-US"/>
        </w:rPr>
        <w:t>《金属与石材幕墙工程技术规范》JGJ 133</w:t>
      </w:r>
    </w:p>
    <w:p w14:paraId="408FA5DF">
      <w:pPr>
        <w:pStyle w:val="32"/>
        <w:numPr>
          <w:ilvl w:val="0"/>
          <w:numId w:val="42"/>
        </w:numPr>
        <w:tabs>
          <w:tab w:val="left" w:pos="420"/>
          <w:tab w:val="clear" w:pos="0"/>
        </w:tabs>
        <w:spacing w:line="312" w:lineRule="auto"/>
        <w:ind w:firstLine="420"/>
        <w:jc w:val="left"/>
        <w:rPr>
          <w:color w:val="auto"/>
          <w:szCs w:val="21"/>
        </w:rPr>
      </w:pPr>
      <w:r>
        <w:rPr>
          <w:color w:val="auto"/>
        </w:rPr>
        <w:t>《外墙外保温工程技术标准》JGJ 144</w:t>
      </w:r>
    </w:p>
    <w:p w14:paraId="6AF32DF9">
      <w:pPr>
        <w:pStyle w:val="32"/>
        <w:numPr>
          <w:ilvl w:val="0"/>
          <w:numId w:val="42"/>
        </w:numPr>
        <w:tabs>
          <w:tab w:val="left" w:pos="420"/>
          <w:tab w:val="clear" w:pos="0"/>
        </w:tabs>
        <w:spacing w:line="312" w:lineRule="auto"/>
        <w:ind w:firstLine="420"/>
        <w:jc w:val="left"/>
        <w:rPr>
          <w:color w:val="auto"/>
          <w:szCs w:val="21"/>
        </w:rPr>
      </w:pPr>
      <w:r>
        <w:rPr>
          <w:color w:val="auto"/>
        </w:rPr>
        <w:t>《钢筋机械连接用套筒》JG/T 163</w:t>
      </w:r>
    </w:p>
    <w:p w14:paraId="4CA65FFF">
      <w:pPr>
        <w:pStyle w:val="32"/>
        <w:numPr>
          <w:ilvl w:val="0"/>
          <w:numId w:val="42"/>
        </w:numPr>
        <w:tabs>
          <w:tab w:val="left" w:pos="420"/>
          <w:tab w:val="clear" w:pos="0"/>
        </w:tabs>
        <w:spacing w:line="312" w:lineRule="auto"/>
        <w:ind w:firstLine="420"/>
        <w:jc w:val="left"/>
        <w:rPr>
          <w:color w:val="auto"/>
          <w:szCs w:val="21"/>
        </w:rPr>
      </w:pPr>
      <w:r>
        <w:rPr>
          <w:color w:val="auto"/>
        </w:rPr>
        <w:t>《清水混凝土应用技术规程》JGJ 169</w:t>
      </w:r>
    </w:p>
    <w:p w14:paraId="733DA83D">
      <w:pPr>
        <w:pStyle w:val="32"/>
        <w:numPr>
          <w:ilvl w:val="0"/>
          <w:numId w:val="42"/>
        </w:numPr>
        <w:tabs>
          <w:tab w:val="left" w:pos="420"/>
          <w:tab w:val="clear" w:pos="0"/>
        </w:tabs>
        <w:spacing w:line="312" w:lineRule="auto"/>
        <w:ind w:firstLine="420"/>
        <w:jc w:val="left"/>
        <w:rPr>
          <w:color w:val="auto"/>
          <w:szCs w:val="21"/>
        </w:rPr>
      </w:pPr>
      <w:r>
        <w:rPr>
          <w:color w:val="auto"/>
          <w:kern w:val="0"/>
          <w:lang w:bidi="en-US"/>
        </w:rPr>
        <w:t>《建筑外墙防水工程技术规程》JGJ/T 235</w:t>
      </w:r>
    </w:p>
    <w:p w14:paraId="5F6C71FA">
      <w:pPr>
        <w:pStyle w:val="32"/>
        <w:numPr>
          <w:ilvl w:val="0"/>
          <w:numId w:val="42"/>
        </w:numPr>
        <w:tabs>
          <w:tab w:val="left" w:pos="420"/>
          <w:tab w:val="clear" w:pos="0"/>
        </w:tabs>
        <w:spacing w:line="312" w:lineRule="auto"/>
        <w:ind w:firstLine="420"/>
        <w:jc w:val="left"/>
        <w:rPr>
          <w:color w:val="auto"/>
          <w:szCs w:val="21"/>
        </w:rPr>
      </w:pPr>
      <w:r>
        <w:rPr>
          <w:color w:val="auto"/>
        </w:rPr>
        <w:t>《钢筋锚固板应用技术规程》JGJ 256</w:t>
      </w:r>
    </w:p>
    <w:p w14:paraId="32E7ABA8">
      <w:pPr>
        <w:pStyle w:val="32"/>
        <w:numPr>
          <w:ilvl w:val="0"/>
          <w:numId w:val="42"/>
        </w:numPr>
        <w:tabs>
          <w:tab w:val="left" w:pos="420"/>
          <w:tab w:val="clear" w:pos="0"/>
        </w:tabs>
        <w:spacing w:line="312" w:lineRule="auto"/>
        <w:ind w:firstLine="420"/>
        <w:jc w:val="left"/>
        <w:rPr>
          <w:color w:val="auto"/>
          <w:szCs w:val="21"/>
        </w:rPr>
      </w:pPr>
      <w:r>
        <w:rPr>
          <w:color w:val="auto"/>
        </w:rPr>
        <w:t>《外墙内保温工程技术标准》JGJ/T 261</w:t>
      </w:r>
    </w:p>
    <w:p w14:paraId="28B1D6BF">
      <w:pPr>
        <w:pStyle w:val="32"/>
        <w:numPr>
          <w:ilvl w:val="0"/>
          <w:numId w:val="42"/>
        </w:numPr>
        <w:tabs>
          <w:tab w:val="left" w:pos="420"/>
          <w:tab w:val="clear" w:pos="0"/>
        </w:tabs>
        <w:spacing w:line="312" w:lineRule="auto"/>
        <w:ind w:firstLine="420"/>
        <w:jc w:val="left"/>
        <w:rPr>
          <w:color w:val="auto"/>
          <w:szCs w:val="21"/>
        </w:rPr>
      </w:pPr>
      <w:r>
        <w:rPr>
          <w:color w:val="auto"/>
        </w:rPr>
        <w:t>《建筑施工起重吊装工程安全技术规范》JGJ 276</w:t>
      </w:r>
    </w:p>
    <w:p w14:paraId="13A0957D">
      <w:pPr>
        <w:pStyle w:val="32"/>
        <w:numPr>
          <w:ilvl w:val="0"/>
          <w:numId w:val="42"/>
        </w:numPr>
        <w:tabs>
          <w:tab w:val="left" w:pos="420"/>
          <w:tab w:val="clear" w:pos="0"/>
        </w:tabs>
        <w:spacing w:line="312" w:lineRule="auto"/>
        <w:ind w:firstLine="420"/>
        <w:jc w:val="left"/>
        <w:rPr>
          <w:color w:val="auto"/>
          <w:szCs w:val="21"/>
        </w:rPr>
      </w:pPr>
      <w:r>
        <w:rPr>
          <w:color w:val="auto"/>
        </w:rPr>
        <w:t>《自密实混凝土应用技术规程》JGJ/T 283</w:t>
      </w:r>
    </w:p>
    <w:p w14:paraId="3E368FE9">
      <w:pPr>
        <w:pStyle w:val="32"/>
        <w:numPr>
          <w:ilvl w:val="0"/>
          <w:numId w:val="42"/>
        </w:numPr>
        <w:tabs>
          <w:tab w:val="left" w:pos="420"/>
          <w:tab w:val="clear" w:pos="0"/>
        </w:tabs>
        <w:spacing w:line="312" w:lineRule="auto"/>
        <w:ind w:firstLine="420"/>
        <w:jc w:val="left"/>
        <w:rPr>
          <w:color w:val="auto"/>
          <w:szCs w:val="21"/>
        </w:rPr>
      </w:pPr>
      <w:r>
        <w:rPr>
          <w:color w:val="auto"/>
        </w:rPr>
        <w:t>《建筑外墙外保温防火隔离带技术规程》JGJ 289</w:t>
      </w:r>
    </w:p>
    <w:p w14:paraId="28958B7F">
      <w:pPr>
        <w:pStyle w:val="32"/>
        <w:numPr>
          <w:ilvl w:val="0"/>
          <w:numId w:val="42"/>
        </w:numPr>
        <w:tabs>
          <w:tab w:val="left" w:pos="420"/>
          <w:tab w:val="clear" w:pos="0"/>
        </w:tabs>
        <w:spacing w:line="312" w:lineRule="auto"/>
        <w:ind w:firstLine="420"/>
        <w:jc w:val="left"/>
        <w:rPr>
          <w:color w:val="auto"/>
          <w:szCs w:val="21"/>
        </w:rPr>
      </w:pPr>
      <w:r>
        <w:rPr>
          <w:color w:val="auto"/>
          <w:kern w:val="0"/>
          <w:lang w:bidi="en-US"/>
        </w:rPr>
        <w:t>《人造板材幕墙工程技术规范》JGJ 336</w:t>
      </w:r>
    </w:p>
    <w:p w14:paraId="6CB2EAAE">
      <w:pPr>
        <w:pStyle w:val="32"/>
        <w:numPr>
          <w:ilvl w:val="0"/>
          <w:numId w:val="42"/>
        </w:numPr>
        <w:tabs>
          <w:tab w:val="left" w:pos="420"/>
          <w:tab w:val="clear" w:pos="0"/>
        </w:tabs>
        <w:spacing w:line="312" w:lineRule="auto"/>
        <w:ind w:firstLine="420"/>
        <w:jc w:val="left"/>
        <w:rPr>
          <w:color w:val="auto"/>
          <w:szCs w:val="21"/>
        </w:rPr>
      </w:pPr>
      <w:r>
        <w:rPr>
          <w:bCs/>
          <w:color w:val="auto"/>
        </w:rPr>
        <w:t>《钢筋套筒灌浆连接应用技术规程》JGJ 355</w:t>
      </w:r>
    </w:p>
    <w:p w14:paraId="1A55521C">
      <w:pPr>
        <w:pStyle w:val="32"/>
        <w:numPr>
          <w:ilvl w:val="0"/>
          <w:numId w:val="42"/>
        </w:numPr>
        <w:tabs>
          <w:tab w:val="left" w:pos="420"/>
          <w:tab w:val="clear" w:pos="0"/>
        </w:tabs>
        <w:spacing w:line="312" w:lineRule="auto"/>
        <w:ind w:firstLine="420"/>
        <w:jc w:val="left"/>
        <w:rPr>
          <w:color w:val="auto"/>
          <w:szCs w:val="21"/>
        </w:rPr>
      </w:pPr>
      <w:r>
        <w:rPr>
          <w:rFonts w:hint="eastAsia"/>
          <w:color w:val="auto"/>
          <w:szCs w:val="21"/>
        </w:rPr>
        <w:t>《混凝土制品性能试验方法》JG/T 384</w:t>
      </w:r>
    </w:p>
    <w:p w14:paraId="1B9B7760">
      <w:pPr>
        <w:pStyle w:val="32"/>
        <w:numPr>
          <w:ilvl w:val="0"/>
          <w:numId w:val="42"/>
        </w:numPr>
        <w:tabs>
          <w:tab w:val="left" w:pos="420"/>
          <w:tab w:val="clear" w:pos="0"/>
        </w:tabs>
        <w:spacing w:line="312" w:lineRule="auto"/>
        <w:ind w:firstLine="420"/>
        <w:jc w:val="left"/>
        <w:rPr>
          <w:color w:val="auto"/>
          <w:szCs w:val="21"/>
        </w:rPr>
      </w:pPr>
      <w:r>
        <w:rPr>
          <w:color w:val="auto"/>
        </w:rPr>
        <w:t>《钢筋连接用灌浆套筒》JG/T 398</w:t>
      </w:r>
    </w:p>
    <w:p w14:paraId="1C1D5267">
      <w:pPr>
        <w:pStyle w:val="32"/>
        <w:numPr>
          <w:ilvl w:val="0"/>
          <w:numId w:val="42"/>
        </w:numPr>
        <w:tabs>
          <w:tab w:val="left" w:pos="420"/>
          <w:tab w:val="clear" w:pos="0"/>
        </w:tabs>
        <w:spacing w:line="312" w:lineRule="auto"/>
        <w:ind w:firstLine="420"/>
        <w:jc w:val="left"/>
        <w:rPr>
          <w:color w:val="auto"/>
          <w:szCs w:val="21"/>
        </w:rPr>
      </w:pPr>
      <w:r>
        <w:rPr>
          <w:color w:val="auto"/>
        </w:rPr>
        <w:t>《钢筋连接用套筒灌浆料》JG/T 408</w:t>
      </w:r>
    </w:p>
    <w:p w14:paraId="31E21257">
      <w:pPr>
        <w:pStyle w:val="32"/>
        <w:numPr>
          <w:ilvl w:val="0"/>
          <w:numId w:val="42"/>
        </w:numPr>
        <w:tabs>
          <w:tab w:val="left" w:pos="420"/>
          <w:tab w:val="clear" w:pos="0"/>
        </w:tabs>
        <w:spacing w:line="312" w:lineRule="auto"/>
        <w:ind w:firstLine="420"/>
        <w:jc w:val="left"/>
        <w:rPr>
          <w:color w:val="auto"/>
          <w:szCs w:val="21"/>
        </w:rPr>
      </w:pPr>
      <w:r>
        <w:rPr>
          <w:color w:val="auto"/>
        </w:rPr>
        <w:t>《</w:t>
      </w:r>
      <w:r>
        <w:rPr>
          <w:rFonts w:hint="eastAsia"/>
          <w:color w:val="auto"/>
        </w:rPr>
        <w:t>预应力混凝土用金属波纹管</w:t>
      </w:r>
      <w:r>
        <w:rPr>
          <w:color w:val="auto"/>
        </w:rPr>
        <w:t xml:space="preserve">》JG/T </w:t>
      </w:r>
      <w:r>
        <w:rPr>
          <w:rFonts w:hint="eastAsia"/>
          <w:color w:val="auto"/>
        </w:rPr>
        <w:t>225</w:t>
      </w:r>
    </w:p>
    <w:p w14:paraId="485A24E5">
      <w:pPr>
        <w:pStyle w:val="32"/>
        <w:numPr>
          <w:ilvl w:val="0"/>
          <w:numId w:val="42"/>
        </w:numPr>
        <w:tabs>
          <w:tab w:val="left" w:pos="420"/>
          <w:tab w:val="clear" w:pos="0"/>
        </w:tabs>
        <w:spacing w:line="312" w:lineRule="auto"/>
        <w:ind w:firstLine="420"/>
        <w:jc w:val="left"/>
        <w:rPr>
          <w:color w:val="auto"/>
          <w:szCs w:val="21"/>
        </w:rPr>
      </w:pPr>
      <w:r>
        <w:rPr>
          <w:color w:val="auto"/>
        </w:rPr>
        <w:t>《混凝土接缝用建筑密封胶》JC/T 881</w:t>
      </w:r>
    </w:p>
    <w:p w14:paraId="05F32626">
      <w:pPr>
        <w:pStyle w:val="32"/>
        <w:numPr>
          <w:ilvl w:val="0"/>
          <w:numId w:val="42"/>
        </w:numPr>
        <w:tabs>
          <w:tab w:val="left" w:pos="420"/>
          <w:tab w:val="clear" w:pos="0"/>
        </w:tabs>
        <w:spacing w:line="312" w:lineRule="auto"/>
        <w:ind w:firstLine="420"/>
        <w:jc w:val="left"/>
        <w:rPr>
          <w:color w:val="auto"/>
          <w:szCs w:val="21"/>
        </w:rPr>
      </w:pPr>
      <w:r>
        <w:rPr>
          <w:color w:val="auto"/>
        </w:rPr>
        <w:t>《</w:t>
      </w:r>
      <w:r>
        <w:rPr>
          <w:rFonts w:hint="eastAsia"/>
          <w:color w:val="auto"/>
        </w:rPr>
        <w:t>建筑用绝缘电工套管及配件</w:t>
      </w:r>
      <w:r>
        <w:rPr>
          <w:color w:val="auto"/>
        </w:rPr>
        <w:t>》</w:t>
      </w:r>
      <w:r>
        <w:rPr>
          <w:rFonts w:hint="eastAsia"/>
          <w:color w:val="auto"/>
        </w:rPr>
        <w:t>JG/T 3050</w:t>
      </w:r>
    </w:p>
    <w:p w14:paraId="12B61811">
      <w:pPr>
        <w:pStyle w:val="32"/>
        <w:numPr>
          <w:ilvl w:val="0"/>
          <w:numId w:val="42"/>
        </w:numPr>
        <w:tabs>
          <w:tab w:val="left" w:pos="420"/>
          <w:tab w:val="clear" w:pos="0"/>
        </w:tabs>
        <w:spacing w:line="312" w:lineRule="auto"/>
        <w:ind w:firstLine="420"/>
        <w:jc w:val="left"/>
        <w:rPr>
          <w:color w:val="auto"/>
          <w:szCs w:val="21"/>
        </w:rPr>
      </w:pPr>
      <w:r>
        <w:rPr>
          <w:rFonts w:hint="eastAsia"/>
          <w:color w:val="auto"/>
        </w:rPr>
        <w:t>《高层建筑混凝土结构技术规程》</w:t>
      </w:r>
      <w:r>
        <w:rPr>
          <w:color w:val="auto"/>
        </w:rPr>
        <w:t>DBJ 15-92</w:t>
      </w:r>
    </w:p>
    <w:p w14:paraId="1346BFBB">
      <w:pPr>
        <w:pStyle w:val="32"/>
        <w:numPr>
          <w:ilvl w:val="0"/>
          <w:numId w:val="42"/>
        </w:numPr>
        <w:tabs>
          <w:tab w:val="left" w:pos="420"/>
          <w:tab w:val="clear" w:pos="0"/>
        </w:tabs>
        <w:spacing w:line="312" w:lineRule="auto"/>
        <w:ind w:firstLine="420"/>
        <w:jc w:val="left"/>
        <w:rPr>
          <w:color w:val="auto"/>
          <w:szCs w:val="21"/>
        </w:rPr>
      </w:pPr>
      <w:bookmarkStart w:id="576" w:name="OLE_LINK10"/>
      <w:r>
        <w:rPr>
          <w:bCs/>
          <w:color w:val="auto"/>
        </w:rPr>
        <w:t>《</w:t>
      </w:r>
      <w:r>
        <w:rPr>
          <w:rFonts w:hint="eastAsia"/>
          <w:color w:val="auto"/>
          <w:szCs w:val="21"/>
        </w:rPr>
        <w:t>建筑工程混凝土结构抗震性能设计规程</w:t>
      </w:r>
      <w:r>
        <w:rPr>
          <w:bCs/>
          <w:color w:val="auto"/>
        </w:rPr>
        <w:t>》</w:t>
      </w:r>
      <w:r>
        <w:rPr>
          <w:color w:val="auto"/>
          <w:szCs w:val="21"/>
        </w:rPr>
        <w:t>DBJ/T 15-151</w:t>
      </w:r>
      <w:bookmarkEnd w:id="576"/>
    </w:p>
    <w:p w14:paraId="28A55889">
      <w:pPr>
        <w:pStyle w:val="32"/>
        <w:numPr>
          <w:ilvl w:val="0"/>
          <w:numId w:val="42"/>
        </w:numPr>
        <w:tabs>
          <w:tab w:val="left" w:pos="420"/>
          <w:tab w:val="clear" w:pos="0"/>
        </w:tabs>
        <w:spacing w:line="312" w:lineRule="auto"/>
        <w:ind w:firstLine="420"/>
        <w:jc w:val="left"/>
        <w:rPr>
          <w:color w:val="auto"/>
          <w:szCs w:val="21"/>
        </w:rPr>
      </w:pPr>
      <w:r>
        <w:rPr>
          <w:bCs/>
          <w:color w:val="auto"/>
        </w:rPr>
        <w:t>《装配整体式叠合剪力墙结构技术规程》DBJ/T 15-210</w:t>
      </w:r>
    </w:p>
    <w:p w14:paraId="5E51FAEB">
      <w:pPr>
        <w:pStyle w:val="32"/>
        <w:numPr>
          <w:ilvl w:val="0"/>
          <w:numId w:val="42"/>
        </w:numPr>
        <w:tabs>
          <w:tab w:val="left" w:pos="420"/>
          <w:tab w:val="clear" w:pos="0"/>
        </w:tabs>
        <w:spacing w:line="312" w:lineRule="auto"/>
        <w:ind w:firstLine="420"/>
        <w:jc w:val="left"/>
        <w:rPr>
          <w:color w:val="auto"/>
          <w:szCs w:val="21"/>
        </w:rPr>
      </w:pPr>
      <w:r>
        <w:rPr>
          <w:rFonts w:hint="eastAsia"/>
          <w:color w:val="auto"/>
        </w:rPr>
        <w:t>《广州市住宅建筑排水系统技术规范》DBJ 44/T 126</w:t>
      </w:r>
    </w:p>
    <w:p w14:paraId="4640C168">
      <w:pPr>
        <w:pStyle w:val="32"/>
        <w:numPr>
          <w:ilvl w:val="0"/>
          <w:numId w:val="42"/>
        </w:numPr>
        <w:tabs>
          <w:tab w:val="left" w:pos="420"/>
          <w:tab w:val="clear" w:pos="0"/>
        </w:tabs>
        <w:spacing w:line="312" w:lineRule="auto"/>
        <w:ind w:firstLine="420"/>
        <w:jc w:val="left"/>
        <w:rPr>
          <w:color w:val="auto"/>
          <w:szCs w:val="21"/>
        </w:rPr>
      </w:pPr>
      <w:r>
        <w:rPr>
          <w:rFonts w:hint="eastAsia"/>
          <w:color w:val="auto"/>
        </w:rPr>
        <w:t>《广州市防雷装置检测技术规范》DB4401/T 148</w:t>
      </w:r>
    </w:p>
    <w:p w14:paraId="1447EA06">
      <w:pPr>
        <w:pStyle w:val="32"/>
        <w:numPr>
          <w:ilvl w:val="0"/>
          <w:numId w:val="42"/>
        </w:numPr>
        <w:tabs>
          <w:tab w:val="left" w:pos="420"/>
          <w:tab w:val="clear" w:pos="0"/>
        </w:tabs>
        <w:spacing w:line="312" w:lineRule="auto"/>
        <w:ind w:firstLine="420"/>
        <w:jc w:val="left"/>
        <w:rPr>
          <w:color w:val="auto"/>
        </w:rPr>
      </w:pPr>
      <w:r>
        <w:rPr>
          <w:rFonts w:hint="eastAsia"/>
          <w:color w:val="auto"/>
        </w:rPr>
        <w:t>《广州市建筑防水工程技术规程》DBJ 15-19</w:t>
      </w:r>
    </w:p>
    <w:p w14:paraId="1382B1B0">
      <w:pPr>
        <w:pStyle w:val="32"/>
        <w:numPr>
          <w:ilvl w:val="0"/>
          <w:numId w:val="42"/>
        </w:numPr>
        <w:tabs>
          <w:tab w:val="left" w:pos="420"/>
          <w:tab w:val="clear" w:pos="0"/>
        </w:tabs>
        <w:spacing w:line="312" w:lineRule="auto"/>
        <w:ind w:firstLine="420"/>
        <w:jc w:val="left"/>
        <w:rPr>
          <w:color w:val="auto"/>
        </w:rPr>
      </w:pPr>
      <w:r>
        <w:rPr>
          <w:rFonts w:hint="eastAsia"/>
          <w:color w:val="auto"/>
        </w:rPr>
        <w:t>《广州市轻骨料混凝土技术规程》DBJ 44/T 115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庞中华简体 V2007">
    <w:altName w:val="微软雅黑"/>
    <w:panose1 w:val="00000000000000000000"/>
    <w:charset w:val="86"/>
    <w:family w:val="auto"/>
    <w:pitch w:val="default"/>
    <w:sig w:usb0="00000000" w:usb1="00000000" w:usb2="0000003F" w:usb3="00000000" w:csb0="003F00FF" w:csb1="00000000"/>
  </w:font>
  <w:font w:name="微软雅黑">
    <w:panose1 w:val="020B0503020204020204"/>
    <w:charset w:val="86"/>
    <w:family w:val="auto"/>
    <w:pitch w:val="default"/>
    <w:sig w:usb0="80000287" w:usb1="2ACF3C50" w:usb2="00000016" w:usb3="00000000" w:csb0="0004001F" w:csb1="00000000"/>
  </w:font>
  <w:font w:name="华文宋体">
    <w:altName w:val="宋体"/>
    <w:panose1 w:val="02010600040101010101"/>
    <w:charset w:val="86"/>
    <w:family w:val="auto"/>
    <w:pitch w:val="default"/>
    <w:sig w:usb0="00000000" w:usb1="00000000" w:usb2="00000010" w:usb3="00000000" w:csb0="0004009F"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PMingLiU">
    <w:altName w:val="Microsoft JhengHei UI"/>
    <w:panose1 w:val="02010601000101010101"/>
    <w:charset w:val="88"/>
    <w:family w:val="auto"/>
    <w:pitch w:val="default"/>
    <w:sig w:usb0="00000000" w:usb1="00000000" w:usb2="00000010" w:usb3="00000000" w:csb0="00100000" w:csb1="00000000"/>
  </w:font>
  <w:font w:name="Arial Unicode MS">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EB6A0">
    <w:pPr>
      <w:pStyle w:val="11"/>
    </w:pPr>
    <w:r>
      <w:pict>
        <v:shape id="_x0000_s2052" o:spid="_x0000_s2052"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path/>
          <v:fill on="f" focussize="0,0"/>
          <v:stroke on="f" weight="0.5pt" joinstyle="miter"/>
          <v:imagedata o:title=""/>
          <o:lock v:ext="edit"/>
          <v:textbox inset="0mm,0mm,0mm,0mm" style="mso-fit-shape-to-text:t;">
            <w:txbxContent>
              <w:p w14:paraId="13E43497">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I</w:t>
                </w:r>
                <w:r>
                  <w:rPr>
                    <w:rFonts w:ascii="Times New Roman" w:hAnsi="Times New Roman" w:cs="Times New Roma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0035E">
    <w:pPr>
      <w:pStyle w:val="11"/>
    </w:pPr>
    <w:r>
      <w:pict>
        <v:shape id="_x0000_s2051" o:spid="_x0000_s2051"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z1oNIzAgAAYQQAAA4AAAAAAAAAAQAgAAAAHwEAAGRycy9lMm9Eb2MueG1sUEsF&#10;BgAAAAAGAAYAWQEAAMQFAAAAAA==&#10;">
          <v:path/>
          <v:fill on="f" focussize="0,0"/>
          <v:stroke on="f" weight="0.5pt" joinstyle="miter"/>
          <v:imagedata o:title=""/>
          <o:lock v:ext="edit"/>
          <v:textbox inset="0mm,0mm,0mm,0mm" style="mso-fit-shape-to-text:t;">
            <w:txbxContent>
              <w:p w14:paraId="40BEB396">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48</w:t>
                </w:r>
                <w:r>
                  <w:rPr>
                    <w:rFonts w:ascii="Times New Roman" w:hAnsi="Times New Roman" w:cs="Times New Roma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749E0">
    <w:pPr>
      <w:pStyle w:val="11"/>
    </w:pPr>
    <w:r>
      <w:pict>
        <v:shape id="_x0000_s2050" o:spid="_x0000_s2050"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v0r62MQIAAGUEAAAOAAAAAAAAAAEAIAAAAB8BAABkcnMvZTJvRG9jLnhtbFBLBQYA&#10;AAAABgAGAFkBAADCBQAAAAA=&#10;">
          <v:path/>
          <v:fill on="f" focussize="0,0"/>
          <v:stroke on="f" weight="0.5pt" joinstyle="miter"/>
          <v:imagedata o:title=""/>
          <o:lock v:ext="edit"/>
          <v:textbox inset="0mm,0mm,0mm,0mm" style="mso-fit-shape-to-text:t;">
            <w:txbxContent>
              <w:p w14:paraId="03F23CA8">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79</w:t>
                </w:r>
                <w:r>
                  <w:rPr>
                    <w:rFonts w:ascii="Times New Roman" w:hAnsi="Times New Roman" w:cs="Times New Roma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573F3">
    <w:pPr>
      <w:spacing w:line="184" w:lineRule="auto"/>
      <w:jc w:val="center"/>
      <w:rPr>
        <w:rFonts w:eastAsia="Times New Roman"/>
        <w:sz w:val="20"/>
        <w:szCs w:val="20"/>
      </w:rPr>
    </w:pPr>
    <w:r>
      <w:rPr>
        <w:sz w:val="20"/>
      </w:rP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wfDAyAgAAZ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jB8MDICAABlBAAADgAAAAAAAAABACAAAAAfAQAAZHJzL2Uyb0RvYy54bWxQSwUG&#10;AAAAAAYABgBZAQAAwwUAAAAA&#10;">
          <v:path/>
          <v:fill on="f" focussize="0,0"/>
          <v:stroke on="f" weight="0.5pt" joinstyle="miter"/>
          <v:imagedata o:title=""/>
          <o:lock v:ext="edit"/>
          <v:textbox inset="0mm,0mm,0mm,0mm" style="mso-fit-shape-to-text:t;">
            <w:txbxContent>
              <w:p w14:paraId="18885AC3">
                <w:pPr>
                  <w:pStyle w:val="11"/>
                  <w:rPr>
                    <w:rFonts w:ascii="Times New Roman" w:hAnsi="Times New Roman"/>
                  </w:rPr>
                </w:pP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92</w:t>
                </w:r>
                <w:r>
                  <w:rPr>
                    <w:rFonts w:ascii="Times New Roman" w:hAnsi="Times New Roman"/>
                  </w:rPr>
                  <w:fldChar w:fldCharType="end"/>
                </w:r>
                <w:r>
                  <w:rPr>
                    <w:rFonts w:ascii="Times New Roman" w:hAnsi="Times New Roman"/>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4B1B7D"/>
    <w:multiLevelType w:val="singleLevel"/>
    <w:tmpl w:val="8B4B1B7D"/>
    <w:lvl w:ilvl="0" w:tentative="0">
      <w:start w:val="1"/>
      <w:numFmt w:val="decimal"/>
      <w:suff w:val="space"/>
      <w:lvlText w:val="8. 3. %1 "/>
      <w:lvlJc w:val="left"/>
      <w:pPr>
        <w:tabs>
          <w:tab w:val="left" w:pos="0"/>
        </w:tabs>
        <w:ind w:left="0" w:firstLine="0"/>
      </w:pPr>
      <w:rPr>
        <w:rFonts w:hint="default" w:ascii="Times New Roman" w:hAnsi="Times New Roman"/>
        <w:b/>
        <w:bCs/>
        <w:sz w:val="21"/>
        <w:szCs w:val="21"/>
      </w:rPr>
    </w:lvl>
  </w:abstractNum>
  <w:abstractNum w:abstractNumId="1">
    <w:nsid w:val="91DDF4EC"/>
    <w:multiLevelType w:val="singleLevel"/>
    <w:tmpl w:val="91DDF4EC"/>
    <w:lvl w:ilvl="0" w:tentative="0">
      <w:start w:val="1"/>
      <w:numFmt w:val="decimal"/>
      <w:suff w:val="space"/>
      <w:lvlText w:val="9. 6. %1 "/>
      <w:lvlJc w:val="left"/>
      <w:pPr>
        <w:tabs>
          <w:tab w:val="left" w:pos="0"/>
        </w:tabs>
        <w:ind w:left="0" w:firstLine="0"/>
      </w:pPr>
      <w:rPr>
        <w:rFonts w:hint="default" w:ascii="Times New Roman" w:hAnsi="Times New Roman"/>
        <w:b/>
        <w:bCs/>
        <w:sz w:val="21"/>
        <w:szCs w:val="21"/>
      </w:rPr>
    </w:lvl>
  </w:abstractNum>
  <w:abstractNum w:abstractNumId="2">
    <w:nsid w:val="9322704D"/>
    <w:multiLevelType w:val="singleLevel"/>
    <w:tmpl w:val="9322704D"/>
    <w:lvl w:ilvl="0" w:tentative="0">
      <w:start w:val="1"/>
      <w:numFmt w:val="decimal"/>
      <w:suff w:val="space"/>
      <w:lvlText w:val="3. 0. %1 "/>
      <w:lvlJc w:val="left"/>
      <w:pPr>
        <w:tabs>
          <w:tab w:val="left" w:pos="0"/>
        </w:tabs>
        <w:ind w:left="0" w:firstLine="0"/>
      </w:pPr>
      <w:rPr>
        <w:rFonts w:hint="default" w:ascii="Times New Roman" w:hAnsi="Times New Roman"/>
        <w:b/>
        <w:bCs/>
        <w:sz w:val="21"/>
        <w:szCs w:val="21"/>
      </w:rPr>
    </w:lvl>
  </w:abstractNum>
  <w:abstractNum w:abstractNumId="3">
    <w:nsid w:val="9593EC24"/>
    <w:multiLevelType w:val="singleLevel"/>
    <w:tmpl w:val="9593EC24"/>
    <w:lvl w:ilvl="0" w:tentative="0">
      <w:start w:val="1"/>
      <w:numFmt w:val="decimal"/>
      <w:suff w:val="space"/>
      <w:lvlText w:val="2. 2. %1 "/>
      <w:lvlJc w:val="left"/>
      <w:pPr>
        <w:tabs>
          <w:tab w:val="left" w:pos="0"/>
        </w:tabs>
        <w:ind w:left="0" w:firstLine="0"/>
      </w:pPr>
      <w:rPr>
        <w:rFonts w:hint="default" w:ascii="Times New Roman" w:hAnsi="Times New Roman"/>
        <w:b/>
        <w:bCs/>
        <w:sz w:val="21"/>
        <w:szCs w:val="21"/>
      </w:rPr>
    </w:lvl>
  </w:abstractNum>
  <w:abstractNum w:abstractNumId="4">
    <w:nsid w:val="9ADB9077"/>
    <w:multiLevelType w:val="singleLevel"/>
    <w:tmpl w:val="9ADB9077"/>
    <w:lvl w:ilvl="0" w:tentative="0">
      <w:start w:val="1"/>
      <w:numFmt w:val="decimal"/>
      <w:suff w:val="space"/>
      <w:lvlText w:val="8. 4. %1 "/>
      <w:lvlJc w:val="left"/>
      <w:pPr>
        <w:tabs>
          <w:tab w:val="left" w:pos="0"/>
        </w:tabs>
        <w:ind w:left="0" w:firstLine="0"/>
      </w:pPr>
      <w:rPr>
        <w:rFonts w:hint="default" w:ascii="Times New Roman" w:hAnsi="Times New Roman"/>
        <w:b/>
        <w:bCs/>
        <w:sz w:val="21"/>
        <w:szCs w:val="21"/>
      </w:rPr>
    </w:lvl>
  </w:abstractNum>
  <w:abstractNum w:abstractNumId="5">
    <w:nsid w:val="AA162A0E"/>
    <w:multiLevelType w:val="singleLevel"/>
    <w:tmpl w:val="AA162A0E"/>
    <w:lvl w:ilvl="0" w:tentative="0">
      <w:start w:val="1"/>
      <w:numFmt w:val="decimal"/>
      <w:suff w:val="space"/>
      <w:lvlText w:val="5. 3. %1 "/>
      <w:lvlJc w:val="left"/>
      <w:pPr>
        <w:tabs>
          <w:tab w:val="left" w:pos="0"/>
        </w:tabs>
        <w:ind w:left="0" w:firstLine="0"/>
      </w:pPr>
      <w:rPr>
        <w:rFonts w:hint="default" w:ascii="Times New Roman" w:hAnsi="Times New Roman"/>
        <w:b/>
        <w:bCs/>
        <w:sz w:val="21"/>
        <w:szCs w:val="21"/>
      </w:rPr>
    </w:lvl>
  </w:abstractNum>
  <w:abstractNum w:abstractNumId="6">
    <w:nsid w:val="AC2321B7"/>
    <w:multiLevelType w:val="singleLevel"/>
    <w:tmpl w:val="AC2321B7"/>
    <w:lvl w:ilvl="0" w:tentative="0">
      <w:start w:val="1"/>
      <w:numFmt w:val="decimal"/>
      <w:suff w:val="space"/>
      <w:lvlText w:val="6. 3. %1 "/>
      <w:lvlJc w:val="left"/>
      <w:pPr>
        <w:tabs>
          <w:tab w:val="left" w:pos="0"/>
        </w:tabs>
        <w:ind w:left="0" w:firstLine="0"/>
      </w:pPr>
      <w:rPr>
        <w:rFonts w:hint="default" w:ascii="Times New Roman" w:hAnsi="Times New Roman"/>
        <w:b/>
        <w:bCs/>
        <w:sz w:val="21"/>
        <w:szCs w:val="21"/>
      </w:rPr>
    </w:lvl>
  </w:abstractNum>
  <w:abstractNum w:abstractNumId="7">
    <w:nsid w:val="B5BDB115"/>
    <w:multiLevelType w:val="singleLevel"/>
    <w:tmpl w:val="B5BDB115"/>
    <w:lvl w:ilvl="0" w:tentative="0">
      <w:start w:val="1"/>
      <w:numFmt w:val="decimal"/>
      <w:suff w:val="space"/>
      <w:lvlText w:val="9. 2. %1 "/>
      <w:lvlJc w:val="left"/>
      <w:pPr>
        <w:tabs>
          <w:tab w:val="left" w:pos="0"/>
        </w:tabs>
        <w:ind w:left="0" w:firstLine="0"/>
      </w:pPr>
      <w:rPr>
        <w:rFonts w:hint="default" w:ascii="Times New Roman" w:hAnsi="Times New Roman"/>
        <w:b/>
        <w:bCs/>
        <w:sz w:val="21"/>
        <w:szCs w:val="21"/>
      </w:rPr>
    </w:lvl>
  </w:abstractNum>
  <w:abstractNum w:abstractNumId="8">
    <w:nsid w:val="BCD220E7"/>
    <w:multiLevelType w:val="singleLevel"/>
    <w:tmpl w:val="BCD220E7"/>
    <w:lvl w:ilvl="0" w:tentative="0">
      <w:start w:val="1"/>
      <w:numFmt w:val="decimal"/>
      <w:suff w:val="space"/>
      <w:lvlText w:val="10. 1. %1 "/>
      <w:lvlJc w:val="left"/>
      <w:pPr>
        <w:tabs>
          <w:tab w:val="left" w:pos="0"/>
        </w:tabs>
        <w:ind w:left="0" w:firstLine="0"/>
      </w:pPr>
      <w:rPr>
        <w:rFonts w:hint="default" w:ascii="Times New Roman" w:hAnsi="Times New Roman"/>
        <w:b/>
        <w:bCs/>
        <w:sz w:val="21"/>
        <w:szCs w:val="21"/>
      </w:rPr>
    </w:lvl>
  </w:abstractNum>
  <w:abstractNum w:abstractNumId="9">
    <w:nsid w:val="BF6C13D0"/>
    <w:multiLevelType w:val="singleLevel"/>
    <w:tmpl w:val="BF6C13D0"/>
    <w:lvl w:ilvl="0" w:tentative="0">
      <w:start w:val="1"/>
      <w:numFmt w:val="decimal"/>
      <w:suff w:val="space"/>
      <w:lvlText w:val="C. 0. %1 "/>
      <w:lvlJc w:val="left"/>
      <w:pPr>
        <w:tabs>
          <w:tab w:val="left" w:pos="0"/>
        </w:tabs>
        <w:ind w:left="0" w:firstLine="0"/>
      </w:pPr>
      <w:rPr>
        <w:rFonts w:hint="default" w:ascii="Times New Roman" w:hAnsi="Times New Roman"/>
        <w:b/>
        <w:bCs/>
        <w:sz w:val="21"/>
        <w:szCs w:val="21"/>
      </w:rPr>
    </w:lvl>
  </w:abstractNum>
  <w:abstractNum w:abstractNumId="10">
    <w:nsid w:val="C010FBF1"/>
    <w:multiLevelType w:val="singleLevel"/>
    <w:tmpl w:val="C010FBF1"/>
    <w:lvl w:ilvl="0" w:tentative="0">
      <w:start w:val="1"/>
      <w:numFmt w:val="decimal"/>
      <w:suff w:val="space"/>
      <w:lvlText w:val="6. 2. %1 "/>
      <w:lvlJc w:val="left"/>
      <w:pPr>
        <w:tabs>
          <w:tab w:val="left" w:pos="0"/>
        </w:tabs>
        <w:ind w:left="0" w:firstLine="0"/>
      </w:pPr>
      <w:rPr>
        <w:rFonts w:hint="default" w:ascii="Times New Roman" w:hAnsi="Times New Roman"/>
        <w:b/>
        <w:bCs/>
        <w:sz w:val="21"/>
        <w:szCs w:val="21"/>
      </w:rPr>
    </w:lvl>
  </w:abstractNum>
  <w:abstractNum w:abstractNumId="11">
    <w:nsid w:val="C44F82F9"/>
    <w:multiLevelType w:val="singleLevel"/>
    <w:tmpl w:val="C44F82F9"/>
    <w:lvl w:ilvl="0" w:tentative="0">
      <w:start w:val="1"/>
      <w:numFmt w:val="lowerLetter"/>
      <w:suff w:val="space"/>
      <w:lvlText w:val="(%1)"/>
      <w:lvlJc w:val="left"/>
    </w:lvl>
  </w:abstractNum>
  <w:abstractNum w:abstractNumId="12">
    <w:nsid w:val="C59E44AF"/>
    <w:multiLevelType w:val="singleLevel"/>
    <w:tmpl w:val="C59E44AF"/>
    <w:lvl w:ilvl="0" w:tentative="0">
      <w:start w:val="1"/>
      <w:numFmt w:val="decimal"/>
      <w:suff w:val="space"/>
      <w:lvlText w:val="9. 4. %1 "/>
      <w:lvlJc w:val="left"/>
      <w:pPr>
        <w:tabs>
          <w:tab w:val="left" w:pos="0"/>
        </w:tabs>
        <w:ind w:left="0" w:firstLine="0"/>
      </w:pPr>
      <w:rPr>
        <w:rFonts w:hint="default" w:ascii="Times New Roman" w:hAnsi="Times New Roman"/>
        <w:b/>
        <w:bCs/>
        <w:sz w:val="21"/>
        <w:szCs w:val="21"/>
      </w:rPr>
    </w:lvl>
  </w:abstractNum>
  <w:abstractNum w:abstractNumId="13">
    <w:nsid w:val="C7679B05"/>
    <w:multiLevelType w:val="singleLevel"/>
    <w:tmpl w:val="C7679B05"/>
    <w:lvl w:ilvl="0" w:tentative="0">
      <w:start w:val="1"/>
      <w:numFmt w:val="decimal"/>
      <w:suff w:val="space"/>
      <w:lvlText w:val="10. 5. %1 "/>
      <w:lvlJc w:val="left"/>
      <w:pPr>
        <w:tabs>
          <w:tab w:val="left" w:pos="0"/>
        </w:tabs>
        <w:ind w:left="0" w:firstLine="0"/>
      </w:pPr>
      <w:rPr>
        <w:rFonts w:hint="default" w:ascii="Times New Roman" w:hAnsi="Times New Roman"/>
        <w:b/>
        <w:bCs/>
        <w:sz w:val="21"/>
        <w:szCs w:val="21"/>
      </w:rPr>
    </w:lvl>
  </w:abstractNum>
  <w:abstractNum w:abstractNumId="14">
    <w:nsid w:val="D55F7742"/>
    <w:multiLevelType w:val="singleLevel"/>
    <w:tmpl w:val="D55F7742"/>
    <w:lvl w:ilvl="0" w:tentative="0">
      <w:start w:val="1"/>
      <w:numFmt w:val="decimal"/>
      <w:suff w:val="space"/>
      <w:lvlText w:val="10. 4. %1 "/>
      <w:lvlJc w:val="left"/>
      <w:pPr>
        <w:tabs>
          <w:tab w:val="left" w:pos="0"/>
        </w:tabs>
        <w:ind w:left="0" w:firstLine="0"/>
      </w:pPr>
      <w:rPr>
        <w:rFonts w:hint="default" w:ascii="Times New Roman" w:hAnsi="Times New Roman"/>
        <w:b/>
        <w:bCs/>
        <w:sz w:val="21"/>
        <w:szCs w:val="21"/>
      </w:rPr>
    </w:lvl>
  </w:abstractNum>
  <w:abstractNum w:abstractNumId="15">
    <w:nsid w:val="D6292A2E"/>
    <w:multiLevelType w:val="singleLevel"/>
    <w:tmpl w:val="D6292A2E"/>
    <w:lvl w:ilvl="0" w:tentative="0">
      <w:start w:val="1"/>
      <w:numFmt w:val="decimal"/>
      <w:suff w:val="space"/>
      <w:lvlText w:val="7. 1. %1 "/>
      <w:lvlJc w:val="left"/>
      <w:pPr>
        <w:tabs>
          <w:tab w:val="left" w:pos="0"/>
        </w:tabs>
        <w:ind w:left="0" w:firstLine="0"/>
      </w:pPr>
      <w:rPr>
        <w:rFonts w:hint="default" w:ascii="Times New Roman" w:hAnsi="Times New Roman"/>
        <w:b/>
        <w:bCs/>
        <w:sz w:val="21"/>
        <w:szCs w:val="21"/>
      </w:rPr>
    </w:lvl>
  </w:abstractNum>
  <w:abstractNum w:abstractNumId="16">
    <w:nsid w:val="D805CBA9"/>
    <w:multiLevelType w:val="singleLevel"/>
    <w:tmpl w:val="D805CBA9"/>
    <w:lvl w:ilvl="0" w:tentative="0">
      <w:start w:val="1"/>
      <w:numFmt w:val="decimal"/>
      <w:suff w:val="space"/>
      <w:lvlText w:val="9. 3. %1 "/>
      <w:lvlJc w:val="left"/>
      <w:pPr>
        <w:tabs>
          <w:tab w:val="left" w:pos="0"/>
        </w:tabs>
        <w:ind w:left="0" w:firstLine="0"/>
      </w:pPr>
      <w:rPr>
        <w:rFonts w:hint="default" w:ascii="Times New Roman" w:hAnsi="Times New Roman"/>
        <w:b/>
        <w:bCs/>
        <w:sz w:val="21"/>
        <w:szCs w:val="21"/>
      </w:rPr>
    </w:lvl>
  </w:abstractNum>
  <w:abstractNum w:abstractNumId="17">
    <w:nsid w:val="DA4BAAA9"/>
    <w:multiLevelType w:val="singleLevel"/>
    <w:tmpl w:val="DA4BAAA9"/>
    <w:lvl w:ilvl="0" w:tentative="0">
      <w:start w:val="1"/>
      <w:numFmt w:val="decimal"/>
      <w:suff w:val="space"/>
      <w:lvlText w:val="7. 3. %1 "/>
      <w:lvlJc w:val="left"/>
      <w:pPr>
        <w:tabs>
          <w:tab w:val="left" w:pos="0"/>
        </w:tabs>
        <w:ind w:left="0" w:firstLine="0"/>
      </w:pPr>
      <w:rPr>
        <w:rFonts w:hint="default" w:ascii="Times New Roman" w:hAnsi="Times New Roman"/>
        <w:b/>
        <w:bCs/>
        <w:sz w:val="21"/>
        <w:szCs w:val="21"/>
      </w:rPr>
    </w:lvl>
  </w:abstractNum>
  <w:abstractNum w:abstractNumId="18">
    <w:nsid w:val="EA0872FE"/>
    <w:multiLevelType w:val="singleLevel"/>
    <w:tmpl w:val="EA0872FE"/>
    <w:lvl w:ilvl="0" w:tentative="0">
      <w:start w:val="1"/>
      <w:numFmt w:val="decimal"/>
      <w:suff w:val="space"/>
      <w:lvlText w:val="9. 8. %1 "/>
      <w:lvlJc w:val="left"/>
      <w:pPr>
        <w:tabs>
          <w:tab w:val="left" w:pos="0"/>
        </w:tabs>
        <w:ind w:left="0" w:firstLine="0"/>
      </w:pPr>
      <w:rPr>
        <w:rFonts w:hint="default" w:ascii="Times New Roman" w:hAnsi="Times New Roman"/>
        <w:b/>
        <w:bCs/>
        <w:sz w:val="21"/>
        <w:szCs w:val="21"/>
      </w:rPr>
    </w:lvl>
  </w:abstractNum>
  <w:abstractNum w:abstractNumId="19">
    <w:nsid w:val="F0074322"/>
    <w:multiLevelType w:val="singleLevel"/>
    <w:tmpl w:val="F0074322"/>
    <w:lvl w:ilvl="0" w:tentative="0">
      <w:start w:val="1"/>
      <w:numFmt w:val="decimal"/>
      <w:suff w:val="space"/>
      <w:lvlText w:val="4. 2. %1 "/>
      <w:lvlJc w:val="left"/>
      <w:pPr>
        <w:tabs>
          <w:tab w:val="left" w:pos="0"/>
        </w:tabs>
        <w:ind w:left="0" w:firstLine="0"/>
      </w:pPr>
      <w:rPr>
        <w:rFonts w:hint="default" w:ascii="Times New Roman" w:hAnsi="Times New Roman"/>
        <w:b/>
        <w:bCs/>
        <w:sz w:val="21"/>
        <w:szCs w:val="21"/>
      </w:rPr>
    </w:lvl>
  </w:abstractNum>
  <w:abstractNum w:abstractNumId="20">
    <w:nsid w:val="F18DF58B"/>
    <w:multiLevelType w:val="singleLevel"/>
    <w:tmpl w:val="F18DF58B"/>
    <w:lvl w:ilvl="0" w:tentative="0">
      <w:start w:val="1"/>
      <w:numFmt w:val="decimal"/>
      <w:suff w:val="space"/>
      <w:lvlText w:val="8. 1. %1 "/>
      <w:lvlJc w:val="left"/>
      <w:pPr>
        <w:tabs>
          <w:tab w:val="left" w:pos="0"/>
        </w:tabs>
        <w:ind w:left="0" w:firstLine="0"/>
      </w:pPr>
      <w:rPr>
        <w:rFonts w:hint="default" w:ascii="Times New Roman" w:hAnsi="Times New Roman"/>
        <w:b/>
        <w:bCs/>
        <w:sz w:val="21"/>
        <w:szCs w:val="21"/>
      </w:rPr>
    </w:lvl>
  </w:abstractNum>
  <w:abstractNum w:abstractNumId="21">
    <w:nsid w:val="F53DE2BB"/>
    <w:multiLevelType w:val="singleLevel"/>
    <w:tmpl w:val="F53DE2BB"/>
    <w:lvl w:ilvl="0" w:tentative="0">
      <w:start w:val="1"/>
      <w:numFmt w:val="decimal"/>
      <w:suff w:val="space"/>
      <w:lvlText w:val="6. 1. %1 "/>
      <w:lvlJc w:val="left"/>
      <w:pPr>
        <w:tabs>
          <w:tab w:val="left" w:pos="0"/>
        </w:tabs>
        <w:ind w:left="0" w:firstLine="0"/>
      </w:pPr>
      <w:rPr>
        <w:rFonts w:hint="default" w:ascii="Times New Roman" w:hAnsi="Times New Roman"/>
        <w:b/>
        <w:bCs/>
        <w:sz w:val="21"/>
        <w:szCs w:val="21"/>
      </w:rPr>
    </w:lvl>
  </w:abstractNum>
  <w:abstractNum w:abstractNumId="22">
    <w:nsid w:val="FD7C7A02"/>
    <w:multiLevelType w:val="singleLevel"/>
    <w:tmpl w:val="FD7C7A02"/>
    <w:lvl w:ilvl="0" w:tentative="0">
      <w:start w:val="1"/>
      <w:numFmt w:val="decimal"/>
      <w:suff w:val="space"/>
      <w:lvlText w:val="10. 3. %1 "/>
      <w:lvlJc w:val="left"/>
      <w:pPr>
        <w:tabs>
          <w:tab w:val="left" w:pos="0"/>
        </w:tabs>
        <w:ind w:left="0" w:firstLine="0"/>
      </w:pPr>
      <w:rPr>
        <w:rFonts w:hint="default" w:ascii="Times New Roman" w:hAnsi="Times New Roman"/>
        <w:b/>
        <w:bCs/>
        <w:sz w:val="21"/>
        <w:szCs w:val="21"/>
      </w:rPr>
    </w:lvl>
  </w:abstractNum>
  <w:abstractNum w:abstractNumId="23">
    <w:nsid w:val="031CE21A"/>
    <w:multiLevelType w:val="singleLevel"/>
    <w:tmpl w:val="031CE21A"/>
    <w:lvl w:ilvl="0" w:tentative="0">
      <w:start w:val="1"/>
      <w:numFmt w:val="decimal"/>
      <w:suff w:val="space"/>
      <w:lvlText w:val="12. 1. %1 "/>
      <w:lvlJc w:val="left"/>
      <w:pPr>
        <w:tabs>
          <w:tab w:val="left" w:pos="0"/>
        </w:tabs>
        <w:ind w:left="0" w:firstLine="0"/>
      </w:pPr>
      <w:rPr>
        <w:rFonts w:hint="default" w:ascii="Times New Roman" w:hAnsi="Times New Roman"/>
        <w:b/>
        <w:bCs/>
        <w:sz w:val="21"/>
        <w:szCs w:val="21"/>
      </w:rPr>
    </w:lvl>
  </w:abstractNum>
  <w:abstractNum w:abstractNumId="24">
    <w:nsid w:val="07D6747A"/>
    <w:multiLevelType w:val="singleLevel"/>
    <w:tmpl w:val="07D6747A"/>
    <w:lvl w:ilvl="0" w:tentative="0">
      <w:start w:val="1"/>
      <w:numFmt w:val="decimal"/>
      <w:suff w:val="space"/>
      <w:lvlText w:val="5. 4. %1 "/>
      <w:lvlJc w:val="left"/>
      <w:pPr>
        <w:tabs>
          <w:tab w:val="left" w:pos="0"/>
        </w:tabs>
        <w:ind w:left="0" w:firstLine="0"/>
      </w:pPr>
      <w:rPr>
        <w:rFonts w:hint="default" w:ascii="Times New Roman" w:hAnsi="Times New Roman"/>
        <w:b/>
        <w:bCs/>
        <w:sz w:val="21"/>
        <w:szCs w:val="21"/>
      </w:rPr>
    </w:lvl>
  </w:abstractNum>
  <w:abstractNum w:abstractNumId="25">
    <w:nsid w:val="0D48897F"/>
    <w:multiLevelType w:val="singleLevel"/>
    <w:tmpl w:val="0D48897F"/>
    <w:lvl w:ilvl="0" w:tentative="0">
      <w:start w:val="1"/>
      <w:numFmt w:val="decimal"/>
      <w:suff w:val="space"/>
      <w:lvlText w:val="5. 2. %1 "/>
      <w:lvlJc w:val="left"/>
      <w:pPr>
        <w:tabs>
          <w:tab w:val="left" w:pos="0"/>
        </w:tabs>
        <w:ind w:left="0" w:firstLine="0"/>
      </w:pPr>
      <w:rPr>
        <w:rFonts w:hint="default" w:ascii="Times New Roman" w:hAnsi="Times New Roman"/>
        <w:b/>
        <w:bCs/>
        <w:sz w:val="21"/>
        <w:szCs w:val="21"/>
      </w:rPr>
    </w:lvl>
  </w:abstractNum>
  <w:abstractNum w:abstractNumId="26">
    <w:nsid w:val="143303D2"/>
    <w:multiLevelType w:val="singleLevel"/>
    <w:tmpl w:val="143303D2"/>
    <w:lvl w:ilvl="0" w:tentative="0">
      <w:start w:val="1"/>
      <w:numFmt w:val="decimal"/>
      <w:suff w:val="space"/>
      <w:lvlText w:val="4. 3. %1 "/>
      <w:lvlJc w:val="left"/>
      <w:pPr>
        <w:tabs>
          <w:tab w:val="left" w:pos="0"/>
        </w:tabs>
        <w:ind w:left="0" w:firstLine="0"/>
      </w:pPr>
      <w:rPr>
        <w:rFonts w:hint="default" w:ascii="Times New Roman" w:hAnsi="Times New Roman"/>
        <w:b/>
        <w:bCs/>
        <w:sz w:val="21"/>
        <w:szCs w:val="21"/>
      </w:rPr>
    </w:lvl>
  </w:abstractNum>
  <w:abstractNum w:abstractNumId="27">
    <w:nsid w:val="223DC92A"/>
    <w:multiLevelType w:val="singleLevel"/>
    <w:tmpl w:val="223DC92A"/>
    <w:lvl w:ilvl="0" w:tentative="0">
      <w:start w:val="1"/>
      <w:numFmt w:val="decimal"/>
      <w:suff w:val="space"/>
      <w:lvlText w:val="10. 2. %1 "/>
      <w:lvlJc w:val="left"/>
      <w:pPr>
        <w:tabs>
          <w:tab w:val="left" w:pos="0"/>
        </w:tabs>
        <w:ind w:left="0" w:firstLine="0"/>
      </w:pPr>
      <w:rPr>
        <w:rFonts w:hint="default" w:ascii="Times New Roman" w:hAnsi="Times New Roman"/>
        <w:b/>
        <w:bCs/>
        <w:sz w:val="21"/>
        <w:szCs w:val="21"/>
      </w:rPr>
    </w:lvl>
  </w:abstractNum>
  <w:abstractNum w:abstractNumId="28">
    <w:nsid w:val="2EA19CCF"/>
    <w:multiLevelType w:val="singleLevel"/>
    <w:tmpl w:val="2EA19CCF"/>
    <w:lvl w:ilvl="0" w:tentative="0">
      <w:start w:val="1"/>
      <w:numFmt w:val="decimal"/>
      <w:suff w:val="space"/>
      <w:lvlText w:val="6. 4. %1 "/>
      <w:lvlJc w:val="left"/>
      <w:pPr>
        <w:tabs>
          <w:tab w:val="left" w:pos="0"/>
        </w:tabs>
        <w:ind w:left="0" w:firstLine="0"/>
      </w:pPr>
      <w:rPr>
        <w:rFonts w:hint="default" w:ascii="Times New Roman" w:hAnsi="Times New Roman"/>
        <w:b/>
        <w:bCs/>
        <w:sz w:val="21"/>
        <w:szCs w:val="21"/>
      </w:rPr>
    </w:lvl>
  </w:abstractNum>
  <w:abstractNum w:abstractNumId="29">
    <w:nsid w:val="2FE85C18"/>
    <w:multiLevelType w:val="singleLevel"/>
    <w:tmpl w:val="2FE85C18"/>
    <w:lvl w:ilvl="0" w:tentative="0">
      <w:start w:val="1"/>
      <w:numFmt w:val="decimal"/>
      <w:suff w:val="space"/>
      <w:lvlText w:val="%1 "/>
      <w:lvlJc w:val="left"/>
      <w:pPr>
        <w:tabs>
          <w:tab w:val="left" w:pos="0"/>
        </w:tabs>
        <w:ind w:left="0" w:firstLine="0"/>
      </w:pPr>
      <w:rPr>
        <w:rFonts w:hint="default" w:ascii="Times New Roman" w:hAnsi="Times New Roman"/>
        <w:b/>
        <w:bCs w:val="0"/>
      </w:rPr>
    </w:lvl>
  </w:abstractNum>
  <w:abstractNum w:abstractNumId="30">
    <w:nsid w:val="3245F0C6"/>
    <w:multiLevelType w:val="singleLevel"/>
    <w:tmpl w:val="3245F0C6"/>
    <w:lvl w:ilvl="0" w:tentative="0">
      <w:start w:val="1"/>
      <w:numFmt w:val="decimal"/>
      <w:suff w:val="space"/>
      <w:lvlText w:val="4. 1. %1 "/>
      <w:lvlJc w:val="left"/>
      <w:pPr>
        <w:tabs>
          <w:tab w:val="left" w:pos="0"/>
        </w:tabs>
        <w:ind w:left="0" w:firstLine="0"/>
      </w:pPr>
      <w:rPr>
        <w:rFonts w:hint="default" w:ascii="Times New Roman" w:hAnsi="Times New Roman"/>
        <w:b/>
        <w:bCs/>
        <w:sz w:val="21"/>
        <w:szCs w:val="21"/>
      </w:rPr>
    </w:lvl>
  </w:abstractNum>
  <w:abstractNum w:abstractNumId="31">
    <w:nsid w:val="3474299C"/>
    <w:multiLevelType w:val="singleLevel"/>
    <w:tmpl w:val="3474299C"/>
    <w:lvl w:ilvl="0" w:tentative="0">
      <w:start w:val="1"/>
      <w:numFmt w:val="decimal"/>
      <w:suff w:val="space"/>
      <w:lvlText w:val="8. 5. %1 "/>
      <w:lvlJc w:val="left"/>
      <w:pPr>
        <w:tabs>
          <w:tab w:val="left" w:pos="0"/>
        </w:tabs>
        <w:ind w:left="0" w:firstLine="0"/>
      </w:pPr>
      <w:rPr>
        <w:rFonts w:hint="default" w:ascii="Times New Roman" w:hAnsi="Times New Roman"/>
        <w:b/>
        <w:bCs/>
        <w:sz w:val="21"/>
        <w:szCs w:val="21"/>
      </w:rPr>
    </w:lvl>
  </w:abstractNum>
  <w:abstractNum w:abstractNumId="32">
    <w:nsid w:val="353B4D1F"/>
    <w:multiLevelType w:val="singleLevel"/>
    <w:tmpl w:val="353B4D1F"/>
    <w:lvl w:ilvl="0" w:tentative="0">
      <w:start w:val="1"/>
      <w:numFmt w:val="decimal"/>
      <w:suff w:val="space"/>
      <w:lvlText w:val="C. 0. %1 "/>
      <w:lvlJc w:val="left"/>
      <w:pPr>
        <w:tabs>
          <w:tab w:val="left" w:pos="0"/>
        </w:tabs>
        <w:ind w:left="0" w:firstLine="0"/>
      </w:pPr>
      <w:rPr>
        <w:rFonts w:hint="default" w:ascii="Times New Roman" w:hAnsi="Times New Roman"/>
        <w:b/>
        <w:bCs/>
        <w:sz w:val="21"/>
        <w:szCs w:val="21"/>
      </w:rPr>
    </w:lvl>
  </w:abstractNum>
  <w:abstractNum w:abstractNumId="33">
    <w:nsid w:val="3B2D7FE2"/>
    <w:multiLevelType w:val="singleLevel"/>
    <w:tmpl w:val="3B2D7FE2"/>
    <w:lvl w:ilvl="0" w:tentative="0">
      <w:start w:val="1"/>
      <w:numFmt w:val="lowerLetter"/>
      <w:suff w:val="space"/>
      <w:lvlText w:val="(%1)"/>
      <w:lvlJc w:val="left"/>
    </w:lvl>
  </w:abstractNum>
  <w:abstractNum w:abstractNumId="34">
    <w:nsid w:val="3DEA722B"/>
    <w:multiLevelType w:val="singleLevel"/>
    <w:tmpl w:val="3DEA722B"/>
    <w:lvl w:ilvl="0" w:tentative="0">
      <w:start w:val="1"/>
      <w:numFmt w:val="decimal"/>
      <w:suff w:val="space"/>
      <w:lvlText w:val="5. 1. %1 "/>
      <w:lvlJc w:val="left"/>
      <w:pPr>
        <w:tabs>
          <w:tab w:val="left" w:pos="0"/>
        </w:tabs>
        <w:ind w:left="0" w:firstLine="0"/>
      </w:pPr>
      <w:rPr>
        <w:rFonts w:hint="default" w:ascii="Times New Roman" w:hAnsi="Times New Roman"/>
        <w:b/>
        <w:bCs/>
        <w:sz w:val="21"/>
        <w:szCs w:val="21"/>
      </w:rPr>
    </w:lvl>
  </w:abstractNum>
  <w:abstractNum w:abstractNumId="35">
    <w:nsid w:val="4270CD2C"/>
    <w:multiLevelType w:val="singleLevel"/>
    <w:tmpl w:val="4270CD2C"/>
    <w:lvl w:ilvl="0" w:tentative="0">
      <w:start w:val="1"/>
      <w:numFmt w:val="decimal"/>
      <w:suff w:val="space"/>
      <w:lvlText w:val="7. 2. %1 "/>
      <w:lvlJc w:val="left"/>
      <w:pPr>
        <w:tabs>
          <w:tab w:val="left" w:pos="0"/>
        </w:tabs>
        <w:ind w:left="0" w:firstLine="0"/>
      </w:pPr>
      <w:rPr>
        <w:rFonts w:hint="default" w:ascii="Times New Roman" w:hAnsi="Times New Roman"/>
        <w:b/>
        <w:bCs/>
        <w:sz w:val="21"/>
        <w:szCs w:val="21"/>
      </w:rPr>
    </w:lvl>
  </w:abstractNum>
  <w:abstractNum w:abstractNumId="36">
    <w:nsid w:val="4C6B0DD0"/>
    <w:multiLevelType w:val="singleLevel"/>
    <w:tmpl w:val="4C6B0DD0"/>
    <w:lvl w:ilvl="0" w:tentative="0">
      <w:start w:val="1"/>
      <w:numFmt w:val="decimal"/>
      <w:suff w:val="space"/>
      <w:lvlText w:val="9. 1. %1 "/>
      <w:lvlJc w:val="left"/>
      <w:pPr>
        <w:tabs>
          <w:tab w:val="left" w:pos="0"/>
        </w:tabs>
        <w:ind w:left="0" w:firstLine="0"/>
      </w:pPr>
      <w:rPr>
        <w:rFonts w:hint="default" w:ascii="Times New Roman" w:hAnsi="Times New Roman"/>
        <w:b/>
        <w:bCs/>
        <w:sz w:val="21"/>
        <w:szCs w:val="21"/>
      </w:rPr>
    </w:lvl>
  </w:abstractNum>
  <w:abstractNum w:abstractNumId="37">
    <w:nsid w:val="510B8FB7"/>
    <w:multiLevelType w:val="singleLevel"/>
    <w:tmpl w:val="510B8FB7"/>
    <w:lvl w:ilvl="0" w:tentative="0">
      <w:start w:val="1"/>
      <w:numFmt w:val="decimal"/>
      <w:suff w:val="space"/>
      <w:lvlText w:val="2. 1. %1 "/>
      <w:lvlJc w:val="left"/>
      <w:pPr>
        <w:tabs>
          <w:tab w:val="left" w:pos="0"/>
        </w:tabs>
        <w:ind w:left="0" w:firstLine="0"/>
      </w:pPr>
      <w:rPr>
        <w:rFonts w:hint="default" w:ascii="Times New Roman" w:hAnsi="Times New Roman"/>
        <w:b/>
        <w:bCs/>
        <w:sz w:val="21"/>
        <w:szCs w:val="21"/>
      </w:rPr>
    </w:lvl>
  </w:abstractNum>
  <w:abstractNum w:abstractNumId="38">
    <w:nsid w:val="5EC82763"/>
    <w:multiLevelType w:val="singleLevel"/>
    <w:tmpl w:val="5EC82763"/>
    <w:lvl w:ilvl="0" w:tentative="0">
      <w:start w:val="1"/>
      <w:numFmt w:val="decimal"/>
      <w:suff w:val="space"/>
      <w:lvlText w:val="9. 7. %1 "/>
      <w:lvlJc w:val="left"/>
      <w:pPr>
        <w:tabs>
          <w:tab w:val="left" w:pos="0"/>
        </w:tabs>
        <w:ind w:left="0" w:firstLine="0"/>
      </w:pPr>
      <w:rPr>
        <w:rFonts w:hint="default" w:ascii="Times New Roman" w:hAnsi="Times New Roman"/>
        <w:b/>
        <w:bCs/>
        <w:sz w:val="21"/>
        <w:szCs w:val="21"/>
      </w:rPr>
    </w:lvl>
  </w:abstractNum>
  <w:abstractNum w:abstractNumId="39">
    <w:nsid w:val="5EFF3EC4"/>
    <w:multiLevelType w:val="singleLevel"/>
    <w:tmpl w:val="5EFF3EC4"/>
    <w:lvl w:ilvl="0" w:tentative="0">
      <w:start w:val="1"/>
      <w:numFmt w:val="decimal"/>
      <w:suff w:val="space"/>
      <w:lvlText w:val="9. 5. %1 "/>
      <w:lvlJc w:val="left"/>
      <w:pPr>
        <w:tabs>
          <w:tab w:val="left" w:pos="0"/>
        </w:tabs>
        <w:ind w:left="0" w:firstLine="0"/>
      </w:pPr>
      <w:rPr>
        <w:rFonts w:hint="default" w:ascii="Times New Roman" w:hAnsi="Times New Roman"/>
        <w:b/>
        <w:bCs/>
        <w:sz w:val="21"/>
        <w:szCs w:val="21"/>
      </w:rPr>
    </w:lvl>
  </w:abstractNum>
  <w:abstractNum w:abstractNumId="40">
    <w:nsid w:val="646260FA"/>
    <w:multiLevelType w:val="multilevel"/>
    <w:tmpl w:val="646260FA"/>
    <w:lvl w:ilvl="0" w:tentative="0">
      <w:start w:val="1"/>
      <w:numFmt w:val="decimal"/>
      <w:pStyle w:val="38"/>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41">
    <w:nsid w:val="6D15DFDE"/>
    <w:multiLevelType w:val="singleLevel"/>
    <w:tmpl w:val="6D15DFDE"/>
    <w:lvl w:ilvl="0" w:tentative="0">
      <w:start w:val="1"/>
      <w:numFmt w:val="decimal"/>
      <w:suff w:val="space"/>
      <w:lvlText w:val="8. 2. %1 "/>
      <w:lvlJc w:val="left"/>
      <w:pPr>
        <w:tabs>
          <w:tab w:val="left" w:pos="0"/>
        </w:tabs>
        <w:ind w:left="0" w:firstLine="0"/>
      </w:pPr>
      <w:rPr>
        <w:rFonts w:hint="default" w:ascii="Times New Roman" w:hAnsi="Times New Roman"/>
        <w:b/>
        <w:bCs/>
        <w:sz w:val="21"/>
        <w:szCs w:val="21"/>
      </w:rPr>
    </w:lvl>
  </w:abstractNum>
  <w:num w:numId="1">
    <w:abstractNumId w:val="40"/>
  </w:num>
  <w:num w:numId="2">
    <w:abstractNumId w:val="37"/>
  </w:num>
  <w:num w:numId="3">
    <w:abstractNumId w:val="3"/>
  </w:num>
  <w:num w:numId="4">
    <w:abstractNumId w:val="2"/>
  </w:num>
  <w:num w:numId="5">
    <w:abstractNumId w:val="30"/>
  </w:num>
  <w:num w:numId="6">
    <w:abstractNumId w:val="19"/>
  </w:num>
  <w:num w:numId="7">
    <w:abstractNumId w:val="26"/>
  </w:num>
  <w:num w:numId="8">
    <w:abstractNumId w:val="34"/>
  </w:num>
  <w:num w:numId="9">
    <w:abstractNumId w:val="25"/>
  </w:num>
  <w:num w:numId="10">
    <w:abstractNumId w:val="5"/>
  </w:num>
  <w:num w:numId="11">
    <w:abstractNumId w:val="24"/>
  </w:num>
  <w:num w:numId="12">
    <w:abstractNumId w:val="21"/>
  </w:num>
  <w:num w:numId="13">
    <w:abstractNumId w:val="10"/>
  </w:num>
  <w:num w:numId="14">
    <w:abstractNumId w:val="11"/>
  </w:num>
  <w:num w:numId="15">
    <w:abstractNumId w:val="33"/>
  </w:num>
  <w:num w:numId="16">
    <w:abstractNumId w:val="6"/>
  </w:num>
  <w:num w:numId="17">
    <w:abstractNumId w:val="28"/>
  </w:num>
  <w:num w:numId="18">
    <w:abstractNumId w:val="15"/>
  </w:num>
  <w:num w:numId="19">
    <w:abstractNumId w:val="35"/>
  </w:num>
  <w:num w:numId="20">
    <w:abstractNumId w:val="17"/>
  </w:num>
  <w:num w:numId="21">
    <w:abstractNumId w:val="20"/>
  </w:num>
  <w:num w:numId="22">
    <w:abstractNumId w:val="41"/>
  </w:num>
  <w:num w:numId="23">
    <w:abstractNumId w:val="0"/>
  </w:num>
  <w:num w:numId="24">
    <w:abstractNumId w:val="4"/>
  </w:num>
  <w:num w:numId="25">
    <w:abstractNumId w:val="31"/>
  </w:num>
  <w:num w:numId="26">
    <w:abstractNumId w:val="36"/>
  </w:num>
  <w:num w:numId="27">
    <w:abstractNumId w:val="7"/>
  </w:num>
  <w:num w:numId="28">
    <w:abstractNumId w:val="16"/>
  </w:num>
  <w:num w:numId="29">
    <w:abstractNumId w:val="12"/>
  </w:num>
  <w:num w:numId="30">
    <w:abstractNumId w:val="39"/>
  </w:num>
  <w:num w:numId="31">
    <w:abstractNumId w:val="1"/>
  </w:num>
  <w:num w:numId="32">
    <w:abstractNumId w:val="38"/>
  </w:num>
  <w:num w:numId="33">
    <w:abstractNumId w:val="18"/>
  </w:num>
  <w:num w:numId="34">
    <w:abstractNumId w:val="8"/>
  </w:num>
  <w:num w:numId="35">
    <w:abstractNumId w:val="27"/>
  </w:num>
  <w:num w:numId="36">
    <w:abstractNumId w:val="22"/>
  </w:num>
  <w:num w:numId="37">
    <w:abstractNumId w:val="14"/>
  </w:num>
  <w:num w:numId="38">
    <w:abstractNumId w:val="13"/>
  </w:num>
  <w:num w:numId="39">
    <w:abstractNumId w:val="23"/>
  </w:num>
  <w:num w:numId="40">
    <w:abstractNumId w:val="32"/>
  </w:num>
  <w:num w:numId="41">
    <w:abstractNumId w:val="9"/>
  </w:num>
  <w:num w:numId="4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lkYzFjYWE2NDY1NGQwNjdlOGJiMjNkM2ZmMTllMmQifQ=="/>
  </w:docVars>
  <w:rsids>
    <w:rsidRoot w:val="00172A27"/>
    <w:rsid w:val="00005402"/>
    <w:rsid w:val="00013654"/>
    <w:rsid w:val="00076791"/>
    <w:rsid w:val="000A33A1"/>
    <w:rsid w:val="00151105"/>
    <w:rsid w:val="00151823"/>
    <w:rsid w:val="00172A27"/>
    <w:rsid w:val="00251E22"/>
    <w:rsid w:val="00290DEC"/>
    <w:rsid w:val="00311532"/>
    <w:rsid w:val="00320D9D"/>
    <w:rsid w:val="00360E24"/>
    <w:rsid w:val="003A17B7"/>
    <w:rsid w:val="003D740D"/>
    <w:rsid w:val="00416FA2"/>
    <w:rsid w:val="004277C9"/>
    <w:rsid w:val="004E0863"/>
    <w:rsid w:val="005550BB"/>
    <w:rsid w:val="005571E9"/>
    <w:rsid w:val="005D1C90"/>
    <w:rsid w:val="00747164"/>
    <w:rsid w:val="008D3711"/>
    <w:rsid w:val="009269A2"/>
    <w:rsid w:val="00A67EEF"/>
    <w:rsid w:val="00AE29AB"/>
    <w:rsid w:val="00AE4E5E"/>
    <w:rsid w:val="00AF78A8"/>
    <w:rsid w:val="00B47979"/>
    <w:rsid w:val="00B86A7E"/>
    <w:rsid w:val="00BA004A"/>
    <w:rsid w:val="00C56838"/>
    <w:rsid w:val="00CA30F9"/>
    <w:rsid w:val="00D04410"/>
    <w:rsid w:val="00DB1E98"/>
    <w:rsid w:val="00DE0EC7"/>
    <w:rsid w:val="00DE5743"/>
    <w:rsid w:val="00E42D05"/>
    <w:rsid w:val="00E52F76"/>
    <w:rsid w:val="00ED7178"/>
    <w:rsid w:val="01042CD0"/>
    <w:rsid w:val="0132783D"/>
    <w:rsid w:val="01352E88"/>
    <w:rsid w:val="014001AC"/>
    <w:rsid w:val="01504677"/>
    <w:rsid w:val="0178609C"/>
    <w:rsid w:val="0195020E"/>
    <w:rsid w:val="019E3ED6"/>
    <w:rsid w:val="01AA1AC9"/>
    <w:rsid w:val="01B12E58"/>
    <w:rsid w:val="01DA0B87"/>
    <w:rsid w:val="01E23011"/>
    <w:rsid w:val="01EF7A90"/>
    <w:rsid w:val="01F33470"/>
    <w:rsid w:val="020754FF"/>
    <w:rsid w:val="02094A42"/>
    <w:rsid w:val="0213047A"/>
    <w:rsid w:val="0224187C"/>
    <w:rsid w:val="022A16E3"/>
    <w:rsid w:val="022A49B8"/>
    <w:rsid w:val="02391020"/>
    <w:rsid w:val="023F0464"/>
    <w:rsid w:val="024617F2"/>
    <w:rsid w:val="024A5143"/>
    <w:rsid w:val="024D1F8E"/>
    <w:rsid w:val="025D6B3C"/>
    <w:rsid w:val="02646F71"/>
    <w:rsid w:val="026954E1"/>
    <w:rsid w:val="02785724"/>
    <w:rsid w:val="027A47EF"/>
    <w:rsid w:val="02936A01"/>
    <w:rsid w:val="02A76713"/>
    <w:rsid w:val="02C83C0A"/>
    <w:rsid w:val="02C866AB"/>
    <w:rsid w:val="02D23086"/>
    <w:rsid w:val="02D908B8"/>
    <w:rsid w:val="02E012F9"/>
    <w:rsid w:val="02E903CF"/>
    <w:rsid w:val="02EA4785"/>
    <w:rsid w:val="03142232"/>
    <w:rsid w:val="03166CF0"/>
    <w:rsid w:val="032338E1"/>
    <w:rsid w:val="032633D2"/>
    <w:rsid w:val="03280EF8"/>
    <w:rsid w:val="032A5C2C"/>
    <w:rsid w:val="032F672A"/>
    <w:rsid w:val="033066B7"/>
    <w:rsid w:val="0331391B"/>
    <w:rsid w:val="033A611F"/>
    <w:rsid w:val="03547F3F"/>
    <w:rsid w:val="035717DD"/>
    <w:rsid w:val="03887BE8"/>
    <w:rsid w:val="039365C4"/>
    <w:rsid w:val="0397607D"/>
    <w:rsid w:val="039B791C"/>
    <w:rsid w:val="039D015C"/>
    <w:rsid w:val="03BE360A"/>
    <w:rsid w:val="03C350C4"/>
    <w:rsid w:val="03D273D3"/>
    <w:rsid w:val="03F92894"/>
    <w:rsid w:val="041476CE"/>
    <w:rsid w:val="041D3FE6"/>
    <w:rsid w:val="041F054D"/>
    <w:rsid w:val="042D56F8"/>
    <w:rsid w:val="04394E9F"/>
    <w:rsid w:val="043B2EAD"/>
    <w:rsid w:val="04653F60"/>
    <w:rsid w:val="046607B0"/>
    <w:rsid w:val="04824179"/>
    <w:rsid w:val="049E760B"/>
    <w:rsid w:val="04AE6341"/>
    <w:rsid w:val="04AE7B23"/>
    <w:rsid w:val="04BD79D9"/>
    <w:rsid w:val="04D07A99"/>
    <w:rsid w:val="04D4265E"/>
    <w:rsid w:val="04FC3176"/>
    <w:rsid w:val="0504615D"/>
    <w:rsid w:val="05092FAB"/>
    <w:rsid w:val="051931EE"/>
    <w:rsid w:val="052D6C99"/>
    <w:rsid w:val="052E47BF"/>
    <w:rsid w:val="0532605E"/>
    <w:rsid w:val="05372775"/>
    <w:rsid w:val="054144F3"/>
    <w:rsid w:val="05592516"/>
    <w:rsid w:val="05665D07"/>
    <w:rsid w:val="057C552B"/>
    <w:rsid w:val="0588403E"/>
    <w:rsid w:val="05924D4E"/>
    <w:rsid w:val="059960BA"/>
    <w:rsid w:val="05C84C14"/>
    <w:rsid w:val="05DA2D48"/>
    <w:rsid w:val="05E232C2"/>
    <w:rsid w:val="05EF03F3"/>
    <w:rsid w:val="05F7526B"/>
    <w:rsid w:val="06231E4A"/>
    <w:rsid w:val="06385625"/>
    <w:rsid w:val="06420522"/>
    <w:rsid w:val="064B293E"/>
    <w:rsid w:val="064B6477"/>
    <w:rsid w:val="064E5741"/>
    <w:rsid w:val="064F09ED"/>
    <w:rsid w:val="06811A41"/>
    <w:rsid w:val="06856661"/>
    <w:rsid w:val="069A210C"/>
    <w:rsid w:val="06A905A2"/>
    <w:rsid w:val="06C74ECC"/>
    <w:rsid w:val="06CB509E"/>
    <w:rsid w:val="06CE0BE0"/>
    <w:rsid w:val="06D4668A"/>
    <w:rsid w:val="06D7631B"/>
    <w:rsid w:val="06DF5A5E"/>
    <w:rsid w:val="06FC6BB7"/>
    <w:rsid w:val="070E6657"/>
    <w:rsid w:val="07131EBF"/>
    <w:rsid w:val="072308DB"/>
    <w:rsid w:val="07496576"/>
    <w:rsid w:val="074F739B"/>
    <w:rsid w:val="075524D7"/>
    <w:rsid w:val="0759059F"/>
    <w:rsid w:val="075C5614"/>
    <w:rsid w:val="07612C2A"/>
    <w:rsid w:val="07832BA1"/>
    <w:rsid w:val="078D7EC3"/>
    <w:rsid w:val="07BA233A"/>
    <w:rsid w:val="07D11DEE"/>
    <w:rsid w:val="07DB2016"/>
    <w:rsid w:val="07FC3DEC"/>
    <w:rsid w:val="07FF4FD2"/>
    <w:rsid w:val="08043982"/>
    <w:rsid w:val="08213C5F"/>
    <w:rsid w:val="08326375"/>
    <w:rsid w:val="084201A3"/>
    <w:rsid w:val="0845254C"/>
    <w:rsid w:val="08470072"/>
    <w:rsid w:val="084C2C27"/>
    <w:rsid w:val="08545347"/>
    <w:rsid w:val="08600CB0"/>
    <w:rsid w:val="08626C5A"/>
    <w:rsid w:val="0866523C"/>
    <w:rsid w:val="086F0577"/>
    <w:rsid w:val="08742B69"/>
    <w:rsid w:val="087E15BA"/>
    <w:rsid w:val="088F370D"/>
    <w:rsid w:val="08966904"/>
    <w:rsid w:val="089E2D75"/>
    <w:rsid w:val="08A54D99"/>
    <w:rsid w:val="08BF22FE"/>
    <w:rsid w:val="08D00067"/>
    <w:rsid w:val="08D833C0"/>
    <w:rsid w:val="08E51639"/>
    <w:rsid w:val="08FF26FB"/>
    <w:rsid w:val="092959CA"/>
    <w:rsid w:val="092E626A"/>
    <w:rsid w:val="0932487E"/>
    <w:rsid w:val="093822B1"/>
    <w:rsid w:val="09382B20"/>
    <w:rsid w:val="09383E5F"/>
    <w:rsid w:val="093A017E"/>
    <w:rsid w:val="09490E66"/>
    <w:rsid w:val="094E7AA3"/>
    <w:rsid w:val="09524F20"/>
    <w:rsid w:val="096F071C"/>
    <w:rsid w:val="09751CD6"/>
    <w:rsid w:val="09A93326"/>
    <w:rsid w:val="09AD03A9"/>
    <w:rsid w:val="09AD2157"/>
    <w:rsid w:val="09AF5891"/>
    <w:rsid w:val="09B90AFC"/>
    <w:rsid w:val="09BC63DC"/>
    <w:rsid w:val="09C23374"/>
    <w:rsid w:val="09C851E3"/>
    <w:rsid w:val="09CF6571"/>
    <w:rsid w:val="09D018EC"/>
    <w:rsid w:val="09E34732"/>
    <w:rsid w:val="09FE29B2"/>
    <w:rsid w:val="0A042457"/>
    <w:rsid w:val="0A200B7B"/>
    <w:rsid w:val="0A3B48B9"/>
    <w:rsid w:val="0A410AF1"/>
    <w:rsid w:val="0A6D7B38"/>
    <w:rsid w:val="0A6E0D9E"/>
    <w:rsid w:val="0A99092D"/>
    <w:rsid w:val="0ACB31DC"/>
    <w:rsid w:val="0ADF4592"/>
    <w:rsid w:val="0AE9221C"/>
    <w:rsid w:val="0AF454FE"/>
    <w:rsid w:val="0AFA5870"/>
    <w:rsid w:val="0B0009AC"/>
    <w:rsid w:val="0B00275A"/>
    <w:rsid w:val="0B073AE9"/>
    <w:rsid w:val="0B0F299D"/>
    <w:rsid w:val="0B3E6778"/>
    <w:rsid w:val="0B470389"/>
    <w:rsid w:val="0B495EAF"/>
    <w:rsid w:val="0B4C25B0"/>
    <w:rsid w:val="0B584344"/>
    <w:rsid w:val="0B636A84"/>
    <w:rsid w:val="0B6D4294"/>
    <w:rsid w:val="0B6E52B9"/>
    <w:rsid w:val="0B753148"/>
    <w:rsid w:val="0B7A69B0"/>
    <w:rsid w:val="0B817E1A"/>
    <w:rsid w:val="0B8A62B5"/>
    <w:rsid w:val="0B974E6D"/>
    <w:rsid w:val="0B9A2BAF"/>
    <w:rsid w:val="0BAC5CFD"/>
    <w:rsid w:val="0BAD12CE"/>
    <w:rsid w:val="0BB467A7"/>
    <w:rsid w:val="0BBE2429"/>
    <w:rsid w:val="0BBF2615"/>
    <w:rsid w:val="0BE22A18"/>
    <w:rsid w:val="0BE676B5"/>
    <w:rsid w:val="0C057848"/>
    <w:rsid w:val="0C1C357A"/>
    <w:rsid w:val="0C22507E"/>
    <w:rsid w:val="0C394176"/>
    <w:rsid w:val="0C3C3C66"/>
    <w:rsid w:val="0C3C787D"/>
    <w:rsid w:val="0C4A659E"/>
    <w:rsid w:val="0C525237"/>
    <w:rsid w:val="0C700313"/>
    <w:rsid w:val="0C763E8D"/>
    <w:rsid w:val="0C833643"/>
    <w:rsid w:val="0C851169"/>
    <w:rsid w:val="0C992E66"/>
    <w:rsid w:val="0C9B273A"/>
    <w:rsid w:val="0CA041F5"/>
    <w:rsid w:val="0CA3727F"/>
    <w:rsid w:val="0CAC2B9A"/>
    <w:rsid w:val="0CAD06C0"/>
    <w:rsid w:val="0CAE0383"/>
    <w:rsid w:val="0CAF051D"/>
    <w:rsid w:val="0CB520B0"/>
    <w:rsid w:val="0CC04897"/>
    <w:rsid w:val="0CCB42BF"/>
    <w:rsid w:val="0CCF6888"/>
    <w:rsid w:val="0CD05B72"/>
    <w:rsid w:val="0CD45BE1"/>
    <w:rsid w:val="0CDB522D"/>
    <w:rsid w:val="0CE340E1"/>
    <w:rsid w:val="0CE42333"/>
    <w:rsid w:val="0CFB142B"/>
    <w:rsid w:val="0CFB2423"/>
    <w:rsid w:val="0D14675A"/>
    <w:rsid w:val="0D2E1801"/>
    <w:rsid w:val="0D330BC5"/>
    <w:rsid w:val="0D350DE1"/>
    <w:rsid w:val="0D447276"/>
    <w:rsid w:val="0D452426"/>
    <w:rsid w:val="0D467078"/>
    <w:rsid w:val="0D4C1C87"/>
    <w:rsid w:val="0D52070B"/>
    <w:rsid w:val="0D5738F6"/>
    <w:rsid w:val="0D63594E"/>
    <w:rsid w:val="0D766D04"/>
    <w:rsid w:val="0D970709"/>
    <w:rsid w:val="0D9711F7"/>
    <w:rsid w:val="0DB241E0"/>
    <w:rsid w:val="0DB764F9"/>
    <w:rsid w:val="0DB869B0"/>
    <w:rsid w:val="0DC256A0"/>
    <w:rsid w:val="0DC277C5"/>
    <w:rsid w:val="0DC43F13"/>
    <w:rsid w:val="0DD04666"/>
    <w:rsid w:val="0DD55B70"/>
    <w:rsid w:val="0DD66EBC"/>
    <w:rsid w:val="0DE16873"/>
    <w:rsid w:val="0DFA5B87"/>
    <w:rsid w:val="0E0827BC"/>
    <w:rsid w:val="0E0F5723"/>
    <w:rsid w:val="0E14737A"/>
    <w:rsid w:val="0E342E47"/>
    <w:rsid w:val="0E372937"/>
    <w:rsid w:val="0E39182E"/>
    <w:rsid w:val="0E3E3CC5"/>
    <w:rsid w:val="0E52151F"/>
    <w:rsid w:val="0E641ECF"/>
    <w:rsid w:val="0E6C0832"/>
    <w:rsid w:val="0E757D9C"/>
    <w:rsid w:val="0E7717C7"/>
    <w:rsid w:val="0E9658AF"/>
    <w:rsid w:val="0E9E5700"/>
    <w:rsid w:val="0EA9613F"/>
    <w:rsid w:val="0EAF40A0"/>
    <w:rsid w:val="0EB353A6"/>
    <w:rsid w:val="0EBF75A0"/>
    <w:rsid w:val="0EC56E34"/>
    <w:rsid w:val="0EC74A87"/>
    <w:rsid w:val="0ECF491D"/>
    <w:rsid w:val="0EFB476F"/>
    <w:rsid w:val="0F20786F"/>
    <w:rsid w:val="0F24110D"/>
    <w:rsid w:val="0F2416D7"/>
    <w:rsid w:val="0F2509E1"/>
    <w:rsid w:val="0F2937F0"/>
    <w:rsid w:val="0F2A27C2"/>
    <w:rsid w:val="0F302BE2"/>
    <w:rsid w:val="0F363C40"/>
    <w:rsid w:val="0F385072"/>
    <w:rsid w:val="0F4676D5"/>
    <w:rsid w:val="0F527801"/>
    <w:rsid w:val="0F56503F"/>
    <w:rsid w:val="0F6C4862"/>
    <w:rsid w:val="0F916077"/>
    <w:rsid w:val="0F9D2C6D"/>
    <w:rsid w:val="0FAE126B"/>
    <w:rsid w:val="0FB3423F"/>
    <w:rsid w:val="0FB56DB5"/>
    <w:rsid w:val="0FBC7598"/>
    <w:rsid w:val="0FBD50BE"/>
    <w:rsid w:val="0FC57F99"/>
    <w:rsid w:val="0FD07F4A"/>
    <w:rsid w:val="0FE07E59"/>
    <w:rsid w:val="0FE615D6"/>
    <w:rsid w:val="0FFB5EE2"/>
    <w:rsid w:val="0FFD6723"/>
    <w:rsid w:val="100030C1"/>
    <w:rsid w:val="101747CE"/>
    <w:rsid w:val="10190546"/>
    <w:rsid w:val="1030763E"/>
    <w:rsid w:val="10596B94"/>
    <w:rsid w:val="10665C76"/>
    <w:rsid w:val="10833C11"/>
    <w:rsid w:val="108D4A90"/>
    <w:rsid w:val="108F27AB"/>
    <w:rsid w:val="10C93BE4"/>
    <w:rsid w:val="10CE4475"/>
    <w:rsid w:val="10EC4950"/>
    <w:rsid w:val="10F25B81"/>
    <w:rsid w:val="110034B4"/>
    <w:rsid w:val="1102722C"/>
    <w:rsid w:val="11120094"/>
    <w:rsid w:val="111B6540"/>
    <w:rsid w:val="112C42A9"/>
    <w:rsid w:val="113114B2"/>
    <w:rsid w:val="113541D4"/>
    <w:rsid w:val="11390774"/>
    <w:rsid w:val="113E0119"/>
    <w:rsid w:val="11443543"/>
    <w:rsid w:val="11520E59"/>
    <w:rsid w:val="11592BC4"/>
    <w:rsid w:val="115F642C"/>
    <w:rsid w:val="11671785"/>
    <w:rsid w:val="11736708"/>
    <w:rsid w:val="117B6FDE"/>
    <w:rsid w:val="11A227BD"/>
    <w:rsid w:val="11D5049D"/>
    <w:rsid w:val="11E64458"/>
    <w:rsid w:val="11FC3C7B"/>
    <w:rsid w:val="1211524D"/>
    <w:rsid w:val="122733D6"/>
    <w:rsid w:val="122B45EC"/>
    <w:rsid w:val="12617F82"/>
    <w:rsid w:val="1272218F"/>
    <w:rsid w:val="12744159"/>
    <w:rsid w:val="128123D2"/>
    <w:rsid w:val="12A3059B"/>
    <w:rsid w:val="12A61E39"/>
    <w:rsid w:val="12C34799"/>
    <w:rsid w:val="12C972D1"/>
    <w:rsid w:val="12CC7AF2"/>
    <w:rsid w:val="12DB38F2"/>
    <w:rsid w:val="12E34F1A"/>
    <w:rsid w:val="12F369CC"/>
    <w:rsid w:val="12F62DC0"/>
    <w:rsid w:val="12F72695"/>
    <w:rsid w:val="1303728B"/>
    <w:rsid w:val="130628D8"/>
    <w:rsid w:val="130C25E4"/>
    <w:rsid w:val="13236371"/>
    <w:rsid w:val="134C0C32"/>
    <w:rsid w:val="135B0E75"/>
    <w:rsid w:val="139F6D7C"/>
    <w:rsid w:val="13A02D2C"/>
    <w:rsid w:val="13A10F7E"/>
    <w:rsid w:val="13B011C1"/>
    <w:rsid w:val="13B50586"/>
    <w:rsid w:val="13CF20AA"/>
    <w:rsid w:val="13E64BE3"/>
    <w:rsid w:val="13E76BAD"/>
    <w:rsid w:val="13E824F7"/>
    <w:rsid w:val="13F53078"/>
    <w:rsid w:val="13FE6977"/>
    <w:rsid w:val="14045069"/>
    <w:rsid w:val="14060DE1"/>
    <w:rsid w:val="140B496C"/>
    <w:rsid w:val="143D057B"/>
    <w:rsid w:val="1473188B"/>
    <w:rsid w:val="148443FC"/>
    <w:rsid w:val="14914C87"/>
    <w:rsid w:val="14A16D5C"/>
    <w:rsid w:val="14D64C58"/>
    <w:rsid w:val="14DE1017"/>
    <w:rsid w:val="14E86739"/>
    <w:rsid w:val="14F52C04"/>
    <w:rsid w:val="15122BA8"/>
    <w:rsid w:val="1514752E"/>
    <w:rsid w:val="152811E7"/>
    <w:rsid w:val="154047C7"/>
    <w:rsid w:val="15451DDD"/>
    <w:rsid w:val="15485429"/>
    <w:rsid w:val="15595A1E"/>
    <w:rsid w:val="155D0ED5"/>
    <w:rsid w:val="15610299"/>
    <w:rsid w:val="156264EB"/>
    <w:rsid w:val="156A29C8"/>
    <w:rsid w:val="156D6384"/>
    <w:rsid w:val="157306F8"/>
    <w:rsid w:val="157C1E02"/>
    <w:rsid w:val="15853F88"/>
    <w:rsid w:val="15916DD0"/>
    <w:rsid w:val="15973CBB"/>
    <w:rsid w:val="15BB7172"/>
    <w:rsid w:val="15D60C87"/>
    <w:rsid w:val="15D73BC5"/>
    <w:rsid w:val="15D9413F"/>
    <w:rsid w:val="15EF58A5"/>
    <w:rsid w:val="15F5110D"/>
    <w:rsid w:val="16231359"/>
    <w:rsid w:val="16373492"/>
    <w:rsid w:val="1638549E"/>
    <w:rsid w:val="16413E30"/>
    <w:rsid w:val="16565924"/>
    <w:rsid w:val="165A3666"/>
    <w:rsid w:val="165D6CB3"/>
    <w:rsid w:val="16601960"/>
    <w:rsid w:val="166819DD"/>
    <w:rsid w:val="166D6AFA"/>
    <w:rsid w:val="166D701B"/>
    <w:rsid w:val="167179C0"/>
    <w:rsid w:val="16730284"/>
    <w:rsid w:val="167F30CD"/>
    <w:rsid w:val="168D57EA"/>
    <w:rsid w:val="16931028"/>
    <w:rsid w:val="16985F3D"/>
    <w:rsid w:val="16B13B54"/>
    <w:rsid w:val="16B31FB9"/>
    <w:rsid w:val="16BE238C"/>
    <w:rsid w:val="16C01A68"/>
    <w:rsid w:val="16C531D6"/>
    <w:rsid w:val="16C640A0"/>
    <w:rsid w:val="16CD5A41"/>
    <w:rsid w:val="16FF749C"/>
    <w:rsid w:val="16FF7FEE"/>
    <w:rsid w:val="17165D8A"/>
    <w:rsid w:val="1720040C"/>
    <w:rsid w:val="1754391D"/>
    <w:rsid w:val="179606CE"/>
    <w:rsid w:val="17B83892"/>
    <w:rsid w:val="17CF1E32"/>
    <w:rsid w:val="17D1499E"/>
    <w:rsid w:val="17DF58BF"/>
    <w:rsid w:val="17EF23B4"/>
    <w:rsid w:val="17EF7DDE"/>
    <w:rsid w:val="17F93D68"/>
    <w:rsid w:val="17FD65D0"/>
    <w:rsid w:val="18013B63"/>
    <w:rsid w:val="18033E1C"/>
    <w:rsid w:val="181F1E31"/>
    <w:rsid w:val="181F6915"/>
    <w:rsid w:val="182A3B37"/>
    <w:rsid w:val="18512847"/>
    <w:rsid w:val="185D4745"/>
    <w:rsid w:val="185E162E"/>
    <w:rsid w:val="186B3F86"/>
    <w:rsid w:val="187371DA"/>
    <w:rsid w:val="189B6E0F"/>
    <w:rsid w:val="18BD1268"/>
    <w:rsid w:val="18D92BCE"/>
    <w:rsid w:val="18DA79F9"/>
    <w:rsid w:val="18DE17DA"/>
    <w:rsid w:val="18E90CD1"/>
    <w:rsid w:val="18FA2EDF"/>
    <w:rsid w:val="18FB391A"/>
    <w:rsid w:val="18FF23C5"/>
    <w:rsid w:val="190478B9"/>
    <w:rsid w:val="191A3623"/>
    <w:rsid w:val="192166BD"/>
    <w:rsid w:val="192817FA"/>
    <w:rsid w:val="193957B5"/>
    <w:rsid w:val="193E101D"/>
    <w:rsid w:val="19447D4D"/>
    <w:rsid w:val="19526877"/>
    <w:rsid w:val="195E16BF"/>
    <w:rsid w:val="195E5D62"/>
    <w:rsid w:val="19941B4A"/>
    <w:rsid w:val="19956AD1"/>
    <w:rsid w:val="19A63B3F"/>
    <w:rsid w:val="19A846E9"/>
    <w:rsid w:val="19B00850"/>
    <w:rsid w:val="19B25567"/>
    <w:rsid w:val="19C239FC"/>
    <w:rsid w:val="19EA4D01"/>
    <w:rsid w:val="19EC2827"/>
    <w:rsid w:val="19EE7B83"/>
    <w:rsid w:val="19FD67E3"/>
    <w:rsid w:val="1A0175FF"/>
    <w:rsid w:val="1A0829D7"/>
    <w:rsid w:val="1A0933D9"/>
    <w:rsid w:val="1A0C2EC9"/>
    <w:rsid w:val="1A1E49AB"/>
    <w:rsid w:val="1A200723"/>
    <w:rsid w:val="1A255D39"/>
    <w:rsid w:val="1A313997"/>
    <w:rsid w:val="1A3146DE"/>
    <w:rsid w:val="1A361CF4"/>
    <w:rsid w:val="1A3A0E9F"/>
    <w:rsid w:val="1A3E50EB"/>
    <w:rsid w:val="1A4B1C44"/>
    <w:rsid w:val="1A5C063C"/>
    <w:rsid w:val="1A772A39"/>
    <w:rsid w:val="1A8707A2"/>
    <w:rsid w:val="1AB94722"/>
    <w:rsid w:val="1ABC17CC"/>
    <w:rsid w:val="1ACE4623"/>
    <w:rsid w:val="1AD30568"/>
    <w:rsid w:val="1AD5150D"/>
    <w:rsid w:val="1AD651DF"/>
    <w:rsid w:val="1AE14356"/>
    <w:rsid w:val="1AFA7C81"/>
    <w:rsid w:val="1AFB7ABF"/>
    <w:rsid w:val="1B067919"/>
    <w:rsid w:val="1B082AC0"/>
    <w:rsid w:val="1B154000"/>
    <w:rsid w:val="1B190004"/>
    <w:rsid w:val="1B1D2465"/>
    <w:rsid w:val="1B201D9B"/>
    <w:rsid w:val="1B214388"/>
    <w:rsid w:val="1B216547"/>
    <w:rsid w:val="1B2200E5"/>
    <w:rsid w:val="1B285AE1"/>
    <w:rsid w:val="1B2B55D1"/>
    <w:rsid w:val="1B2E0C1E"/>
    <w:rsid w:val="1B3207C0"/>
    <w:rsid w:val="1B3B301F"/>
    <w:rsid w:val="1B485A6F"/>
    <w:rsid w:val="1B501479"/>
    <w:rsid w:val="1B5C7D93"/>
    <w:rsid w:val="1B670199"/>
    <w:rsid w:val="1B6B3C20"/>
    <w:rsid w:val="1B6C00C4"/>
    <w:rsid w:val="1B860A5A"/>
    <w:rsid w:val="1B8D06C0"/>
    <w:rsid w:val="1B972C67"/>
    <w:rsid w:val="1BA2761A"/>
    <w:rsid w:val="1BA355D1"/>
    <w:rsid w:val="1BB13127"/>
    <w:rsid w:val="1BBE6445"/>
    <w:rsid w:val="1BC525FA"/>
    <w:rsid w:val="1BCB0929"/>
    <w:rsid w:val="1BF12377"/>
    <w:rsid w:val="1BFC5AAE"/>
    <w:rsid w:val="1BFD70D4"/>
    <w:rsid w:val="1BFE4A94"/>
    <w:rsid w:val="1C1D7086"/>
    <w:rsid w:val="1C2269D4"/>
    <w:rsid w:val="1C281B11"/>
    <w:rsid w:val="1C2A74FF"/>
    <w:rsid w:val="1C2C1601"/>
    <w:rsid w:val="1C2D7127"/>
    <w:rsid w:val="1C3B5CE8"/>
    <w:rsid w:val="1C404B96"/>
    <w:rsid w:val="1C5B3C94"/>
    <w:rsid w:val="1C6F052C"/>
    <w:rsid w:val="1C827227"/>
    <w:rsid w:val="1C84143D"/>
    <w:rsid w:val="1C8651B5"/>
    <w:rsid w:val="1C9C26C9"/>
    <w:rsid w:val="1CA078F9"/>
    <w:rsid w:val="1CC474FE"/>
    <w:rsid w:val="1CF4606C"/>
    <w:rsid w:val="1CFB041C"/>
    <w:rsid w:val="1D065C94"/>
    <w:rsid w:val="1D097B94"/>
    <w:rsid w:val="1D107B14"/>
    <w:rsid w:val="1D160DC1"/>
    <w:rsid w:val="1D254CE9"/>
    <w:rsid w:val="1D2F75FB"/>
    <w:rsid w:val="1D306ECF"/>
    <w:rsid w:val="1D4209B0"/>
    <w:rsid w:val="1D6838A4"/>
    <w:rsid w:val="1D74500E"/>
    <w:rsid w:val="1D810294"/>
    <w:rsid w:val="1D9456B0"/>
    <w:rsid w:val="1D9E02DC"/>
    <w:rsid w:val="1DB435F8"/>
    <w:rsid w:val="1DB43D5A"/>
    <w:rsid w:val="1DE81497"/>
    <w:rsid w:val="1DF60118"/>
    <w:rsid w:val="1E127BE4"/>
    <w:rsid w:val="1E14234D"/>
    <w:rsid w:val="1E171E3D"/>
    <w:rsid w:val="1E193E07"/>
    <w:rsid w:val="1E292A07"/>
    <w:rsid w:val="1E426EBA"/>
    <w:rsid w:val="1E4946EC"/>
    <w:rsid w:val="1E4B78B6"/>
    <w:rsid w:val="1E5623C0"/>
    <w:rsid w:val="1E5B61CE"/>
    <w:rsid w:val="1E632DE0"/>
    <w:rsid w:val="1E674F9A"/>
    <w:rsid w:val="1E894AE9"/>
    <w:rsid w:val="1E91399D"/>
    <w:rsid w:val="1ECA6EAF"/>
    <w:rsid w:val="1ECE6B21"/>
    <w:rsid w:val="1EFA1543"/>
    <w:rsid w:val="1F0B3750"/>
    <w:rsid w:val="1F0C74C8"/>
    <w:rsid w:val="1F114ADE"/>
    <w:rsid w:val="1F2622CA"/>
    <w:rsid w:val="1F271888"/>
    <w:rsid w:val="1F383F51"/>
    <w:rsid w:val="1F3A5DE3"/>
    <w:rsid w:val="1F3C4032"/>
    <w:rsid w:val="1F3F46E4"/>
    <w:rsid w:val="1F47067F"/>
    <w:rsid w:val="1F473CA2"/>
    <w:rsid w:val="1F481007"/>
    <w:rsid w:val="1F624A96"/>
    <w:rsid w:val="1F7041EB"/>
    <w:rsid w:val="1F75506D"/>
    <w:rsid w:val="1F7675D9"/>
    <w:rsid w:val="1F881244"/>
    <w:rsid w:val="1F8F25D3"/>
    <w:rsid w:val="1F9A7B5C"/>
    <w:rsid w:val="1FAF3D9F"/>
    <w:rsid w:val="1FB21E1D"/>
    <w:rsid w:val="1FB5190D"/>
    <w:rsid w:val="1FBC7140"/>
    <w:rsid w:val="1FEA65E2"/>
    <w:rsid w:val="1FF561AE"/>
    <w:rsid w:val="1FFB37C4"/>
    <w:rsid w:val="20000DDB"/>
    <w:rsid w:val="200A09E3"/>
    <w:rsid w:val="200B782B"/>
    <w:rsid w:val="200F19CE"/>
    <w:rsid w:val="201B3E66"/>
    <w:rsid w:val="20247046"/>
    <w:rsid w:val="202D3B58"/>
    <w:rsid w:val="20441D96"/>
    <w:rsid w:val="20615FBF"/>
    <w:rsid w:val="20743577"/>
    <w:rsid w:val="20781741"/>
    <w:rsid w:val="20887022"/>
    <w:rsid w:val="20967C37"/>
    <w:rsid w:val="20CC6F0F"/>
    <w:rsid w:val="20F85F56"/>
    <w:rsid w:val="20FB17E4"/>
    <w:rsid w:val="2116462E"/>
    <w:rsid w:val="212562AD"/>
    <w:rsid w:val="215D05CD"/>
    <w:rsid w:val="216B7906"/>
    <w:rsid w:val="217A5B78"/>
    <w:rsid w:val="218815E7"/>
    <w:rsid w:val="219C4B33"/>
    <w:rsid w:val="219F4623"/>
    <w:rsid w:val="21B665C0"/>
    <w:rsid w:val="21BF0821"/>
    <w:rsid w:val="21D70261"/>
    <w:rsid w:val="21E14C3C"/>
    <w:rsid w:val="21E169EA"/>
    <w:rsid w:val="21ED55EB"/>
    <w:rsid w:val="21EF2B5A"/>
    <w:rsid w:val="220D5A31"/>
    <w:rsid w:val="2210107D"/>
    <w:rsid w:val="221B014E"/>
    <w:rsid w:val="2221772E"/>
    <w:rsid w:val="222F0847"/>
    <w:rsid w:val="22325497"/>
    <w:rsid w:val="2243298D"/>
    <w:rsid w:val="22451CDD"/>
    <w:rsid w:val="226336DF"/>
    <w:rsid w:val="226F2F82"/>
    <w:rsid w:val="22723AE6"/>
    <w:rsid w:val="229434B6"/>
    <w:rsid w:val="22995516"/>
    <w:rsid w:val="229D6AC4"/>
    <w:rsid w:val="229D6DB5"/>
    <w:rsid w:val="22A7378F"/>
    <w:rsid w:val="22AF6AE8"/>
    <w:rsid w:val="22B10AB2"/>
    <w:rsid w:val="22B61C24"/>
    <w:rsid w:val="22BD68CC"/>
    <w:rsid w:val="22CE65DC"/>
    <w:rsid w:val="22D4654E"/>
    <w:rsid w:val="22E04EF3"/>
    <w:rsid w:val="22E90574"/>
    <w:rsid w:val="22EA7B20"/>
    <w:rsid w:val="22EE7610"/>
    <w:rsid w:val="22F664C5"/>
    <w:rsid w:val="22F83FEB"/>
    <w:rsid w:val="23072480"/>
    <w:rsid w:val="230B6414"/>
    <w:rsid w:val="232E5037"/>
    <w:rsid w:val="2335523F"/>
    <w:rsid w:val="233A4603"/>
    <w:rsid w:val="23461B9F"/>
    <w:rsid w:val="234E31D3"/>
    <w:rsid w:val="235B27CC"/>
    <w:rsid w:val="23675615"/>
    <w:rsid w:val="236773C3"/>
    <w:rsid w:val="2369313B"/>
    <w:rsid w:val="236E69A3"/>
    <w:rsid w:val="237B69CA"/>
    <w:rsid w:val="23807B6F"/>
    <w:rsid w:val="238B4E5F"/>
    <w:rsid w:val="238D5D3D"/>
    <w:rsid w:val="238D6FC4"/>
    <w:rsid w:val="239006C7"/>
    <w:rsid w:val="239F090A"/>
    <w:rsid w:val="23B36E81"/>
    <w:rsid w:val="23BD0420"/>
    <w:rsid w:val="23C95987"/>
    <w:rsid w:val="23ED3D6C"/>
    <w:rsid w:val="23F84FE6"/>
    <w:rsid w:val="23FB07A3"/>
    <w:rsid w:val="23FC5D5D"/>
    <w:rsid w:val="240A7DD0"/>
    <w:rsid w:val="241E5CD3"/>
    <w:rsid w:val="24317D73"/>
    <w:rsid w:val="24433A9F"/>
    <w:rsid w:val="245B6F27"/>
    <w:rsid w:val="246F652F"/>
    <w:rsid w:val="249B37C8"/>
    <w:rsid w:val="249B5576"/>
    <w:rsid w:val="24A501A2"/>
    <w:rsid w:val="24AF6860"/>
    <w:rsid w:val="24C77F7A"/>
    <w:rsid w:val="24C90335"/>
    <w:rsid w:val="24C92693"/>
    <w:rsid w:val="24CA226F"/>
    <w:rsid w:val="24F20F0E"/>
    <w:rsid w:val="251D5F8B"/>
    <w:rsid w:val="251F61A7"/>
    <w:rsid w:val="25205A7B"/>
    <w:rsid w:val="25207829"/>
    <w:rsid w:val="25587FAC"/>
    <w:rsid w:val="255D71BE"/>
    <w:rsid w:val="255F65A3"/>
    <w:rsid w:val="25624973"/>
    <w:rsid w:val="25671385"/>
    <w:rsid w:val="256B13EC"/>
    <w:rsid w:val="256C6F12"/>
    <w:rsid w:val="257F3FCC"/>
    <w:rsid w:val="259124D5"/>
    <w:rsid w:val="25916C79"/>
    <w:rsid w:val="259D531E"/>
    <w:rsid w:val="25B032A3"/>
    <w:rsid w:val="25B508B9"/>
    <w:rsid w:val="25B6018D"/>
    <w:rsid w:val="25BA19CB"/>
    <w:rsid w:val="25BC3375"/>
    <w:rsid w:val="25C24D84"/>
    <w:rsid w:val="25D0124F"/>
    <w:rsid w:val="25F018F1"/>
    <w:rsid w:val="25F50CB6"/>
    <w:rsid w:val="25F52A64"/>
    <w:rsid w:val="25FA2770"/>
    <w:rsid w:val="26143832"/>
    <w:rsid w:val="263B7010"/>
    <w:rsid w:val="264D0AF2"/>
    <w:rsid w:val="26502390"/>
    <w:rsid w:val="2657371E"/>
    <w:rsid w:val="265C29C9"/>
    <w:rsid w:val="26647BE9"/>
    <w:rsid w:val="26795443"/>
    <w:rsid w:val="26845012"/>
    <w:rsid w:val="268A7650"/>
    <w:rsid w:val="268D0E17"/>
    <w:rsid w:val="26915A69"/>
    <w:rsid w:val="269C7383"/>
    <w:rsid w:val="26A00BFC"/>
    <w:rsid w:val="26AA1AA0"/>
    <w:rsid w:val="26AF70B6"/>
    <w:rsid w:val="26B612F4"/>
    <w:rsid w:val="26CD578F"/>
    <w:rsid w:val="26CF7759"/>
    <w:rsid w:val="26DB3802"/>
    <w:rsid w:val="26EA534F"/>
    <w:rsid w:val="26EE59E0"/>
    <w:rsid w:val="26F471BF"/>
    <w:rsid w:val="27075144"/>
    <w:rsid w:val="2708572C"/>
    <w:rsid w:val="270B60DD"/>
    <w:rsid w:val="271866E0"/>
    <w:rsid w:val="272918A9"/>
    <w:rsid w:val="273870AC"/>
    <w:rsid w:val="273B138B"/>
    <w:rsid w:val="273E043A"/>
    <w:rsid w:val="274A2848"/>
    <w:rsid w:val="27532138"/>
    <w:rsid w:val="275D08D2"/>
    <w:rsid w:val="277219C3"/>
    <w:rsid w:val="277E278E"/>
    <w:rsid w:val="277F4CDB"/>
    <w:rsid w:val="2780674D"/>
    <w:rsid w:val="27F2080F"/>
    <w:rsid w:val="27F763C0"/>
    <w:rsid w:val="27F92BDD"/>
    <w:rsid w:val="280276BA"/>
    <w:rsid w:val="28072959"/>
    <w:rsid w:val="280F521D"/>
    <w:rsid w:val="282B23DD"/>
    <w:rsid w:val="282C4737"/>
    <w:rsid w:val="282D0BDB"/>
    <w:rsid w:val="28304227"/>
    <w:rsid w:val="284021D5"/>
    <w:rsid w:val="28473BB2"/>
    <w:rsid w:val="284D4DD9"/>
    <w:rsid w:val="285C6DCA"/>
    <w:rsid w:val="2876296D"/>
    <w:rsid w:val="287C5F21"/>
    <w:rsid w:val="28831186"/>
    <w:rsid w:val="288B617C"/>
    <w:rsid w:val="289265EE"/>
    <w:rsid w:val="289753A4"/>
    <w:rsid w:val="28B05368"/>
    <w:rsid w:val="28C50E13"/>
    <w:rsid w:val="28C72DDD"/>
    <w:rsid w:val="28CC4552"/>
    <w:rsid w:val="28E518D1"/>
    <w:rsid w:val="28ED036A"/>
    <w:rsid w:val="28F932FC"/>
    <w:rsid w:val="28FA4C95"/>
    <w:rsid w:val="290A66BF"/>
    <w:rsid w:val="290F1666"/>
    <w:rsid w:val="2912392D"/>
    <w:rsid w:val="29135B29"/>
    <w:rsid w:val="291550E3"/>
    <w:rsid w:val="29235CD3"/>
    <w:rsid w:val="2953641F"/>
    <w:rsid w:val="296150C2"/>
    <w:rsid w:val="29707F5B"/>
    <w:rsid w:val="2978253F"/>
    <w:rsid w:val="29852351"/>
    <w:rsid w:val="29932CBF"/>
    <w:rsid w:val="299F1664"/>
    <w:rsid w:val="29A11B65"/>
    <w:rsid w:val="29A1497E"/>
    <w:rsid w:val="29A75B88"/>
    <w:rsid w:val="29BA46F0"/>
    <w:rsid w:val="29C0782D"/>
    <w:rsid w:val="29C53023"/>
    <w:rsid w:val="29C76E0D"/>
    <w:rsid w:val="29D60DFE"/>
    <w:rsid w:val="29DB01C2"/>
    <w:rsid w:val="29E11C7D"/>
    <w:rsid w:val="2A0A79A5"/>
    <w:rsid w:val="2A132A6D"/>
    <w:rsid w:val="2A1B4A63"/>
    <w:rsid w:val="2A202A62"/>
    <w:rsid w:val="2A4915D0"/>
    <w:rsid w:val="2A4D7312"/>
    <w:rsid w:val="2A6340E0"/>
    <w:rsid w:val="2A905ABE"/>
    <w:rsid w:val="2AA37D0F"/>
    <w:rsid w:val="2AA84549"/>
    <w:rsid w:val="2ABB3158"/>
    <w:rsid w:val="2ABC4498"/>
    <w:rsid w:val="2AC35271"/>
    <w:rsid w:val="2AD63914"/>
    <w:rsid w:val="2ADD418B"/>
    <w:rsid w:val="2AEF6E26"/>
    <w:rsid w:val="2AF61A56"/>
    <w:rsid w:val="2B006133"/>
    <w:rsid w:val="2B17286B"/>
    <w:rsid w:val="2B1F7D54"/>
    <w:rsid w:val="2B2572A2"/>
    <w:rsid w:val="2B4104F9"/>
    <w:rsid w:val="2B465B0F"/>
    <w:rsid w:val="2B4A0752"/>
    <w:rsid w:val="2B604E23"/>
    <w:rsid w:val="2B634913"/>
    <w:rsid w:val="2B7703BB"/>
    <w:rsid w:val="2B807273"/>
    <w:rsid w:val="2B81498D"/>
    <w:rsid w:val="2B825D21"/>
    <w:rsid w:val="2B933989"/>
    <w:rsid w:val="2B9C739B"/>
    <w:rsid w:val="2BA967CA"/>
    <w:rsid w:val="2BAA42F0"/>
    <w:rsid w:val="2BB94533"/>
    <w:rsid w:val="2BC35FCD"/>
    <w:rsid w:val="2BDC37EC"/>
    <w:rsid w:val="2C11436F"/>
    <w:rsid w:val="2C1339D0"/>
    <w:rsid w:val="2C1A211E"/>
    <w:rsid w:val="2C1B1C8C"/>
    <w:rsid w:val="2C1F6A8C"/>
    <w:rsid w:val="2C22657D"/>
    <w:rsid w:val="2C2463B3"/>
    <w:rsid w:val="2C2E0A7D"/>
    <w:rsid w:val="2C343987"/>
    <w:rsid w:val="2C3A5674"/>
    <w:rsid w:val="2C3F2C8B"/>
    <w:rsid w:val="2C562641"/>
    <w:rsid w:val="2C5A5D16"/>
    <w:rsid w:val="2C71466F"/>
    <w:rsid w:val="2C7A0167"/>
    <w:rsid w:val="2C872D3A"/>
    <w:rsid w:val="2CAA7B5E"/>
    <w:rsid w:val="2CC27D3F"/>
    <w:rsid w:val="2CC66F08"/>
    <w:rsid w:val="2CCA2E9C"/>
    <w:rsid w:val="2CCD6CB4"/>
    <w:rsid w:val="2CCE569A"/>
    <w:rsid w:val="2CF021D7"/>
    <w:rsid w:val="2CF30D33"/>
    <w:rsid w:val="2D0143E4"/>
    <w:rsid w:val="2D1A7254"/>
    <w:rsid w:val="2D3C366E"/>
    <w:rsid w:val="2D482013"/>
    <w:rsid w:val="2D58634B"/>
    <w:rsid w:val="2D5C5ABE"/>
    <w:rsid w:val="2D7F47EB"/>
    <w:rsid w:val="2D8079FF"/>
    <w:rsid w:val="2D937732"/>
    <w:rsid w:val="2D9461E4"/>
    <w:rsid w:val="2DB87198"/>
    <w:rsid w:val="2DC86CB0"/>
    <w:rsid w:val="2DDF2FFE"/>
    <w:rsid w:val="2DE33AEA"/>
    <w:rsid w:val="2DE41D3C"/>
    <w:rsid w:val="2DF11AEB"/>
    <w:rsid w:val="2DFC5E2C"/>
    <w:rsid w:val="2E110657"/>
    <w:rsid w:val="2E1A575D"/>
    <w:rsid w:val="2E224612"/>
    <w:rsid w:val="2E277E7A"/>
    <w:rsid w:val="2E382087"/>
    <w:rsid w:val="2E497DF1"/>
    <w:rsid w:val="2E504D48"/>
    <w:rsid w:val="2E6D4AC7"/>
    <w:rsid w:val="2E734E6D"/>
    <w:rsid w:val="2E884DBD"/>
    <w:rsid w:val="2E8C61C2"/>
    <w:rsid w:val="2E951288"/>
    <w:rsid w:val="2E9A4AF0"/>
    <w:rsid w:val="2EAC79CE"/>
    <w:rsid w:val="2EB179C7"/>
    <w:rsid w:val="2EB21E3A"/>
    <w:rsid w:val="2EBB5637"/>
    <w:rsid w:val="2EC45AD5"/>
    <w:rsid w:val="2ECB21A5"/>
    <w:rsid w:val="2ED33B5E"/>
    <w:rsid w:val="2ED52EBC"/>
    <w:rsid w:val="2EE87609"/>
    <w:rsid w:val="2EF20488"/>
    <w:rsid w:val="2EFA7F09"/>
    <w:rsid w:val="2F0D0E1E"/>
    <w:rsid w:val="2F126434"/>
    <w:rsid w:val="2F171C9D"/>
    <w:rsid w:val="2F1E6861"/>
    <w:rsid w:val="2F1F6DA3"/>
    <w:rsid w:val="2F261EE0"/>
    <w:rsid w:val="2F302D5E"/>
    <w:rsid w:val="2F3740ED"/>
    <w:rsid w:val="2F414F6C"/>
    <w:rsid w:val="2F463C68"/>
    <w:rsid w:val="2F4928B2"/>
    <w:rsid w:val="2F5E1C29"/>
    <w:rsid w:val="2F5E6052"/>
    <w:rsid w:val="2F5E78CC"/>
    <w:rsid w:val="2F633134"/>
    <w:rsid w:val="2F666780"/>
    <w:rsid w:val="2F713AA3"/>
    <w:rsid w:val="2F7E0572"/>
    <w:rsid w:val="2F7F7C9A"/>
    <w:rsid w:val="2F82274A"/>
    <w:rsid w:val="2F9E174C"/>
    <w:rsid w:val="2FA34B50"/>
    <w:rsid w:val="2FAD2601"/>
    <w:rsid w:val="2FC82F97"/>
    <w:rsid w:val="2FE853E7"/>
    <w:rsid w:val="2FEC4ED7"/>
    <w:rsid w:val="2FF5235A"/>
    <w:rsid w:val="2FF975F4"/>
    <w:rsid w:val="2FFE2E5D"/>
    <w:rsid w:val="30287C3E"/>
    <w:rsid w:val="304E4885"/>
    <w:rsid w:val="30714D7E"/>
    <w:rsid w:val="307B625B"/>
    <w:rsid w:val="30843362"/>
    <w:rsid w:val="30850E88"/>
    <w:rsid w:val="30890978"/>
    <w:rsid w:val="30901D07"/>
    <w:rsid w:val="30B04157"/>
    <w:rsid w:val="30B76446"/>
    <w:rsid w:val="30D64E58"/>
    <w:rsid w:val="30DC4F4C"/>
    <w:rsid w:val="30DD2A72"/>
    <w:rsid w:val="30DF77C7"/>
    <w:rsid w:val="30F85BE1"/>
    <w:rsid w:val="311E5564"/>
    <w:rsid w:val="31216E03"/>
    <w:rsid w:val="313A6116"/>
    <w:rsid w:val="31491D16"/>
    <w:rsid w:val="314E2622"/>
    <w:rsid w:val="315A40C3"/>
    <w:rsid w:val="315C5866"/>
    <w:rsid w:val="31615600"/>
    <w:rsid w:val="31A024CE"/>
    <w:rsid w:val="31B55F1B"/>
    <w:rsid w:val="31BC6B2B"/>
    <w:rsid w:val="31C0661C"/>
    <w:rsid w:val="31C95D50"/>
    <w:rsid w:val="31D10829"/>
    <w:rsid w:val="31D13E5A"/>
    <w:rsid w:val="31D252B9"/>
    <w:rsid w:val="31D41506"/>
    <w:rsid w:val="31E247E4"/>
    <w:rsid w:val="31FD161E"/>
    <w:rsid w:val="320E45EC"/>
    <w:rsid w:val="3216623C"/>
    <w:rsid w:val="321E50E1"/>
    <w:rsid w:val="323903D4"/>
    <w:rsid w:val="32496DFA"/>
    <w:rsid w:val="32757835"/>
    <w:rsid w:val="32852EE6"/>
    <w:rsid w:val="32911D66"/>
    <w:rsid w:val="32C20171"/>
    <w:rsid w:val="32CB5278"/>
    <w:rsid w:val="32CC2D9E"/>
    <w:rsid w:val="32CF25D9"/>
    <w:rsid w:val="32D14858"/>
    <w:rsid w:val="32D83E39"/>
    <w:rsid w:val="32D85BE7"/>
    <w:rsid w:val="32DF0D23"/>
    <w:rsid w:val="32DF6F75"/>
    <w:rsid w:val="32F36FFC"/>
    <w:rsid w:val="32FE549C"/>
    <w:rsid w:val="330A18CA"/>
    <w:rsid w:val="331756AB"/>
    <w:rsid w:val="331C1F78"/>
    <w:rsid w:val="33370B5F"/>
    <w:rsid w:val="333D3C9C"/>
    <w:rsid w:val="33454B61"/>
    <w:rsid w:val="33712670"/>
    <w:rsid w:val="33723946"/>
    <w:rsid w:val="337C2A16"/>
    <w:rsid w:val="33A1422B"/>
    <w:rsid w:val="33A51F6D"/>
    <w:rsid w:val="33A53EFD"/>
    <w:rsid w:val="33AA7583"/>
    <w:rsid w:val="33B757FC"/>
    <w:rsid w:val="33C9732D"/>
    <w:rsid w:val="33D20888"/>
    <w:rsid w:val="33D835A4"/>
    <w:rsid w:val="33D91C17"/>
    <w:rsid w:val="33E45264"/>
    <w:rsid w:val="33E83C08"/>
    <w:rsid w:val="33E91A1A"/>
    <w:rsid w:val="340D18C0"/>
    <w:rsid w:val="340E596B"/>
    <w:rsid w:val="340F01C8"/>
    <w:rsid w:val="342A4220"/>
    <w:rsid w:val="342F2A75"/>
    <w:rsid w:val="343155AF"/>
    <w:rsid w:val="34480B4A"/>
    <w:rsid w:val="3474193F"/>
    <w:rsid w:val="347A293E"/>
    <w:rsid w:val="347A51A8"/>
    <w:rsid w:val="348222AE"/>
    <w:rsid w:val="348E2A01"/>
    <w:rsid w:val="349D49F2"/>
    <w:rsid w:val="34A83E38"/>
    <w:rsid w:val="34B54432"/>
    <w:rsid w:val="34B623E5"/>
    <w:rsid w:val="34C17136"/>
    <w:rsid w:val="34C35890"/>
    <w:rsid w:val="34C74165"/>
    <w:rsid w:val="34D81ECE"/>
    <w:rsid w:val="34D83C7C"/>
    <w:rsid w:val="34F14D3E"/>
    <w:rsid w:val="35070379"/>
    <w:rsid w:val="35076310"/>
    <w:rsid w:val="350A4322"/>
    <w:rsid w:val="351D5B33"/>
    <w:rsid w:val="352059E0"/>
    <w:rsid w:val="35327830"/>
    <w:rsid w:val="3538296D"/>
    <w:rsid w:val="35392DFC"/>
    <w:rsid w:val="353E5DD8"/>
    <w:rsid w:val="35463B02"/>
    <w:rsid w:val="354E03E2"/>
    <w:rsid w:val="354E4D49"/>
    <w:rsid w:val="35685F34"/>
    <w:rsid w:val="357C4F4F"/>
    <w:rsid w:val="358778E6"/>
    <w:rsid w:val="358E054D"/>
    <w:rsid w:val="359C114E"/>
    <w:rsid w:val="35A5434E"/>
    <w:rsid w:val="35AB313F"/>
    <w:rsid w:val="35AF26AB"/>
    <w:rsid w:val="35B53FBD"/>
    <w:rsid w:val="35B9095A"/>
    <w:rsid w:val="35EA3AA9"/>
    <w:rsid w:val="35ED3757"/>
    <w:rsid w:val="35F63706"/>
    <w:rsid w:val="35F66AB0"/>
    <w:rsid w:val="35FD3123"/>
    <w:rsid w:val="35FF3812"/>
    <w:rsid w:val="36044383"/>
    <w:rsid w:val="36097331"/>
    <w:rsid w:val="360F1920"/>
    <w:rsid w:val="36140CE4"/>
    <w:rsid w:val="361909F0"/>
    <w:rsid w:val="362D7FF8"/>
    <w:rsid w:val="36431890"/>
    <w:rsid w:val="36533F02"/>
    <w:rsid w:val="365A72F8"/>
    <w:rsid w:val="36625EF3"/>
    <w:rsid w:val="36723C5D"/>
    <w:rsid w:val="36767569"/>
    <w:rsid w:val="368F3A76"/>
    <w:rsid w:val="36A302BA"/>
    <w:rsid w:val="36A400A9"/>
    <w:rsid w:val="36AE1139"/>
    <w:rsid w:val="36B349A1"/>
    <w:rsid w:val="36CC2719"/>
    <w:rsid w:val="36D82B86"/>
    <w:rsid w:val="36F823B4"/>
    <w:rsid w:val="36F92DF9"/>
    <w:rsid w:val="36FA437E"/>
    <w:rsid w:val="37160001"/>
    <w:rsid w:val="373533F1"/>
    <w:rsid w:val="37476E97"/>
    <w:rsid w:val="37556DD1"/>
    <w:rsid w:val="375B0AC3"/>
    <w:rsid w:val="376C4B50"/>
    <w:rsid w:val="376C68FE"/>
    <w:rsid w:val="37955E55"/>
    <w:rsid w:val="37A26BFE"/>
    <w:rsid w:val="37A34A15"/>
    <w:rsid w:val="37C65BB6"/>
    <w:rsid w:val="37CA01F4"/>
    <w:rsid w:val="37D255AB"/>
    <w:rsid w:val="37D5296B"/>
    <w:rsid w:val="37EC23A5"/>
    <w:rsid w:val="37FD4465"/>
    <w:rsid w:val="37FE39FA"/>
    <w:rsid w:val="380934C1"/>
    <w:rsid w:val="38375CE3"/>
    <w:rsid w:val="384E38F0"/>
    <w:rsid w:val="38580610"/>
    <w:rsid w:val="385B0E4C"/>
    <w:rsid w:val="38651C05"/>
    <w:rsid w:val="38651CCB"/>
    <w:rsid w:val="38764069"/>
    <w:rsid w:val="3882287D"/>
    <w:rsid w:val="3885411B"/>
    <w:rsid w:val="388A1731"/>
    <w:rsid w:val="388C7258"/>
    <w:rsid w:val="389F7D6B"/>
    <w:rsid w:val="38A04524"/>
    <w:rsid w:val="38A547BD"/>
    <w:rsid w:val="38AE5274"/>
    <w:rsid w:val="38C21855"/>
    <w:rsid w:val="38D64977"/>
    <w:rsid w:val="38E54BBA"/>
    <w:rsid w:val="38E946AA"/>
    <w:rsid w:val="38F35529"/>
    <w:rsid w:val="3904792C"/>
    <w:rsid w:val="390D3F64"/>
    <w:rsid w:val="39406294"/>
    <w:rsid w:val="395326D1"/>
    <w:rsid w:val="395A1104"/>
    <w:rsid w:val="396106E4"/>
    <w:rsid w:val="39700927"/>
    <w:rsid w:val="399B34CA"/>
    <w:rsid w:val="39C26CA9"/>
    <w:rsid w:val="39DA1F93"/>
    <w:rsid w:val="39DC420F"/>
    <w:rsid w:val="39E9692C"/>
    <w:rsid w:val="39F23F65"/>
    <w:rsid w:val="39FA4695"/>
    <w:rsid w:val="3A1F234D"/>
    <w:rsid w:val="3A296D28"/>
    <w:rsid w:val="3A3C4CAD"/>
    <w:rsid w:val="3A405853"/>
    <w:rsid w:val="3A4D2260"/>
    <w:rsid w:val="3A4F49E1"/>
    <w:rsid w:val="3A502507"/>
    <w:rsid w:val="3A5913BB"/>
    <w:rsid w:val="3A622985"/>
    <w:rsid w:val="3A663AD8"/>
    <w:rsid w:val="3A6D30B9"/>
    <w:rsid w:val="3AA05225"/>
    <w:rsid w:val="3AA45BF2"/>
    <w:rsid w:val="3AAF1923"/>
    <w:rsid w:val="3AC40043"/>
    <w:rsid w:val="3AD2571E"/>
    <w:rsid w:val="3AD30603"/>
    <w:rsid w:val="3ADB6274"/>
    <w:rsid w:val="3AE24571"/>
    <w:rsid w:val="3AE8273F"/>
    <w:rsid w:val="3B005CDB"/>
    <w:rsid w:val="3B021A53"/>
    <w:rsid w:val="3B1361AE"/>
    <w:rsid w:val="3B1874C8"/>
    <w:rsid w:val="3B4A1011"/>
    <w:rsid w:val="3B5F7CDE"/>
    <w:rsid w:val="3B742225"/>
    <w:rsid w:val="3B7641EF"/>
    <w:rsid w:val="3B862684"/>
    <w:rsid w:val="3B8A5899"/>
    <w:rsid w:val="3BA313E5"/>
    <w:rsid w:val="3BB07701"/>
    <w:rsid w:val="3BC05FB2"/>
    <w:rsid w:val="3BC82C9D"/>
    <w:rsid w:val="3BDA477E"/>
    <w:rsid w:val="3BDC22A4"/>
    <w:rsid w:val="3BE61375"/>
    <w:rsid w:val="3BF35840"/>
    <w:rsid w:val="3C3F38B9"/>
    <w:rsid w:val="3C5A39D8"/>
    <w:rsid w:val="3C613CBE"/>
    <w:rsid w:val="3C616E6B"/>
    <w:rsid w:val="3C6978B0"/>
    <w:rsid w:val="3C6C74F7"/>
    <w:rsid w:val="3C7C75E3"/>
    <w:rsid w:val="3C7F6318"/>
    <w:rsid w:val="3C830972"/>
    <w:rsid w:val="3C862210"/>
    <w:rsid w:val="3C90308E"/>
    <w:rsid w:val="3CA37266"/>
    <w:rsid w:val="3CA56B3A"/>
    <w:rsid w:val="3CAC611A"/>
    <w:rsid w:val="3CB13731"/>
    <w:rsid w:val="3CB72D11"/>
    <w:rsid w:val="3CBB2DD0"/>
    <w:rsid w:val="3CD13DD3"/>
    <w:rsid w:val="3CE3225A"/>
    <w:rsid w:val="3CE851D3"/>
    <w:rsid w:val="3CEA279F"/>
    <w:rsid w:val="3CEA6C43"/>
    <w:rsid w:val="3CFB49AC"/>
    <w:rsid w:val="3CFC0724"/>
    <w:rsid w:val="3D0D46DF"/>
    <w:rsid w:val="3D0F2205"/>
    <w:rsid w:val="3D125367"/>
    <w:rsid w:val="3D1E5830"/>
    <w:rsid w:val="3D2008B6"/>
    <w:rsid w:val="3D204412"/>
    <w:rsid w:val="3D65609E"/>
    <w:rsid w:val="3D660853"/>
    <w:rsid w:val="3D6A1B31"/>
    <w:rsid w:val="3D6C3AFB"/>
    <w:rsid w:val="3D8E41C3"/>
    <w:rsid w:val="3D9F2DDD"/>
    <w:rsid w:val="3DB35B35"/>
    <w:rsid w:val="3DD56F56"/>
    <w:rsid w:val="3DD84CED"/>
    <w:rsid w:val="3DDD2CB5"/>
    <w:rsid w:val="3DE74F30"/>
    <w:rsid w:val="3DF06335"/>
    <w:rsid w:val="3DF12452"/>
    <w:rsid w:val="3E104487"/>
    <w:rsid w:val="3E171AB3"/>
    <w:rsid w:val="3E182427"/>
    <w:rsid w:val="3E1C6E79"/>
    <w:rsid w:val="3E1F46CA"/>
    <w:rsid w:val="3E216694"/>
    <w:rsid w:val="3E271EB8"/>
    <w:rsid w:val="3E362742"/>
    <w:rsid w:val="3E38578C"/>
    <w:rsid w:val="3E3C4907"/>
    <w:rsid w:val="3E4E4FAF"/>
    <w:rsid w:val="3E501E82"/>
    <w:rsid w:val="3E5537F5"/>
    <w:rsid w:val="3E622809"/>
    <w:rsid w:val="3E735820"/>
    <w:rsid w:val="3E7515CC"/>
    <w:rsid w:val="3E8135D7"/>
    <w:rsid w:val="3E865666"/>
    <w:rsid w:val="3E8E35FE"/>
    <w:rsid w:val="3E91465F"/>
    <w:rsid w:val="3E9C376B"/>
    <w:rsid w:val="3E9C5B90"/>
    <w:rsid w:val="3E9E76D8"/>
    <w:rsid w:val="3EAA6689"/>
    <w:rsid w:val="3EB44C7C"/>
    <w:rsid w:val="3EC024D7"/>
    <w:rsid w:val="3EC447DC"/>
    <w:rsid w:val="3ED2798E"/>
    <w:rsid w:val="3EE33949"/>
    <w:rsid w:val="3EF618CF"/>
    <w:rsid w:val="3EFC6AE6"/>
    <w:rsid w:val="3F0F2990"/>
    <w:rsid w:val="3F19380F"/>
    <w:rsid w:val="3F220916"/>
    <w:rsid w:val="3F320A4A"/>
    <w:rsid w:val="3F3D2265"/>
    <w:rsid w:val="3F4A5777"/>
    <w:rsid w:val="3F5929F6"/>
    <w:rsid w:val="3F5E175E"/>
    <w:rsid w:val="3F790943"/>
    <w:rsid w:val="3F7B1DD4"/>
    <w:rsid w:val="3F7E3672"/>
    <w:rsid w:val="3F9410E8"/>
    <w:rsid w:val="3F9E5AC2"/>
    <w:rsid w:val="3FA51AEF"/>
    <w:rsid w:val="3FA70E1B"/>
    <w:rsid w:val="3FA7706D"/>
    <w:rsid w:val="3FC574F3"/>
    <w:rsid w:val="3FD11FAF"/>
    <w:rsid w:val="3FDF5221"/>
    <w:rsid w:val="40095632"/>
    <w:rsid w:val="400B3158"/>
    <w:rsid w:val="40120256"/>
    <w:rsid w:val="40216C7F"/>
    <w:rsid w:val="4024421A"/>
    <w:rsid w:val="40291830"/>
    <w:rsid w:val="403D36D6"/>
    <w:rsid w:val="40445CE2"/>
    <w:rsid w:val="404A1044"/>
    <w:rsid w:val="40550877"/>
    <w:rsid w:val="406279CB"/>
    <w:rsid w:val="407B6F44"/>
    <w:rsid w:val="4081166C"/>
    <w:rsid w:val="409C64A6"/>
    <w:rsid w:val="409F2538"/>
    <w:rsid w:val="40B06308"/>
    <w:rsid w:val="40B32E58"/>
    <w:rsid w:val="40B41A41"/>
    <w:rsid w:val="40BC4452"/>
    <w:rsid w:val="40CD2B03"/>
    <w:rsid w:val="40D12BF0"/>
    <w:rsid w:val="40E12B2A"/>
    <w:rsid w:val="40EE46ED"/>
    <w:rsid w:val="40F21E30"/>
    <w:rsid w:val="41095582"/>
    <w:rsid w:val="411125FF"/>
    <w:rsid w:val="41140732"/>
    <w:rsid w:val="41151DB4"/>
    <w:rsid w:val="411E6C35"/>
    <w:rsid w:val="41202C33"/>
    <w:rsid w:val="4125649B"/>
    <w:rsid w:val="413606A8"/>
    <w:rsid w:val="413B37A1"/>
    <w:rsid w:val="413E2ECE"/>
    <w:rsid w:val="413F0E0C"/>
    <w:rsid w:val="414C3A28"/>
    <w:rsid w:val="415154E2"/>
    <w:rsid w:val="415E375B"/>
    <w:rsid w:val="41911676"/>
    <w:rsid w:val="41923405"/>
    <w:rsid w:val="41AD4017"/>
    <w:rsid w:val="41C07F72"/>
    <w:rsid w:val="41CF6407"/>
    <w:rsid w:val="41D55520"/>
    <w:rsid w:val="420E075C"/>
    <w:rsid w:val="421003D6"/>
    <w:rsid w:val="42176B1E"/>
    <w:rsid w:val="421A58D4"/>
    <w:rsid w:val="42204EB5"/>
    <w:rsid w:val="422214F0"/>
    <w:rsid w:val="422F6EA6"/>
    <w:rsid w:val="423544BC"/>
    <w:rsid w:val="4246491B"/>
    <w:rsid w:val="42591320"/>
    <w:rsid w:val="42611F16"/>
    <w:rsid w:val="426A069F"/>
    <w:rsid w:val="4278681C"/>
    <w:rsid w:val="42985ACA"/>
    <w:rsid w:val="42A67168"/>
    <w:rsid w:val="42A85B70"/>
    <w:rsid w:val="42D261AF"/>
    <w:rsid w:val="42DA7183"/>
    <w:rsid w:val="42E44134"/>
    <w:rsid w:val="42E83C24"/>
    <w:rsid w:val="42EE0B0F"/>
    <w:rsid w:val="42EF5DC0"/>
    <w:rsid w:val="42FC147E"/>
    <w:rsid w:val="42FE0D52"/>
    <w:rsid w:val="42FE6FA4"/>
    <w:rsid w:val="43016A94"/>
    <w:rsid w:val="430B16C1"/>
    <w:rsid w:val="43186A9F"/>
    <w:rsid w:val="4323397D"/>
    <w:rsid w:val="432615FC"/>
    <w:rsid w:val="433A6A8E"/>
    <w:rsid w:val="434D2760"/>
    <w:rsid w:val="434F38D7"/>
    <w:rsid w:val="43532AF9"/>
    <w:rsid w:val="437A13FF"/>
    <w:rsid w:val="43881943"/>
    <w:rsid w:val="438C2802"/>
    <w:rsid w:val="439B369E"/>
    <w:rsid w:val="439C056B"/>
    <w:rsid w:val="439D20AF"/>
    <w:rsid w:val="439E42E3"/>
    <w:rsid w:val="43A154FB"/>
    <w:rsid w:val="43AF64F0"/>
    <w:rsid w:val="43B8701C"/>
    <w:rsid w:val="43CF26F8"/>
    <w:rsid w:val="43D04AFD"/>
    <w:rsid w:val="43DA202A"/>
    <w:rsid w:val="43DF5027"/>
    <w:rsid w:val="43F446FB"/>
    <w:rsid w:val="44101AC1"/>
    <w:rsid w:val="44121DC8"/>
    <w:rsid w:val="44243BD5"/>
    <w:rsid w:val="442D3BD9"/>
    <w:rsid w:val="443A04B0"/>
    <w:rsid w:val="443A431D"/>
    <w:rsid w:val="447450A6"/>
    <w:rsid w:val="44882E25"/>
    <w:rsid w:val="44A54691"/>
    <w:rsid w:val="44B55D88"/>
    <w:rsid w:val="44B91756"/>
    <w:rsid w:val="44BB6B67"/>
    <w:rsid w:val="44C67F95"/>
    <w:rsid w:val="44C85ABB"/>
    <w:rsid w:val="44C91833"/>
    <w:rsid w:val="44CC6C2E"/>
    <w:rsid w:val="44DD0E3B"/>
    <w:rsid w:val="4515328A"/>
    <w:rsid w:val="452A0524"/>
    <w:rsid w:val="452B211D"/>
    <w:rsid w:val="452D591E"/>
    <w:rsid w:val="4532272F"/>
    <w:rsid w:val="45322F35"/>
    <w:rsid w:val="45391AD5"/>
    <w:rsid w:val="45440EBA"/>
    <w:rsid w:val="45470516"/>
    <w:rsid w:val="455407C7"/>
    <w:rsid w:val="45551416"/>
    <w:rsid w:val="45595D15"/>
    <w:rsid w:val="45682DFA"/>
    <w:rsid w:val="45774DEB"/>
    <w:rsid w:val="458614D2"/>
    <w:rsid w:val="459A7739"/>
    <w:rsid w:val="45A75ECD"/>
    <w:rsid w:val="45B1127B"/>
    <w:rsid w:val="45CE5353"/>
    <w:rsid w:val="45D97854"/>
    <w:rsid w:val="45F46220"/>
    <w:rsid w:val="46142B69"/>
    <w:rsid w:val="46162856"/>
    <w:rsid w:val="46183D0C"/>
    <w:rsid w:val="46381FBA"/>
    <w:rsid w:val="46386C71"/>
    <w:rsid w:val="463E737E"/>
    <w:rsid w:val="465A6BE7"/>
    <w:rsid w:val="46A936CA"/>
    <w:rsid w:val="46B5206F"/>
    <w:rsid w:val="46DD15C6"/>
    <w:rsid w:val="46DE7C33"/>
    <w:rsid w:val="46F81F5C"/>
    <w:rsid w:val="47022DDB"/>
    <w:rsid w:val="470A52AF"/>
    <w:rsid w:val="47223F85"/>
    <w:rsid w:val="472701DB"/>
    <w:rsid w:val="472745EF"/>
    <w:rsid w:val="472C43A3"/>
    <w:rsid w:val="475C698F"/>
    <w:rsid w:val="4766336A"/>
    <w:rsid w:val="47782350"/>
    <w:rsid w:val="477C2B8D"/>
    <w:rsid w:val="478C7274"/>
    <w:rsid w:val="478E35A7"/>
    <w:rsid w:val="479D5EF2"/>
    <w:rsid w:val="47A3011A"/>
    <w:rsid w:val="47A60B70"/>
    <w:rsid w:val="47A66E30"/>
    <w:rsid w:val="47A67C0A"/>
    <w:rsid w:val="47AA76FA"/>
    <w:rsid w:val="47AB02A8"/>
    <w:rsid w:val="47AF56E3"/>
    <w:rsid w:val="47B464F3"/>
    <w:rsid w:val="47CC6920"/>
    <w:rsid w:val="47E11CEC"/>
    <w:rsid w:val="480261E6"/>
    <w:rsid w:val="481B7DBE"/>
    <w:rsid w:val="48281095"/>
    <w:rsid w:val="48335942"/>
    <w:rsid w:val="484C07B1"/>
    <w:rsid w:val="484F3DFE"/>
    <w:rsid w:val="48515DC8"/>
    <w:rsid w:val="48531B40"/>
    <w:rsid w:val="486378A9"/>
    <w:rsid w:val="48651873"/>
    <w:rsid w:val="486F634C"/>
    <w:rsid w:val="48735D3E"/>
    <w:rsid w:val="487F0B87"/>
    <w:rsid w:val="4884619D"/>
    <w:rsid w:val="48855A71"/>
    <w:rsid w:val="48A57B57"/>
    <w:rsid w:val="48BA1BBF"/>
    <w:rsid w:val="48C26D11"/>
    <w:rsid w:val="48C52312"/>
    <w:rsid w:val="48D6181E"/>
    <w:rsid w:val="48DA5E77"/>
    <w:rsid w:val="48F03833"/>
    <w:rsid w:val="490232CF"/>
    <w:rsid w:val="49155DFA"/>
    <w:rsid w:val="491C4628"/>
    <w:rsid w:val="492D2391"/>
    <w:rsid w:val="492E2C80"/>
    <w:rsid w:val="493D6186"/>
    <w:rsid w:val="49402B84"/>
    <w:rsid w:val="494A7455"/>
    <w:rsid w:val="495C2C76"/>
    <w:rsid w:val="495D254A"/>
    <w:rsid w:val="495E079C"/>
    <w:rsid w:val="496D09DF"/>
    <w:rsid w:val="496D6036"/>
    <w:rsid w:val="496D6C31"/>
    <w:rsid w:val="4977360C"/>
    <w:rsid w:val="498C3EED"/>
    <w:rsid w:val="49BF4FB3"/>
    <w:rsid w:val="49C10D2B"/>
    <w:rsid w:val="49CD76D0"/>
    <w:rsid w:val="49D45063"/>
    <w:rsid w:val="49E50EBD"/>
    <w:rsid w:val="49F26F48"/>
    <w:rsid w:val="49FC5773"/>
    <w:rsid w:val="49FD0C23"/>
    <w:rsid w:val="49FF194C"/>
    <w:rsid w:val="4A1F3167"/>
    <w:rsid w:val="4A2C4C22"/>
    <w:rsid w:val="4A4D66AD"/>
    <w:rsid w:val="4A542B10"/>
    <w:rsid w:val="4A66448B"/>
    <w:rsid w:val="4A6A4F1F"/>
    <w:rsid w:val="4A6E2C61"/>
    <w:rsid w:val="4A745955"/>
    <w:rsid w:val="4A94029A"/>
    <w:rsid w:val="4AA91EEB"/>
    <w:rsid w:val="4AAF6DD6"/>
    <w:rsid w:val="4AB4263E"/>
    <w:rsid w:val="4AB83EDC"/>
    <w:rsid w:val="4ABA5EA6"/>
    <w:rsid w:val="4AC00FE3"/>
    <w:rsid w:val="4ACB4AB7"/>
    <w:rsid w:val="4ADB5F16"/>
    <w:rsid w:val="4AF15640"/>
    <w:rsid w:val="4B1650A7"/>
    <w:rsid w:val="4B3B0B23"/>
    <w:rsid w:val="4B3F45FD"/>
    <w:rsid w:val="4B557F3E"/>
    <w:rsid w:val="4B5F339E"/>
    <w:rsid w:val="4B7047B7"/>
    <w:rsid w:val="4B8C4636"/>
    <w:rsid w:val="4BC15012"/>
    <w:rsid w:val="4BC30D8B"/>
    <w:rsid w:val="4BC96143"/>
    <w:rsid w:val="4BDE5BC4"/>
    <w:rsid w:val="4BF51194"/>
    <w:rsid w:val="4BF947AC"/>
    <w:rsid w:val="4C2F01CE"/>
    <w:rsid w:val="4C3103EA"/>
    <w:rsid w:val="4C3C7693"/>
    <w:rsid w:val="4C4B0D80"/>
    <w:rsid w:val="4C7D53DD"/>
    <w:rsid w:val="4CAC181F"/>
    <w:rsid w:val="4CAD7628"/>
    <w:rsid w:val="4CAE6A01"/>
    <w:rsid w:val="4CB44B77"/>
    <w:rsid w:val="4CC21042"/>
    <w:rsid w:val="4CD34FFD"/>
    <w:rsid w:val="4CDF1BF4"/>
    <w:rsid w:val="4CE70AA9"/>
    <w:rsid w:val="4CED7E46"/>
    <w:rsid w:val="4CEE1E37"/>
    <w:rsid w:val="4D031BE3"/>
    <w:rsid w:val="4D07314B"/>
    <w:rsid w:val="4D113D78"/>
    <w:rsid w:val="4D1D1016"/>
    <w:rsid w:val="4D203FBB"/>
    <w:rsid w:val="4D297977"/>
    <w:rsid w:val="4D343AAA"/>
    <w:rsid w:val="4D445EFB"/>
    <w:rsid w:val="4D53613E"/>
    <w:rsid w:val="4D5F2D35"/>
    <w:rsid w:val="4D7A71C7"/>
    <w:rsid w:val="4D84145C"/>
    <w:rsid w:val="4D930C30"/>
    <w:rsid w:val="4DD40A5D"/>
    <w:rsid w:val="4DD86643"/>
    <w:rsid w:val="4DF55447"/>
    <w:rsid w:val="4DF734D9"/>
    <w:rsid w:val="4E0C5544"/>
    <w:rsid w:val="4E0E1ED7"/>
    <w:rsid w:val="4E355844"/>
    <w:rsid w:val="4E4A5082"/>
    <w:rsid w:val="4E6563BB"/>
    <w:rsid w:val="4E683E6B"/>
    <w:rsid w:val="4E6A373F"/>
    <w:rsid w:val="4E6D0BDF"/>
    <w:rsid w:val="4E6F6FA8"/>
    <w:rsid w:val="4E7E368F"/>
    <w:rsid w:val="4E7F0894"/>
    <w:rsid w:val="4EA2112B"/>
    <w:rsid w:val="4EA84268"/>
    <w:rsid w:val="4EA85D29"/>
    <w:rsid w:val="4ED53046"/>
    <w:rsid w:val="4EDB2F22"/>
    <w:rsid w:val="4EF13E61"/>
    <w:rsid w:val="4EF84B85"/>
    <w:rsid w:val="4EF94AC3"/>
    <w:rsid w:val="4F196F13"/>
    <w:rsid w:val="4F231B40"/>
    <w:rsid w:val="4F3E697A"/>
    <w:rsid w:val="4F4A03C9"/>
    <w:rsid w:val="4F5A4BDB"/>
    <w:rsid w:val="4F5F701C"/>
    <w:rsid w:val="4F613BCE"/>
    <w:rsid w:val="4F675ED1"/>
    <w:rsid w:val="4F7A20A8"/>
    <w:rsid w:val="4F822D0B"/>
    <w:rsid w:val="4F8A29CA"/>
    <w:rsid w:val="4F8A4902"/>
    <w:rsid w:val="4F8E5B53"/>
    <w:rsid w:val="4F8F08C1"/>
    <w:rsid w:val="4F934F18"/>
    <w:rsid w:val="4F936CC6"/>
    <w:rsid w:val="4F9F566B"/>
    <w:rsid w:val="4FA72771"/>
    <w:rsid w:val="4FB82BD0"/>
    <w:rsid w:val="4FC275AB"/>
    <w:rsid w:val="4FCC21D8"/>
    <w:rsid w:val="4FDD43E5"/>
    <w:rsid w:val="4FF43C08"/>
    <w:rsid w:val="50033E4B"/>
    <w:rsid w:val="501E0970"/>
    <w:rsid w:val="501F67AB"/>
    <w:rsid w:val="50252F29"/>
    <w:rsid w:val="50301D9D"/>
    <w:rsid w:val="504A40B7"/>
    <w:rsid w:val="504D3319"/>
    <w:rsid w:val="504E4B14"/>
    <w:rsid w:val="50572C95"/>
    <w:rsid w:val="50577CF3"/>
    <w:rsid w:val="50641713"/>
    <w:rsid w:val="50677F12"/>
    <w:rsid w:val="50703885"/>
    <w:rsid w:val="50744D49"/>
    <w:rsid w:val="50795EBC"/>
    <w:rsid w:val="507C775A"/>
    <w:rsid w:val="50842062"/>
    <w:rsid w:val="50885F90"/>
    <w:rsid w:val="50904B84"/>
    <w:rsid w:val="50966A6E"/>
    <w:rsid w:val="5099655E"/>
    <w:rsid w:val="50A078EC"/>
    <w:rsid w:val="50B769E4"/>
    <w:rsid w:val="50B94FB3"/>
    <w:rsid w:val="50BA65E4"/>
    <w:rsid w:val="50F33EC0"/>
    <w:rsid w:val="510559A1"/>
    <w:rsid w:val="510E0CFA"/>
    <w:rsid w:val="512D38EB"/>
    <w:rsid w:val="514209A3"/>
    <w:rsid w:val="51485E2A"/>
    <w:rsid w:val="515B1A65"/>
    <w:rsid w:val="515C355E"/>
    <w:rsid w:val="51823496"/>
    <w:rsid w:val="51871262"/>
    <w:rsid w:val="519C2AC6"/>
    <w:rsid w:val="51A0391C"/>
    <w:rsid w:val="51A054E7"/>
    <w:rsid w:val="51B95704"/>
    <w:rsid w:val="51BA3E4B"/>
    <w:rsid w:val="51BE3EC5"/>
    <w:rsid w:val="51C148E2"/>
    <w:rsid w:val="51C1554A"/>
    <w:rsid w:val="51C518B1"/>
    <w:rsid w:val="51C770FB"/>
    <w:rsid w:val="51E11F6A"/>
    <w:rsid w:val="51E54BFF"/>
    <w:rsid w:val="51E807FF"/>
    <w:rsid w:val="51ED3A15"/>
    <w:rsid w:val="51F06651"/>
    <w:rsid w:val="51FD2B1C"/>
    <w:rsid w:val="520707BE"/>
    <w:rsid w:val="522400A9"/>
    <w:rsid w:val="522B768A"/>
    <w:rsid w:val="5238625C"/>
    <w:rsid w:val="52445A63"/>
    <w:rsid w:val="52483D98"/>
    <w:rsid w:val="52667DD2"/>
    <w:rsid w:val="5291754B"/>
    <w:rsid w:val="52B43349"/>
    <w:rsid w:val="52B72CCB"/>
    <w:rsid w:val="52B7716F"/>
    <w:rsid w:val="52C06024"/>
    <w:rsid w:val="52E43029"/>
    <w:rsid w:val="52EB4626"/>
    <w:rsid w:val="52F904BC"/>
    <w:rsid w:val="530F2B07"/>
    <w:rsid w:val="5314011E"/>
    <w:rsid w:val="53164CA0"/>
    <w:rsid w:val="53247E9E"/>
    <w:rsid w:val="532F278B"/>
    <w:rsid w:val="537530D7"/>
    <w:rsid w:val="53AE2320"/>
    <w:rsid w:val="53AF0B1A"/>
    <w:rsid w:val="53B2282F"/>
    <w:rsid w:val="53B34CEC"/>
    <w:rsid w:val="53B65679"/>
    <w:rsid w:val="53DC0982"/>
    <w:rsid w:val="53F1045F"/>
    <w:rsid w:val="53F51CFD"/>
    <w:rsid w:val="53FA25B4"/>
    <w:rsid w:val="540570DE"/>
    <w:rsid w:val="540957A8"/>
    <w:rsid w:val="540B32E3"/>
    <w:rsid w:val="540B4F54"/>
    <w:rsid w:val="541A79B6"/>
    <w:rsid w:val="54223993"/>
    <w:rsid w:val="54324CFF"/>
    <w:rsid w:val="54436F0C"/>
    <w:rsid w:val="54464933"/>
    <w:rsid w:val="545D7C33"/>
    <w:rsid w:val="545F364F"/>
    <w:rsid w:val="547F5A6B"/>
    <w:rsid w:val="548D0188"/>
    <w:rsid w:val="54996B2C"/>
    <w:rsid w:val="549C1469"/>
    <w:rsid w:val="54CF6866"/>
    <w:rsid w:val="54D87E8C"/>
    <w:rsid w:val="54E349DF"/>
    <w:rsid w:val="54E63D3C"/>
    <w:rsid w:val="54EA55DA"/>
    <w:rsid w:val="54F55D2D"/>
    <w:rsid w:val="54FC530D"/>
    <w:rsid w:val="550C37A2"/>
    <w:rsid w:val="55180399"/>
    <w:rsid w:val="551C775D"/>
    <w:rsid w:val="55287EB0"/>
    <w:rsid w:val="552D54C7"/>
    <w:rsid w:val="5531145B"/>
    <w:rsid w:val="55401888"/>
    <w:rsid w:val="55491A26"/>
    <w:rsid w:val="554C0043"/>
    <w:rsid w:val="555540E9"/>
    <w:rsid w:val="555E1A51"/>
    <w:rsid w:val="556829A3"/>
    <w:rsid w:val="55684887"/>
    <w:rsid w:val="556C5FEF"/>
    <w:rsid w:val="55705A76"/>
    <w:rsid w:val="558477DD"/>
    <w:rsid w:val="55985036"/>
    <w:rsid w:val="55A55E8A"/>
    <w:rsid w:val="55AD03B6"/>
    <w:rsid w:val="55BE25C3"/>
    <w:rsid w:val="55D0343F"/>
    <w:rsid w:val="55EB7E2D"/>
    <w:rsid w:val="55FC3608"/>
    <w:rsid w:val="560E52F8"/>
    <w:rsid w:val="561D4DEE"/>
    <w:rsid w:val="561F12B3"/>
    <w:rsid w:val="56252A1B"/>
    <w:rsid w:val="564071F4"/>
    <w:rsid w:val="56554CD5"/>
    <w:rsid w:val="565C2507"/>
    <w:rsid w:val="565F7902"/>
    <w:rsid w:val="56772E9D"/>
    <w:rsid w:val="568A7075"/>
    <w:rsid w:val="5697353F"/>
    <w:rsid w:val="569A4DDE"/>
    <w:rsid w:val="56A812A9"/>
    <w:rsid w:val="56AE2637"/>
    <w:rsid w:val="56BC2FA6"/>
    <w:rsid w:val="56BD6C07"/>
    <w:rsid w:val="56D3299B"/>
    <w:rsid w:val="56D36A74"/>
    <w:rsid w:val="56E53F1F"/>
    <w:rsid w:val="56EA2788"/>
    <w:rsid w:val="56F23D6A"/>
    <w:rsid w:val="56F95FA8"/>
    <w:rsid w:val="5701718B"/>
    <w:rsid w:val="570F6973"/>
    <w:rsid w:val="57133394"/>
    <w:rsid w:val="571526F8"/>
    <w:rsid w:val="571921A6"/>
    <w:rsid w:val="573826DD"/>
    <w:rsid w:val="57454D4A"/>
    <w:rsid w:val="57492D60"/>
    <w:rsid w:val="575879D8"/>
    <w:rsid w:val="575E6C35"/>
    <w:rsid w:val="577B076B"/>
    <w:rsid w:val="579B203A"/>
    <w:rsid w:val="57C60D56"/>
    <w:rsid w:val="57C739B1"/>
    <w:rsid w:val="57CD7EF8"/>
    <w:rsid w:val="57EF2F07"/>
    <w:rsid w:val="57F41924"/>
    <w:rsid w:val="57F95B34"/>
    <w:rsid w:val="580D59A4"/>
    <w:rsid w:val="581D1822"/>
    <w:rsid w:val="584E2691"/>
    <w:rsid w:val="58507E4A"/>
    <w:rsid w:val="586B141B"/>
    <w:rsid w:val="58737694"/>
    <w:rsid w:val="58864547"/>
    <w:rsid w:val="5887178D"/>
    <w:rsid w:val="58873140"/>
    <w:rsid w:val="589574B9"/>
    <w:rsid w:val="589F492D"/>
    <w:rsid w:val="58A27F7A"/>
    <w:rsid w:val="58C16652"/>
    <w:rsid w:val="58E42340"/>
    <w:rsid w:val="58E659D8"/>
    <w:rsid w:val="58E81E30"/>
    <w:rsid w:val="58F05189"/>
    <w:rsid w:val="58F746D1"/>
    <w:rsid w:val="58FB67C7"/>
    <w:rsid w:val="591E5852"/>
    <w:rsid w:val="593E5EF4"/>
    <w:rsid w:val="594B0611"/>
    <w:rsid w:val="594D4389"/>
    <w:rsid w:val="597A4A53"/>
    <w:rsid w:val="597F3623"/>
    <w:rsid w:val="59815DE1"/>
    <w:rsid w:val="59902827"/>
    <w:rsid w:val="5996188C"/>
    <w:rsid w:val="59B14E01"/>
    <w:rsid w:val="59B61F2F"/>
    <w:rsid w:val="59B95475"/>
    <w:rsid w:val="59CC3500"/>
    <w:rsid w:val="59E92304"/>
    <w:rsid w:val="59E940B2"/>
    <w:rsid w:val="59E946F5"/>
    <w:rsid w:val="59F6057D"/>
    <w:rsid w:val="59F66176"/>
    <w:rsid w:val="59F900F6"/>
    <w:rsid w:val="59FE5684"/>
    <w:rsid w:val="5A0802B0"/>
    <w:rsid w:val="5A096502"/>
    <w:rsid w:val="5A0A4028"/>
    <w:rsid w:val="5A167004"/>
    <w:rsid w:val="5A3526E5"/>
    <w:rsid w:val="5A452F92"/>
    <w:rsid w:val="5A4C4641"/>
    <w:rsid w:val="5A4F5EDF"/>
    <w:rsid w:val="5A623E64"/>
    <w:rsid w:val="5A696FA1"/>
    <w:rsid w:val="5A706581"/>
    <w:rsid w:val="5A981634"/>
    <w:rsid w:val="5A9A53AC"/>
    <w:rsid w:val="5AB5099E"/>
    <w:rsid w:val="5AC05880"/>
    <w:rsid w:val="5AC93EE4"/>
    <w:rsid w:val="5AFE3B8D"/>
    <w:rsid w:val="5B0608DF"/>
    <w:rsid w:val="5B184855"/>
    <w:rsid w:val="5B3E042E"/>
    <w:rsid w:val="5B3E21DC"/>
    <w:rsid w:val="5B461090"/>
    <w:rsid w:val="5B4A6DD2"/>
    <w:rsid w:val="5B500161"/>
    <w:rsid w:val="5B6755C8"/>
    <w:rsid w:val="5B7A6F8C"/>
    <w:rsid w:val="5B865931"/>
    <w:rsid w:val="5B896942"/>
    <w:rsid w:val="5B955B74"/>
    <w:rsid w:val="5B9E2C7A"/>
    <w:rsid w:val="5BA872B8"/>
    <w:rsid w:val="5BAF4E87"/>
    <w:rsid w:val="5BDB5C7C"/>
    <w:rsid w:val="5BE16142"/>
    <w:rsid w:val="5BE64A40"/>
    <w:rsid w:val="5BED59B0"/>
    <w:rsid w:val="5BFB1E7B"/>
    <w:rsid w:val="5C11169E"/>
    <w:rsid w:val="5C335AB8"/>
    <w:rsid w:val="5C3D4C5F"/>
    <w:rsid w:val="5C456D8B"/>
    <w:rsid w:val="5C4A4BB0"/>
    <w:rsid w:val="5C593045"/>
    <w:rsid w:val="5C5E240A"/>
    <w:rsid w:val="5C711CBF"/>
    <w:rsid w:val="5C72632E"/>
    <w:rsid w:val="5C945B1B"/>
    <w:rsid w:val="5C9E4104"/>
    <w:rsid w:val="5CB803C5"/>
    <w:rsid w:val="5CC05393"/>
    <w:rsid w:val="5CD107AC"/>
    <w:rsid w:val="5CEB1EEF"/>
    <w:rsid w:val="5CF81B46"/>
    <w:rsid w:val="5D026369"/>
    <w:rsid w:val="5D1213CB"/>
    <w:rsid w:val="5D303DA6"/>
    <w:rsid w:val="5D30425F"/>
    <w:rsid w:val="5D467A6D"/>
    <w:rsid w:val="5D4D19A0"/>
    <w:rsid w:val="5D577585"/>
    <w:rsid w:val="5D5A7360"/>
    <w:rsid w:val="5D79399F"/>
    <w:rsid w:val="5D8F4F70"/>
    <w:rsid w:val="5D960B87"/>
    <w:rsid w:val="5D9E51B4"/>
    <w:rsid w:val="5DA149C0"/>
    <w:rsid w:val="5DA16A52"/>
    <w:rsid w:val="5DB76275"/>
    <w:rsid w:val="5DB93D9B"/>
    <w:rsid w:val="5DBB5D65"/>
    <w:rsid w:val="5DC32E6C"/>
    <w:rsid w:val="5DDB1F64"/>
    <w:rsid w:val="5DDB6408"/>
    <w:rsid w:val="5DE810A1"/>
    <w:rsid w:val="5DF748C4"/>
    <w:rsid w:val="5DF91BE5"/>
    <w:rsid w:val="5E2558D5"/>
    <w:rsid w:val="5E391380"/>
    <w:rsid w:val="5E3B5834"/>
    <w:rsid w:val="5E4B3A0C"/>
    <w:rsid w:val="5E521ED5"/>
    <w:rsid w:val="5E55025B"/>
    <w:rsid w:val="5E581806"/>
    <w:rsid w:val="5E5A37D0"/>
    <w:rsid w:val="5E5C6D8E"/>
    <w:rsid w:val="5E6C7060"/>
    <w:rsid w:val="5E754934"/>
    <w:rsid w:val="5E8425FB"/>
    <w:rsid w:val="5E8A25EE"/>
    <w:rsid w:val="5E9D14AF"/>
    <w:rsid w:val="5EA00EBF"/>
    <w:rsid w:val="5EB56C59"/>
    <w:rsid w:val="5EB76B1E"/>
    <w:rsid w:val="5EB822A5"/>
    <w:rsid w:val="5EBF21A7"/>
    <w:rsid w:val="5ECB022A"/>
    <w:rsid w:val="5ECF75EF"/>
    <w:rsid w:val="5EE17B35"/>
    <w:rsid w:val="5F090D52"/>
    <w:rsid w:val="5F092B01"/>
    <w:rsid w:val="5F1173BA"/>
    <w:rsid w:val="5F1F1842"/>
    <w:rsid w:val="5F2D4A41"/>
    <w:rsid w:val="5F524874"/>
    <w:rsid w:val="5F5A4FFE"/>
    <w:rsid w:val="5F7B0316"/>
    <w:rsid w:val="5F8951A6"/>
    <w:rsid w:val="5F904FD0"/>
    <w:rsid w:val="5FA647F3"/>
    <w:rsid w:val="5FA82319"/>
    <w:rsid w:val="5FAD45A1"/>
    <w:rsid w:val="5FB648F6"/>
    <w:rsid w:val="5FBA54E0"/>
    <w:rsid w:val="5FBC7F1B"/>
    <w:rsid w:val="5FCB6008"/>
    <w:rsid w:val="5FCF3C13"/>
    <w:rsid w:val="5FE62E42"/>
    <w:rsid w:val="5FFE7156"/>
    <w:rsid w:val="60017C7C"/>
    <w:rsid w:val="600D2919"/>
    <w:rsid w:val="60334F91"/>
    <w:rsid w:val="60566219"/>
    <w:rsid w:val="60597AB8"/>
    <w:rsid w:val="60651FB9"/>
    <w:rsid w:val="607466A0"/>
    <w:rsid w:val="607878C3"/>
    <w:rsid w:val="60793CB6"/>
    <w:rsid w:val="607E12CC"/>
    <w:rsid w:val="607E7E0A"/>
    <w:rsid w:val="608B2FED"/>
    <w:rsid w:val="608D3DFB"/>
    <w:rsid w:val="609805E0"/>
    <w:rsid w:val="609E7A92"/>
    <w:rsid w:val="60B528A1"/>
    <w:rsid w:val="60BE791B"/>
    <w:rsid w:val="60C51E39"/>
    <w:rsid w:val="60D1764E"/>
    <w:rsid w:val="60F65306"/>
    <w:rsid w:val="610A2B60"/>
    <w:rsid w:val="61122B5C"/>
    <w:rsid w:val="612507F1"/>
    <w:rsid w:val="61343606"/>
    <w:rsid w:val="6155202D"/>
    <w:rsid w:val="61572249"/>
    <w:rsid w:val="615F71ED"/>
    <w:rsid w:val="617268E8"/>
    <w:rsid w:val="6175447D"/>
    <w:rsid w:val="61811074"/>
    <w:rsid w:val="61A46B11"/>
    <w:rsid w:val="61BD7BD2"/>
    <w:rsid w:val="61BE6722"/>
    <w:rsid w:val="61BF394A"/>
    <w:rsid w:val="61CD6067"/>
    <w:rsid w:val="61CE3B8D"/>
    <w:rsid w:val="61D70C94"/>
    <w:rsid w:val="61DE73E3"/>
    <w:rsid w:val="61DF1D29"/>
    <w:rsid w:val="61E635CD"/>
    <w:rsid w:val="61FA4982"/>
    <w:rsid w:val="61FA7C05"/>
    <w:rsid w:val="620A3B5D"/>
    <w:rsid w:val="620D6DAC"/>
    <w:rsid w:val="62201DB9"/>
    <w:rsid w:val="623C31ED"/>
    <w:rsid w:val="62483940"/>
    <w:rsid w:val="62487DE4"/>
    <w:rsid w:val="624B7F12"/>
    <w:rsid w:val="624E25AF"/>
    <w:rsid w:val="625247BE"/>
    <w:rsid w:val="62565BDF"/>
    <w:rsid w:val="626A5FAC"/>
    <w:rsid w:val="62702448"/>
    <w:rsid w:val="627666FF"/>
    <w:rsid w:val="62856942"/>
    <w:rsid w:val="628E1C9B"/>
    <w:rsid w:val="62A47412"/>
    <w:rsid w:val="62C05BCC"/>
    <w:rsid w:val="62CF0632"/>
    <w:rsid w:val="62D358FF"/>
    <w:rsid w:val="62D6719E"/>
    <w:rsid w:val="62DE2526"/>
    <w:rsid w:val="63051831"/>
    <w:rsid w:val="630737FB"/>
    <w:rsid w:val="6324710D"/>
    <w:rsid w:val="632D30AA"/>
    <w:rsid w:val="63416268"/>
    <w:rsid w:val="63417E63"/>
    <w:rsid w:val="634472EF"/>
    <w:rsid w:val="634876C8"/>
    <w:rsid w:val="63624ED5"/>
    <w:rsid w:val="63640C4D"/>
    <w:rsid w:val="636429FB"/>
    <w:rsid w:val="636649C5"/>
    <w:rsid w:val="636C7B02"/>
    <w:rsid w:val="636E3A3A"/>
    <w:rsid w:val="6370444B"/>
    <w:rsid w:val="637F5A87"/>
    <w:rsid w:val="6384309D"/>
    <w:rsid w:val="63870498"/>
    <w:rsid w:val="63984453"/>
    <w:rsid w:val="63AD6BEA"/>
    <w:rsid w:val="63B219B9"/>
    <w:rsid w:val="63B733F5"/>
    <w:rsid w:val="63B936BB"/>
    <w:rsid w:val="63CE4319"/>
    <w:rsid w:val="63D23E09"/>
    <w:rsid w:val="63E35DF8"/>
    <w:rsid w:val="63E8362C"/>
    <w:rsid w:val="63E853DA"/>
    <w:rsid w:val="63ED6DD1"/>
    <w:rsid w:val="641461CF"/>
    <w:rsid w:val="64195594"/>
    <w:rsid w:val="642D54E3"/>
    <w:rsid w:val="64446389"/>
    <w:rsid w:val="645A76B7"/>
    <w:rsid w:val="64740A1C"/>
    <w:rsid w:val="647B7FFD"/>
    <w:rsid w:val="647D7D64"/>
    <w:rsid w:val="648E28A0"/>
    <w:rsid w:val="64970BAF"/>
    <w:rsid w:val="64980A47"/>
    <w:rsid w:val="64986E00"/>
    <w:rsid w:val="64A357A5"/>
    <w:rsid w:val="64AF5EF8"/>
    <w:rsid w:val="64B13D6E"/>
    <w:rsid w:val="64C00105"/>
    <w:rsid w:val="64DC5415"/>
    <w:rsid w:val="64F71E63"/>
    <w:rsid w:val="64F920B9"/>
    <w:rsid w:val="64FA71FD"/>
    <w:rsid w:val="64FF957C"/>
    <w:rsid w:val="651773E8"/>
    <w:rsid w:val="651D10B4"/>
    <w:rsid w:val="652C12F7"/>
    <w:rsid w:val="653057CC"/>
    <w:rsid w:val="65362175"/>
    <w:rsid w:val="65510D5D"/>
    <w:rsid w:val="655D5954"/>
    <w:rsid w:val="655E0028"/>
    <w:rsid w:val="65622F6B"/>
    <w:rsid w:val="65650D00"/>
    <w:rsid w:val="65660CAD"/>
    <w:rsid w:val="656960A7"/>
    <w:rsid w:val="657F3B1C"/>
    <w:rsid w:val="658C4111"/>
    <w:rsid w:val="658C7FE7"/>
    <w:rsid w:val="6593392E"/>
    <w:rsid w:val="659F5F6D"/>
    <w:rsid w:val="65AA7631"/>
    <w:rsid w:val="65C55036"/>
    <w:rsid w:val="65C9123C"/>
    <w:rsid w:val="65D04378"/>
    <w:rsid w:val="65D147F3"/>
    <w:rsid w:val="65D42AD7"/>
    <w:rsid w:val="65D774B5"/>
    <w:rsid w:val="65E528EE"/>
    <w:rsid w:val="66041243"/>
    <w:rsid w:val="66083B12"/>
    <w:rsid w:val="66106E6A"/>
    <w:rsid w:val="66180FC6"/>
    <w:rsid w:val="661E50E3"/>
    <w:rsid w:val="661F3E80"/>
    <w:rsid w:val="662B5A52"/>
    <w:rsid w:val="662C5104"/>
    <w:rsid w:val="66344907"/>
    <w:rsid w:val="664D3C1B"/>
    <w:rsid w:val="66567785"/>
    <w:rsid w:val="66590B8C"/>
    <w:rsid w:val="668B156B"/>
    <w:rsid w:val="668F1B3D"/>
    <w:rsid w:val="6694184A"/>
    <w:rsid w:val="66A001EE"/>
    <w:rsid w:val="66A03D4A"/>
    <w:rsid w:val="66AC7169"/>
    <w:rsid w:val="66B12615"/>
    <w:rsid w:val="66D02156"/>
    <w:rsid w:val="66D24120"/>
    <w:rsid w:val="66DC0AFB"/>
    <w:rsid w:val="66EC6F90"/>
    <w:rsid w:val="66EF3448"/>
    <w:rsid w:val="66F620CC"/>
    <w:rsid w:val="66FD076D"/>
    <w:rsid w:val="670C7632"/>
    <w:rsid w:val="671442BE"/>
    <w:rsid w:val="671D183F"/>
    <w:rsid w:val="67281F92"/>
    <w:rsid w:val="672D5013"/>
    <w:rsid w:val="672D71C2"/>
    <w:rsid w:val="672E66B3"/>
    <w:rsid w:val="6743453A"/>
    <w:rsid w:val="677D0C07"/>
    <w:rsid w:val="678D1082"/>
    <w:rsid w:val="678F3DBF"/>
    <w:rsid w:val="679A2E90"/>
    <w:rsid w:val="679D7277"/>
    <w:rsid w:val="67A974CC"/>
    <w:rsid w:val="67B14421"/>
    <w:rsid w:val="67B6134C"/>
    <w:rsid w:val="67B91EEC"/>
    <w:rsid w:val="67BA0E3C"/>
    <w:rsid w:val="67C07B0C"/>
    <w:rsid w:val="67C1666E"/>
    <w:rsid w:val="67C223E6"/>
    <w:rsid w:val="67CC6DC1"/>
    <w:rsid w:val="67DF6AF4"/>
    <w:rsid w:val="67FA392E"/>
    <w:rsid w:val="67FD51CC"/>
    <w:rsid w:val="67FD6F7B"/>
    <w:rsid w:val="6805315D"/>
    <w:rsid w:val="680C5285"/>
    <w:rsid w:val="682B1E84"/>
    <w:rsid w:val="68460921"/>
    <w:rsid w:val="68792AA5"/>
    <w:rsid w:val="68863414"/>
    <w:rsid w:val="688745BE"/>
    <w:rsid w:val="68874A63"/>
    <w:rsid w:val="688D19A9"/>
    <w:rsid w:val="688F22C8"/>
    <w:rsid w:val="68984215"/>
    <w:rsid w:val="68A1024E"/>
    <w:rsid w:val="68A11FFC"/>
    <w:rsid w:val="68A51AEC"/>
    <w:rsid w:val="68B41D2F"/>
    <w:rsid w:val="68DB4888"/>
    <w:rsid w:val="68DC3034"/>
    <w:rsid w:val="68E452FE"/>
    <w:rsid w:val="68FD36D6"/>
    <w:rsid w:val="6905258B"/>
    <w:rsid w:val="690701F4"/>
    <w:rsid w:val="69112CDD"/>
    <w:rsid w:val="6917406C"/>
    <w:rsid w:val="69230C63"/>
    <w:rsid w:val="6937322A"/>
    <w:rsid w:val="69564B94"/>
    <w:rsid w:val="695B3D95"/>
    <w:rsid w:val="69601EB7"/>
    <w:rsid w:val="69717C20"/>
    <w:rsid w:val="697550D5"/>
    <w:rsid w:val="69765236"/>
    <w:rsid w:val="69894F6A"/>
    <w:rsid w:val="69913E1E"/>
    <w:rsid w:val="69990F25"/>
    <w:rsid w:val="699C6A74"/>
    <w:rsid w:val="69A00AA6"/>
    <w:rsid w:val="69A2602B"/>
    <w:rsid w:val="69A27DD9"/>
    <w:rsid w:val="69A43B52"/>
    <w:rsid w:val="69B12712"/>
    <w:rsid w:val="69C73CE4"/>
    <w:rsid w:val="69CB64D8"/>
    <w:rsid w:val="69E00902"/>
    <w:rsid w:val="6A2C1D99"/>
    <w:rsid w:val="6A2D7FEB"/>
    <w:rsid w:val="6A62333C"/>
    <w:rsid w:val="6A7259FE"/>
    <w:rsid w:val="6A794FDE"/>
    <w:rsid w:val="6AA638F9"/>
    <w:rsid w:val="6AB53E91"/>
    <w:rsid w:val="6ABE1618"/>
    <w:rsid w:val="6AD42215"/>
    <w:rsid w:val="6AD71D05"/>
    <w:rsid w:val="6ADA35A3"/>
    <w:rsid w:val="6ADE378A"/>
    <w:rsid w:val="6AE54422"/>
    <w:rsid w:val="6AF46EA2"/>
    <w:rsid w:val="6B053DC8"/>
    <w:rsid w:val="6B064398"/>
    <w:rsid w:val="6B0A032C"/>
    <w:rsid w:val="6B2A277C"/>
    <w:rsid w:val="6B2F38EF"/>
    <w:rsid w:val="6B3D4113"/>
    <w:rsid w:val="6B427AC6"/>
    <w:rsid w:val="6B52582F"/>
    <w:rsid w:val="6B737C7F"/>
    <w:rsid w:val="6B777044"/>
    <w:rsid w:val="6B7D28AC"/>
    <w:rsid w:val="6BA90623"/>
    <w:rsid w:val="6BC404DB"/>
    <w:rsid w:val="6BCF6E80"/>
    <w:rsid w:val="6BDD6944"/>
    <w:rsid w:val="6BE902A4"/>
    <w:rsid w:val="6BFE5DC7"/>
    <w:rsid w:val="6C016F31"/>
    <w:rsid w:val="6C1E6E5E"/>
    <w:rsid w:val="6C20148A"/>
    <w:rsid w:val="6C212939"/>
    <w:rsid w:val="6C22511C"/>
    <w:rsid w:val="6C3118E9"/>
    <w:rsid w:val="6C3C256B"/>
    <w:rsid w:val="6C421785"/>
    <w:rsid w:val="6C472EBA"/>
    <w:rsid w:val="6C4C6406"/>
    <w:rsid w:val="6C501D6F"/>
    <w:rsid w:val="6C593AD7"/>
    <w:rsid w:val="6C5E3222"/>
    <w:rsid w:val="6C782B47"/>
    <w:rsid w:val="6C9F4AA4"/>
    <w:rsid w:val="6CA43E69"/>
    <w:rsid w:val="6CA5567A"/>
    <w:rsid w:val="6CB30550"/>
    <w:rsid w:val="6CB31906"/>
    <w:rsid w:val="6CB322FE"/>
    <w:rsid w:val="6CC14A1B"/>
    <w:rsid w:val="6CCE7137"/>
    <w:rsid w:val="6CDE4488"/>
    <w:rsid w:val="6CE3535A"/>
    <w:rsid w:val="6CE94E1E"/>
    <w:rsid w:val="6D0B3EE8"/>
    <w:rsid w:val="6D394EF9"/>
    <w:rsid w:val="6D464F20"/>
    <w:rsid w:val="6D4D32CD"/>
    <w:rsid w:val="6D57712D"/>
    <w:rsid w:val="6D577F4F"/>
    <w:rsid w:val="6D585DF5"/>
    <w:rsid w:val="6D88378A"/>
    <w:rsid w:val="6D8F2D6B"/>
    <w:rsid w:val="6D943EDD"/>
    <w:rsid w:val="6D944754"/>
    <w:rsid w:val="6DA71E62"/>
    <w:rsid w:val="6DAA2632"/>
    <w:rsid w:val="6DCC18C9"/>
    <w:rsid w:val="6DD715C1"/>
    <w:rsid w:val="6DDD7C5D"/>
    <w:rsid w:val="6DE02508"/>
    <w:rsid w:val="6DF17581"/>
    <w:rsid w:val="6DF66946"/>
    <w:rsid w:val="6DFB5D0A"/>
    <w:rsid w:val="6E0C43BB"/>
    <w:rsid w:val="6E0E5A3E"/>
    <w:rsid w:val="6E101565"/>
    <w:rsid w:val="6E105C5A"/>
    <w:rsid w:val="6E1312A6"/>
    <w:rsid w:val="6E1A0886"/>
    <w:rsid w:val="6E207F31"/>
    <w:rsid w:val="6E331948"/>
    <w:rsid w:val="6E4C2A0A"/>
    <w:rsid w:val="6E514CF1"/>
    <w:rsid w:val="6E522D39"/>
    <w:rsid w:val="6E625D89"/>
    <w:rsid w:val="6E843365"/>
    <w:rsid w:val="6E897B2F"/>
    <w:rsid w:val="6E9A3775"/>
    <w:rsid w:val="6E9C129B"/>
    <w:rsid w:val="6EB1286D"/>
    <w:rsid w:val="6EC802E2"/>
    <w:rsid w:val="6ED643A2"/>
    <w:rsid w:val="6EDC72C3"/>
    <w:rsid w:val="6EDF3D72"/>
    <w:rsid w:val="6EF56BFD"/>
    <w:rsid w:val="6F1317DD"/>
    <w:rsid w:val="6F152DFC"/>
    <w:rsid w:val="6F1736DE"/>
    <w:rsid w:val="6F2319BD"/>
    <w:rsid w:val="6F3239AE"/>
    <w:rsid w:val="6F390ABC"/>
    <w:rsid w:val="6F3B4F58"/>
    <w:rsid w:val="6F3F4430"/>
    <w:rsid w:val="6F4D4C8B"/>
    <w:rsid w:val="6F7BA808"/>
    <w:rsid w:val="6F914B78"/>
    <w:rsid w:val="6F96218E"/>
    <w:rsid w:val="6FB571FD"/>
    <w:rsid w:val="6FB771FD"/>
    <w:rsid w:val="6FC211D5"/>
    <w:rsid w:val="6FC7059A"/>
    <w:rsid w:val="6FC9590F"/>
    <w:rsid w:val="6FCA3F77"/>
    <w:rsid w:val="6FD86E30"/>
    <w:rsid w:val="6FD93A98"/>
    <w:rsid w:val="6FDB31A5"/>
    <w:rsid w:val="6FEF12D1"/>
    <w:rsid w:val="70194B6E"/>
    <w:rsid w:val="701E64F3"/>
    <w:rsid w:val="70231548"/>
    <w:rsid w:val="703E6382"/>
    <w:rsid w:val="704F058F"/>
    <w:rsid w:val="7056191E"/>
    <w:rsid w:val="7073427E"/>
    <w:rsid w:val="70751B2B"/>
    <w:rsid w:val="7089584F"/>
    <w:rsid w:val="708C533F"/>
    <w:rsid w:val="709F271B"/>
    <w:rsid w:val="709F5073"/>
    <w:rsid w:val="70C26FB3"/>
    <w:rsid w:val="70DE203F"/>
    <w:rsid w:val="70FD1A16"/>
    <w:rsid w:val="71080E6A"/>
    <w:rsid w:val="711C4915"/>
    <w:rsid w:val="711D243B"/>
    <w:rsid w:val="71263D2C"/>
    <w:rsid w:val="713E7A6F"/>
    <w:rsid w:val="717233C4"/>
    <w:rsid w:val="717E112C"/>
    <w:rsid w:val="71866233"/>
    <w:rsid w:val="718A11B3"/>
    <w:rsid w:val="718B200D"/>
    <w:rsid w:val="719426FE"/>
    <w:rsid w:val="719920D0"/>
    <w:rsid w:val="71AF5789"/>
    <w:rsid w:val="71B2527A"/>
    <w:rsid w:val="71CD20B4"/>
    <w:rsid w:val="71D21478"/>
    <w:rsid w:val="71DD7E77"/>
    <w:rsid w:val="71E847F7"/>
    <w:rsid w:val="71F97CF4"/>
    <w:rsid w:val="720F6A1C"/>
    <w:rsid w:val="7214383E"/>
    <w:rsid w:val="72164D32"/>
    <w:rsid w:val="721675B7"/>
    <w:rsid w:val="721E46BD"/>
    <w:rsid w:val="7227337A"/>
    <w:rsid w:val="722D66AE"/>
    <w:rsid w:val="72356B79"/>
    <w:rsid w:val="723717EF"/>
    <w:rsid w:val="72446832"/>
    <w:rsid w:val="725105EF"/>
    <w:rsid w:val="72522251"/>
    <w:rsid w:val="72682E25"/>
    <w:rsid w:val="72695938"/>
    <w:rsid w:val="726C3753"/>
    <w:rsid w:val="727B1B10"/>
    <w:rsid w:val="729A75CE"/>
    <w:rsid w:val="72A20473"/>
    <w:rsid w:val="72AD20E8"/>
    <w:rsid w:val="72B50B7E"/>
    <w:rsid w:val="72C139C6"/>
    <w:rsid w:val="72DF3E4C"/>
    <w:rsid w:val="72E27499"/>
    <w:rsid w:val="72F32B0E"/>
    <w:rsid w:val="72F346A7"/>
    <w:rsid w:val="72F571CC"/>
    <w:rsid w:val="72FB0ADD"/>
    <w:rsid w:val="73090532"/>
    <w:rsid w:val="730E64E0"/>
    <w:rsid w:val="73113D60"/>
    <w:rsid w:val="73124222"/>
    <w:rsid w:val="731D747B"/>
    <w:rsid w:val="733D2A16"/>
    <w:rsid w:val="735918D7"/>
    <w:rsid w:val="7363682B"/>
    <w:rsid w:val="73644352"/>
    <w:rsid w:val="73661E78"/>
    <w:rsid w:val="73691968"/>
    <w:rsid w:val="737422BC"/>
    <w:rsid w:val="7375030D"/>
    <w:rsid w:val="739A5FC5"/>
    <w:rsid w:val="739C0527"/>
    <w:rsid w:val="73A6496A"/>
    <w:rsid w:val="73AB5EC8"/>
    <w:rsid w:val="73C13B1E"/>
    <w:rsid w:val="73E62FB9"/>
    <w:rsid w:val="73EA2AA9"/>
    <w:rsid w:val="740722AB"/>
    <w:rsid w:val="74136828"/>
    <w:rsid w:val="7419513C"/>
    <w:rsid w:val="741B2C62"/>
    <w:rsid w:val="74281823"/>
    <w:rsid w:val="742A2B6C"/>
    <w:rsid w:val="742D2ACC"/>
    <w:rsid w:val="74305DAA"/>
    <w:rsid w:val="744F43B3"/>
    <w:rsid w:val="74510D7A"/>
    <w:rsid w:val="746A3C7A"/>
    <w:rsid w:val="74730CF0"/>
    <w:rsid w:val="74740DDB"/>
    <w:rsid w:val="747D391D"/>
    <w:rsid w:val="74843A4F"/>
    <w:rsid w:val="749173C8"/>
    <w:rsid w:val="7499627D"/>
    <w:rsid w:val="74EB6AD9"/>
    <w:rsid w:val="74FD4A5E"/>
    <w:rsid w:val="750F1B26"/>
    <w:rsid w:val="751853F4"/>
    <w:rsid w:val="751F49D4"/>
    <w:rsid w:val="752D5343"/>
    <w:rsid w:val="752F0976"/>
    <w:rsid w:val="7544443B"/>
    <w:rsid w:val="754604BF"/>
    <w:rsid w:val="755A1637"/>
    <w:rsid w:val="755D72AA"/>
    <w:rsid w:val="755F1275"/>
    <w:rsid w:val="75705230"/>
    <w:rsid w:val="75706FDE"/>
    <w:rsid w:val="757545F4"/>
    <w:rsid w:val="757840E4"/>
    <w:rsid w:val="757A1C0A"/>
    <w:rsid w:val="759251A6"/>
    <w:rsid w:val="759E3257"/>
    <w:rsid w:val="75A003C8"/>
    <w:rsid w:val="75B570E6"/>
    <w:rsid w:val="75BC5701"/>
    <w:rsid w:val="75BF7F65"/>
    <w:rsid w:val="75D4469C"/>
    <w:rsid w:val="760342F6"/>
    <w:rsid w:val="760C0482"/>
    <w:rsid w:val="7610118B"/>
    <w:rsid w:val="76193518"/>
    <w:rsid w:val="76261D92"/>
    <w:rsid w:val="762B6CE9"/>
    <w:rsid w:val="76313F48"/>
    <w:rsid w:val="763601DC"/>
    <w:rsid w:val="764F12E9"/>
    <w:rsid w:val="76626D3B"/>
    <w:rsid w:val="76670E6D"/>
    <w:rsid w:val="76684159"/>
    <w:rsid w:val="768014A2"/>
    <w:rsid w:val="7680784D"/>
    <w:rsid w:val="7682521B"/>
    <w:rsid w:val="769B5227"/>
    <w:rsid w:val="76A35191"/>
    <w:rsid w:val="76A96C4B"/>
    <w:rsid w:val="76AC696D"/>
    <w:rsid w:val="76B35130"/>
    <w:rsid w:val="76E25CB9"/>
    <w:rsid w:val="76E33489"/>
    <w:rsid w:val="76F81464"/>
    <w:rsid w:val="77040325"/>
    <w:rsid w:val="770A5210"/>
    <w:rsid w:val="77137638"/>
    <w:rsid w:val="7718792D"/>
    <w:rsid w:val="77272953"/>
    <w:rsid w:val="77453728"/>
    <w:rsid w:val="774B1AB0"/>
    <w:rsid w:val="775315EF"/>
    <w:rsid w:val="776A48A8"/>
    <w:rsid w:val="77774E17"/>
    <w:rsid w:val="777D1539"/>
    <w:rsid w:val="778154D2"/>
    <w:rsid w:val="77822FF8"/>
    <w:rsid w:val="778925D9"/>
    <w:rsid w:val="77955421"/>
    <w:rsid w:val="779A6594"/>
    <w:rsid w:val="77A25449"/>
    <w:rsid w:val="77B37F76"/>
    <w:rsid w:val="77D5581E"/>
    <w:rsid w:val="77E137A0"/>
    <w:rsid w:val="7802388A"/>
    <w:rsid w:val="780954C8"/>
    <w:rsid w:val="78252301"/>
    <w:rsid w:val="782A1627"/>
    <w:rsid w:val="782A5378"/>
    <w:rsid w:val="782A7918"/>
    <w:rsid w:val="782F13D2"/>
    <w:rsid w:val="786D5A56"/>
    <w:rsid w:val="7873505F"/>
    <w:rsid w:val="7877545C"/>
    <w:rsid w:val="787B1039"/>
    <w:rsid w:val="7880578A"/>
    <w:rsid w:val="78882890"/>
    <w:rsid w:val="788D434B"/>
    <w:rsid w:val="788F3C1F"/>
    <w:rsid w:val="7899684C"/>
    <w:rsid w:val="789E0306"/>
    <w:rsid w:val="78A44C7D"/>
    <w:rsid w:val="78AF6EB1"/>
    <w:rsid w:val="78B673FD"/>
    <w:rsid w:val="78D17FB9"/>
    <w:rsid w:val="78E35D19"/>
    <w:rsid w:val="78E81581"/>
    <w:rsid w:val="78EC1071"/>
    <w:rsid w:val="78EC4B5F"/>
    <w:rsid w:val="790939D1"/>
    <w:rsid w:val="79132AA2"/>
    <w:rsid w:val="792C5912"/>
    <w:rsid w:val="792E168A"/>
    <w:rsid w:val="79314405"/>
    <w:rsid w:val="79507852"/>
    <w:rsid w:val="796C3F60"/>
    <w:rsid w:val="79960FDD"/>
    <w:rsid w:val="79986B03"/>
    <w:rsid w:val="799D236B"/>
    <w:rsid w:val="79A87516"/>
    <w:rsid w:val="79B80F53"/>
    <w:rsid w:val="79D815F5"/>
    <w:rsid w:val="79DD67B7"/>
    <w:rsid w:val="79E166FC"/>
    <w:rsid w:val="79FF300D"/>
    <w:rsid w:val="7A07167D"/>
    <w:rsid w:val="7A1940E8"/>
    <w:rsid w:val="7A334C79"/>
    <w:rsid w:val="7A63286B"/>
    <w:rsid w:val="7A6D4434"/>
    <w:rsid w:val="7A715CD2"/>
    <w:rsid w:val="7A7269D5"/>
    <w:rsid w:val="7A756E44"/>
    <w:rsid w:val="7A8552D9"/>
    <w:rsid w:val="7A862E00"/>
    <w:rsid w:val="7A8B6668"/>
    <w:rsid w:val="7A8C03D4"/>
    <w:rsid w:val="7A99620C"/>
    <w:rsid w:val="7AA160F4"/>
    <w:rsid w:val="7AA5597C"/>
    <w:rsid w:val="7AA8721A"/>
    <w:rsid w:val="7AA93F28"/>
    <w:rsid w:val="7AB3762E"/>
    <w:rsid w:val="7ABE4C8F"/>
    <w:rsid w:val="7AD324E9"/>
    <w:rsid w:val="7ADB139D"/>
    <w:rsid w:val="7ADB75EF"/>
    <w:rsid w:val="7ADB768B"/>
    <w:rsid w:val="7ADC28EB"/>
    <w:rsid w:val="7ADE2C3C"/>
    <w:rsid w:val="7AE52708"/>
    <w:rsid w:val="7AE85868"/>
    <w:rsid w:val="7B0E3521"/>
    <w:rsid w:val="7B0E45CF"/>
    <w:rsid w:val="7B18439F"/>
    <w:rsid w:val="7B1B6A4A"/>
    <w:rsid w:val="7B25086A"/>
    <w:rsid w:val="7B272834"/>
    <w:rsid w:val="7B2A40D3"/>
    <w:rsid w:val="7B342760"/>
    <w:rsid w:val="7B3C18ED"/>
    <w:rsid w:val="7B537186"/>
    <w:rsid w:val="7B646B4D"/>
    <w:rsid w:val="7B670E83"/>
    <w:rsid w:val="7B6C0247"/>
    <w:rsid w:val="7B7B48B9"/>
    <w:rsid w:val="7B856B2C"/>
    <w:rsid w:val="7B9E30F0"/>
    <w:rsid w:val="7BA479E1"/>
    <w:rsid w:val="7BB26609"/>
    <w:rsid w:val="7BEB1AB4"/>
    <w:rsid w:val="7BF81ADB"/>
    <w:rsid w:val="7BFC0901"/>
    <w:rsid w:val="7BFF99C1"/>
    <w:rsid w:val="7C1D2650"/>
    <w:rsid w:val="7C1E3C37"/>
    <w:rsid w:val="7C224DAA"/>
    <w:rsid w:val="7C302710"/>
    <w:rsid w:val="7C350F81"/>
    <w:rsid w:val="7C413482"/>
    <w:rsid w:val="7C46167B"/>
    <w:rsid w:val="7C4B2553"/>
    <w:rsid w:val="7C501917"/>
    <w:rsid w:val="7C5A34B2"/>
    <w:rsid w:val="7C5E4473"/>
    <w:rsid w:val="7C701FB9"/>
    <w:rsid w:val="7C745605"/>
    <w:rsid w:val="7C7F5132"/>
    <w:rsid w:val="7CAA1027"/>
    <w:rsid w:val="7CB71996"/>
    <w:rsid w:val="7CB83A65"/>
    <w:rsid w:val="7CBA4C1F"/>
    <w:rsid w:val="7CC36EE8"/>
    <w:rsid w:val="7CCD2F68"/>
    <w:rsid w:val="7CEA1E70"/>
    <w:rsid w:val="7CFA79CC"/>
    <w:rsid w:val="7D1B3CD3"/>
    <w:rsid w:val="7D2F3C22"/>
    <w:rsid w:val="7D2F777E"/>
    <w:rsid w:val="7D327636"/>
    <w:rsid w:val="7D3D633F"/>
    <w:rsid w:val="7D4E0F1D"/>
    <w:rsid w:val="7D4E5DF5"/>
    <w:rsid w:val="7D515947"/>
    <w:rsid w:val="7D51FFA2"/>
    <w:rsid w:val="7D5F62B6"/>
    <w:rsid w:val="7D624406"/>
    <w:rsid w:val="7D625DA6"/>
    <w:rsid w:val="7D72702B"/>
    <w:rsid w:val="7D764148"/>
    <w:rsid w:val="7D882AC8"/>
    <w:rsid w:val="7D8D4E8E"/>
    <w:rsid w:val="7D8E0949"/>
    <w:rsid w:val="7DB008BF"/>
    <w:rsid w:val="7DBA34EC"/>
    <w:rsid w:val="7DC0487A"/>
    <w:rsid w:val="7DD345AE"/>
    <w:rsid w:val="7DD8701C"/>
    <w:rsid w:val="7DE70059"/>
    <w:rsid w:val="7DE700A6"/>
    <w:rsid w:val="7DED7CAC"/>
    <w:rsid w:val="7DF6029C"/>
    <w:rsid w:val="7DF82266"/>
    <w:rsid w:val="7DFA7D8C"/>
    <w:rsid w:val="7E164928"/>
    <w:rsid w:val="7E17093E"/>
    <w:rsid w:val="7E1C5F55"/>
    <w:rsid w:val="7E2A59DB"/>
    <w:rsid w:val="7E321786"/>
    <w:rsid w:val="7E4B079D"/>
    <w:rsid w:val="7E503BFB"/>
    <w:rsid w:val="7E7C4C45"/>
    <w:rsid w:val="7E891AB3"/>
    <w:rsid w:val="7E9D2E6E"/>
    <w:rsid w:val="7EA43064"/>
    <w:rsid w:val="7EAD3051"/>
    <w:rsid w:val="7EBC3294"/>
    <w:rsid w:val="7EC93509"/>
    <w:rsid w:val="7EE84089"/>
    <w:rsid w:val="7EFB3DBC"/>
    <w:rsid w:val="7EFE1AFE"/>
    <w:rsid w:val="7F1A36DC"/>
    <w:rsid w:val="7F273857"/>
    <w:rsid w:val="7F286B7B"/>
    <w:rsid w:val="7F312F7F"/>
    <w:rsid w:val="7F4C4618"/>
    <w:rsid w:val="7F5C647E"/>
    <w:rsid w:val="7F71407E"/>
    <w:rsid w:val="7F83224A"/>
    <w:rsid w:val="7F923FF5"/>
    <w:rsid w:val="7F94188F"/>
    <w:rsid w:val="7F967F89"/>
    <w:rsid w:val="7F9E0BEB"/>
    <w:rsid w:val="7F9E2999"/>
    <w:rsid w:val="7FC40652"/>
    <w:rsid w:val="7FD33B5C"/>
    <w:rsid w:val="7FD5381C"/>
    <w:rsid w:val="7FDF723A"/>
    <w:rsid w:val="7FF369DD"/>
    <w:rsid w:val="7FFC3999"/>
    <w:rsid w:val="B3FA0CE7"/>
    <w:rsid w:val="B4FD2FEA"/>
    <w:rsid w:val="C5F15B7A"/>
    <w:rsid w:val="CFED3AF5"/>
    <w:rsid w:val="F3F36446"/>
    <w:rsid w:val="F97B36F4"/>
    <w:rsid w:val="FBFBDB1A"/>
    <w:rsid w:val="FF4F04D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adjustRightInd w:val="0"/>
      <w:snapToGrid w:val="0"/>
      <w:spacing w:before="360" w:after="360"/>
      <w:jc w:val="center"/>
      <w:outlineLvl w:val="0"/>
    </w:pPr>
    <w:rPr>
      <w:kern w:val="44"/>
      <w:sz w:val="28"/>
    </w:rPr>
  </w:style>
  <w:style w:type="paragraph" w:styleId="3">
    <w:name w:val="heading 2"/>
    <w:basedOn w:val="1"/>
    <w:next w:val="1"/>
    <w:link w:val="24"/>
    <w:unhideWhenUsed/>
    <w:qFormat/>
    <w:uiPriority w:val="0"/>
    <w:pPr>
      <w:keepNext/>
      <w:keepLines/>
      <w:adjustRightInd w:val="0"/>
      <w:snapToGrid w:val="0"/>
      <w:spacing w:before="240" w:after="240"/>
      <w:jc w:val="center"/>
      <w:textAlignment w:val="center"/>
      <w:outlineLvl w:val="1"/>
    </w:pPr>
    <w:rPr>
      <w:rFonts w:eastAsia="黑体" w:cstheme="majorBidi"/>
      <w:bCs/>
      <w:szCs w:val="32"/>
    </w:rPr>
  </w:style>
  <w:style w:type="paragraph" w:styleId="4">
    <w:name w:val="heading 3"/>
    <w:basedOn w:val="1"/>
    <w:next w:val="1"/>
    <w:link w:val="37"/>
    <w:unhideWhenUsed/>
    <w:qFormat/>
    <w:uiPriority w:val="0"/>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unhideWhenUsed/>
    <w:qFormat/>
    <w:uiPriority w:val="9"/>
    <w:pPr>
      <w:keepNext/>
      <w:keepLines/>
      <w:spacing w:before="240" w:after="240"/>
      <w:jc w:val="center"/>
      <w:outlineLvl w:val="3"/>
    </w:pPr>
    <w:rPr>
      <w:rFonts w:eastAsia="黑体" w:cstheme="majorBidi"/>
      <w:bCs/>
      <w:szCs w:val="28"/>
    </w:rPr>
  </w:style>
  <w:style w:type="character" w:default="1" w:styleId="19">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ody Text"/>
    <w:basedOn w:val="1"/>
    <w:qFormat/>
    <w:uiPriority w:val="1"/>
    <w:pPr>
      <w:ind w:left="110"/>
      <w:jc w:val="left"/>
    </w:pPr>
    <w:rPr>
      <w:rFonts w:ascii="宋体" w:hAnsi="宋体"/>
      <w:color w:val="000000"/>
      <w:kern w:val="0"/>
      <w:sz w:val="20"/>
      <w:szCs w:val="20"/>
      <w:lang w:eastAsia="en-US"/>
    </w:rPr>
  </w:style>
  <w:style w:type="paragraph" w:styleId="8">
    <w:name w:val="Body Text Indent"/>
    <w:basedOn w:val="1"/>
    <w:qFormat/>
    <w:uiPriority w:val="0"/>
    <w:pPr>
      <w:ind w:firstLine="600" w:firstLineChars="250"/>
    </w:pPr>
    <w:rPr>
      <w:sz w:val="24"/>
    </w:rPr>
  </w:style>
  <w:style w:type="paragraph" w:styleId="9">
    <w:name w:val="toc 3"/>
    <w:basedOn w:val="1"/>
    <w:next w:val="1"/>
    <w:qFormat/>
    <w:uiPriority w:val="0"/>
    <w:pPr>
      <w:ind w:left="840" w:leftChars="400"/>
    </w:pPr>
  </w:style>
  <w:style w:type="paragraph" w:styleId="10">
    <w:name w:val="Balloon Text"/>
    <w:basedOn w:val="1"/>
    <w:link w:val="40"/>
    <w:uiPriority w:val="0"/>
    <w:rPr>
      <w:sz w:val="18"/>
      <w:szCs w:val="18"/>
    </w:rPr>
  </w:style>
  <w:style w:type="paragraph" w:styleId="11">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Title"/>
    <w:basedOn w:val="1"/>
    <w:qFormat/>
    <w:uiPriority w:val="10"/>
    <w:pPr>
      <w:spacing w:before="240" w:after="60"/>
      <w:jc w:val="center"/>
      <w:outlineLvl w:val="0"/>
    </w:pPr>
    <w:rPr>
      <w:rFonts w:ascii="Arial" w:hAnsi="Arial"/>
      <w:b/>
      <w:sz w:val="32"/>
    </w:rPr>
  </w:style>
  <w:style w:type="paragraph" w:styleId="16">
    <w:name w:val="Body Text First Indent 2"/>
    <w:basedOn w:val="8"/>
    <w:qFormat/>
    <w:uiPriority w:val="0"/>
    <w:pPr>
      <w:ind w:firstLine="420"/>
    </w:pPr>
    <w:rPr>
      <w:rFonts w:ascii="仿宋_GB2312" w:eastAsia="仿宋_GB2312" w:cs="仿宋_GB2312"/>
      <w:sz w:val="32"/>
      <w:szCs w:val="32"/>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qFormat/>
    <w:uiPriority w:val="22"/>
    <w:rPr>
      <w:b/>
      <w:bCs/>
    </w:rPr>
  </w:style>
  <w:style w:type="character" w:styleId="21">
    <w:name w:val="Emphasis"/>
    <w:qFormat/>
    <w:uiPriority w:val="20"/>
    <w:rPr>
      <w:rFonts w:eastAsia="华文新魏"/>
      <w:sz w:val="24"/>
    </w:rPr>
  </w:style>
  <w:style w:type="character" w:styleId="22">
    <w:name w:val="Hyperlink"/>
    <w:basedOn w:val="19"/>
    <w:qFormat/>
    <w:uiPriority w:val="99"/>
    <w:rPr>
      <w:color w:val="0000FF"/>
      <w:u w:val="single"/>
    </w:rPr>
  </w:style>
  <w:style w:type="character" w:styleId="23">
    <w:name w:val="annotation reference"/>
    <w:basedOn w:val="19"/>
    <w:semiHidden/>
    <w:unhideWhenUsed/>
    <w:qFormat/>
    <w:uiPriority w:val="99"/>
    <w:rPr>
      <w:sz w:val="21"/>
      <w:szCs w:val="21"/>
    </w:rPr>
  </w:style>
  <w:style w:type="character" w:customStyle="1" w:styleId="24">
    <w:name w:val="标题 2 Char"/>
    <w:basedOn w:val="19"/>
    <w:link w:val="3"/>
    <w:qFormat/>
    <w:uiPriority w:val="0"/>
    <w:rPr>
      <w:rFonts w:ascii="Times New Roman" w:hAnsi="Times New Roman" w:eastAsia="黑体" w:cstheme="majorBidi"/>
      <w:bCs/>
      <w:sz w:val="21"/>
      <w:szCs w:val="32"/>
    </w:rPr>
  </w:style>
  <w:style w:type="table" w:customStyle="1" w:styleId="25">
    <w:name w:val="网格型1"/>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6">
    <w:name w:val="图表名"/>
    <w:basedOn w:val="1"/>
    <w:qFormat/>
    <w:uiPriority w:val="0"/>
    <w:pPr>
      <w:autoSpaceDE w:val="0"/>
      <w:autoSpaceDN w:val="0"/>
      <w:adjustRightInd w:val="0"/>
      <w:jc w:val="center"/>
    </w:pPr>
    <w:rPr>
      <w:rFonts w:eastAsia="黑体"/>
      <w:kern w:val="0"/>
      <w:sz w:val="18"/>
      <w:szCs w:val="21"/>
    </w:rPr>
  </w:style>
  <w:style w:type="paragraph" w:customStyle="1" w:styleId="27">
    <w:name w:val="表格文字"/>
    <w:basedOn w:val="1"/>
    <w:qFormat/>
    <w:uiPriority w:val="0"/>
    <w:pPr>
      <w:autoSpaceDE w:val="0"/>
      <w:autoSpaceDN w:val="0"/>
      <w:adjustRightInd w:val="0"/>
      <w:jc w:val="center"/>
    </w:pPr>
    <w:rPr>
      <w:kern w:val="0"/>
      <w:sz w:val="15"/>
      <w:szCs w:val="21"/>
    </w:rPr>
  </w:style>
  <w:style w:type="paragraph" w:customStyle="1" w:styleId="28">
    <w:name w:val="表格标注"/>
    <w:basedOn w:val="1"/>
    <w:qFormat/>
    <w:uiPriority w:val="0"/>
    <w:rPr>
      <w:sz w:val="15"/>
    </w:rPr>
  </w:style>
  <w:style w:type="character" w:customStyle="1" w:styleId="29">
    <w:name w:val="引用 Char"/>
    <w:basedOn w:val="19"/>
    <w:link w:val="30"/>
    <w:qFormat/>
    <w:uiPriority w:val="29"/>
    <w:rPr>
      <w:rFonts w:ascii="Calibri" w:hAnsi="Calibri" w:eastAsia="华文楷体"/>
      <w:sz w:val="24"/>
    </w:rPr>
  </w:style>
  <w:style w:type="paragraph" w:styleId="30">
    <w:name w:val="Quote"/>
    <w:basedOn w:val="1"/>
    <w:next w:val="1"/>
    <w:link w:val="29"/>
    <w:qFormat/>
    <w:uiPriority w:val="29"/>
    <w:rPr>
      <w:rFonts w:ascii="Calibri" w:hAnsi="Calibri" w:eastAsia="华文楷体"/>
      <w:sz w:val="24"/>
    </w:rPr>
  </w:style>
  <w:style w:type="paragraph" w:customStyle="1" w:styleId="31">
    <w:name w:val="副目录"/>
    <w:basedOn w:val="1"/>
    <w:next w:val="1"/>
    <w:qFormat/>
    <w:uiPriority w:val="0"/>
    <w:pPr>
      <w:keepNext/>
      <w:keepLines/>
      <w:adjustRightInd w:val="0"/>
      <w:snapToGrid w:val="0"/>
      <w:spacing w:beforeLines="100" w:afterLines="100"/>
      <w:jc w:val="center"/>
    </w:pPr>
    <w:rPr>
      <w:rFonts w:eastAsia="黑体" w:cstheme="minorBidi"/>
      <w:bCs/>
      <w:szCs w:val="24"/>
    </w:rPr>
  </w:style>
  <w:style w:type="paragraph" w:styleId="32">
    <w:name w:val="List Paragraph"/>
    <w:basedOn w:val="1"/>
    <w:qFormat/>
    <w:uiPriority w:val="99"/>
    <w:pPr>
      <w:ind w:firstLine="420" w:firstLineChars="200"/>
    </w:pPr>
  </w:style>
  <w:style w:type="paragraph" w:customStyle="1" w:styleId="33">
    <w:name w:val="条文说明"/>
    <w:basedOn w:val="1"/>
    <w:qFormat/>
    <w:uiPriority w:val="0"/>
    <w:pPr>
      <w:tabs>
        <w:tab w:val="left" w:pos="0"/>
      </w:tabs>
      <w:spacing w:line="312" w:lineRule="auto"/>
      <w:ind w:firstLine="420" w:firstLineChars="200"/>
    </w:pPr>
    <w:rPr>
      <w:rFonts w:eastAsia="楷体"/>
      <w:color w:val="C00000"/>
    </w:rPr>
  </w:style>
  <w:style w:type="paragraph" w:customStyle="1" w:styleId="34">
    <w:name w:val="Table Text"/>
    <w:basedOn w:val="1"/>
    <w:semiHidden/>
    <w:qFormat/>
    <w:uiPriority w:val="0"/>
    <w:rPr>
      <w:rFonts w:eastAsia="Times New Roman"/>
      <w:sz w:val="14"/>
      <w:szCs w:val="14"/>
      <w:lang w:eastAsia="en-US"/>
    </w:rPr>
  </w:style>
  <w:style w:type="paragraph" w:customStyle="1" w:styleId="35">
    <w:name w:val="标准文件_段"/>
    <w:unhideWhenUsed/>
    <w:qFormat/>
    <w:uiPriority w:val="0"/>
    <w:pPr>
      <w:autoSpaceDE w:val="0"/>
      <w:autoSpaceDN w:val="0"/>
      <w:ind w:firstLine="200" w:firstLineChars="200"/>
      <w:jc w:val="both"/>
    </w:pPr>
    <w:rPr>
      <w:rFonts w:hint="eastAsia" w:ascii="宋体" w:hAnsi="Times New Roman" w:eastAsia="宋体" w:cs="Times New Roman"/>
      <w:sz w:val="21"/>
      <w:szCs w:val="24"/>
      <w:lang w:val="en-US" w:eastAsia="zh-CN" w:bidi="ar-SA"/>
    </w:rPr>
  </w:style>
  <w:style w:type="paragraph" w:customStyle="1" w:styleId="36">
    <w:name w:val="标准文件_页脚奇数页"/>
    <w:unhideWhenUsed/>
    <w:qFormat/>
    <w:uiPriority w:val="0"/>
    <w:pPr>
      <w:ind w:right="227"/>
      <w:jc w:val="right"/>
    </w:pPr>
    <w:rPr>
      <w:rFonts w:hint="eastAsia" w:ascii="宋体" w:hAnsi="Times New Roman" w:eastAsia="宋体" w:cs="Times New Roman"/>
      <w:sz w:val="18"/>
      <w:szCs w:val="24"/>
      <w:lang w:val="en-US" w:eastAsia="zh-CN" w:bidi="ar-SA"/>
    </w:rPr>
  </w:style>
  <w:style w:type="character" w:customStyle="1" w:styleId="37">
    <w:name w:val="标题 3 Char"/>
    <w:basedOn w:val="19"/>
    <w:link w:val="4"/>
    <w:qFormat/>
    <w:uiPriority w:val="0"/>
    <w:rPr>
      <w:rFonts w:asciiTheme="minorHAnsi" w:hAnsiTheme="minorHAnsi" w:eastAsiaTheme="minorEastAsia" w:cstheme="minorBidi"/>
      <w:b/>
      <w:bCs/>
      <w:kern w:val="2"/>
      <w:sz w:val="32"/>
      <w:szCs w:val="32"/>
    </w:rPr>
  </w:style>
  <w:style w:type="paragraph" w:customStyle="1" w:styleId="38">
    <w:name w:val="标准文件_正文表标题"/>
    <w:next w:val="35"/>
    <w:qFormat/>
    <w:uiPriority w:val="0"/>
    <w:pPr>
      <w:numPr>
        <w:ilvl w:val="0"/>
        <w:numId w:val="1"/>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39">
    <w:name w:val="段"/>
    <w:basedOn w:val="7"/>
    <w:qFormat/>
    <w:uiPriority w:val="0"/>
    <w:pPr>
      <w:ind w:firstLine="200" w:firstLineChars="200"/>
    </w:pPr>
    <w:rPr>
      <w:rFonts w:ascii="Times New Roman" w:hAnsi="Times New Roman" w:cs="庞中华简体 V2007"/>
      <w:szCs w:val="21"/>
    </w:rPr>
  </w:style>
  <w:style w:type="character" w:customStyle="1" w:styleId="40">
    <w:name w:val="批注框文本 Char"/>
    <w:basedOn w:val="19"/>
    <w:link w:val="10"/>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1" Type="http://schemas.openxmlformats.org/officeDocument/2006/relationships/fontTable" Target="fontTable.xml"/><Relationship Id="rId80" Type="http://schemas.openxmlformats.org/officeDocument/2006/relationships/customXml" Target="../customXml/item2.xml"/><Relationship Id="rId8" Type="http://schemas.openxmlformats.org/officeDocument/2006/relationships/image" Target="media/image1.png"/><Relationship Id="rId79" Type="http://schemas.openxmlformats.org/officeDocument/2006/relationships/numbering" Target="numbering.xml"/><Relationship Id="rId78" Type="http://schemas.openxmlformats.org/officeDocument/2006/relationships/customXml" Target="../customXml/item1.xml"/><Relationship Id="rId77" Type="http://schemas.openxmlformats.org/officeDocument/2006/relationships/image" Target="media/image63.png"/><Relationship Id="rId76" Type="http://schemas.openxmlformats.org/officeDocument/2006/relationships/image" Target="media/image62.emf"/><Relationship Id="rId75" Type="http://schemas.openxmlformats.org/officeDocument/2006/relationships/image" Target="media/image61.emf"/><Relationship Id="rId74" Type="http://schemas.openxmlformats.org/officeDocument/2006/relationships/oleObject" Target="embeddings/oleObject7.bin"/><Relationship Id="rId73" Type="http://schemas.openxmlformats.org/officeDocument/2006/relationships/image" Target="media/image60.png"/><Relationship Id="rId72" Type="http://schemas.openxmlformats.org/officeDocument/2006/relationships/image" Target="media/image59.png"/><Relationship Id="rId71" Type="http://schemas.openxmlformats.org/officeDocument/2006/relationships/image" Target="media/image58.png"/><Relationship Id="rId70" Type="http://schemas.openxmlformats.org/officeDocument/2006/relationships/image" Target="media/image57.jpeg"/><Relationship Id="rId7" Type="http://schemas.openxmlformats.org/officeDocument/2006/relationships/theme" Target="theme/theme1.xml"/><Relationship Id="rId69" Type="http://schemas.openxmlformats.org/officeDocument/2006/relationships/image" Target="media/image56.png"/><Relationship Id="rId68" Type="http://schemas.openxmlformats.org/officeDocument/2006/relationships/image" Target="media/image55.jpeg"/><Relationship Id="rId67" Type="http://schemas.openxmlformats.org/officeDocument/2006/relationships/image" Target="media/image54.png"/><Relationship Id="rId66" Type="http://schemas.openxmlformats.org/officeDocument/2006/relationships/image" Target="media/image53.png"/><Relationship Id="rId65" Type="http://schemas.openxmlformats.org/officeDocument/2006/relationships/image" Target="media/image52.jpeg"/><Relationship Id="rId64" Type="http://schemas.openxmlformats.org/officeDocument/2006/relationships/image" Target="media/image51.jpeg"/><Relationship Id="rId63" Type="http://schemas.openxmlformats.org/officeDocument/2006/relationships/image" Target="media/image50.png"/><Relationship Id="rId62" Type="http://schemas.openxmlformats.org/officeDocument/2006/relationships/image" Target="media/image49.png"/><Relationship Id="rId61" Type="http://schemas.openxmlformats.org/officeDocument/2006/relationships/image" Target="media/image48.png"/><Relationship Id="rId60" Type="http://schemas.openxmlformats.org/officeDocument/2006/relationships/image" Target="media/image47.png"/><Relationship Id="rId6" Type="http://schemas.openxmlformats.org/officeDocument/2006/relationships/footer" Target="footer4.xml"/><Relationship Id="rId59" Type="http://schemas.openxmlformats.org/officeDocument/2006/relationships/image" Target="media/image46.png"/><Relationship Id="rId58" Type="http://schemas.openxmlformats.org/officeDocument/2006/relationships/image" Target="media/image45.emf"/><Relationship Id="rId57" Type="http://schemas.openxmlformats.org/officeDocument/2006/relationships/image" Target="media/image44.emf"/><Relationship Id="rId56" Type="http://schemas.openxmlformats.org/officeDocument/2006/relationships/image" Target="media/image43.emf"/><Relationship Id="rId55" Type="http://schemas.openxmlformats.org/officeDocument/2006/relationships/image" Target="media/image42.emf"/><Relationship Id="rId54" Type="http://schemas.openxmlformats.org/officeDocument/2006/relationships/oleObject" Target="embeddings/oleObject6.bin"/><Relationship Id="rId53" Type="http://schemas.openxmlformats.org/officeDocument/2006/relationships/image" Target="media/image41.emf"/><Relationship Id="rId52" Type="http://schemas.openxmlformats.org/officeDocument/2006/relationships/oleObject" Target="embeddings/oleObject5.bin"/><Relationship Id="rId51" Type="http://schemas.openxmlformats.org/officeDocument/2006/relationships/image" Target="media/image40.emf"/><Relationship Id="rId50" Type="http://schemas.openxmlformats.org/officeDocument/2006/relationships/oleObject" Target="embeddings/oleObject4.bin"/><Relationship Id="rId5" Type="http://schemas.openxmlformats.org/officeDocument/2006/relationships/footer" Target="footer3.xml"/><Relationship Id="rId49" Type="http://schemas.openxmlformats.org/officeDocument/2006/relationships/image" Target="media/image39.emf"/><Relationship Id="rId48" Type="http://schemas.openxmlformats.org/officeDocument/2006/relationships/oleObject" Target="embeddings/oleObject3.bin"/><Relationship Id="rId47" Type="http://schemas.openxmlformats.org/officeDocument/2006/relationships/image" Target="media/image38.png"/><Relationship Id="rId46" Type="http://schemas.openxmlformats.org/officeDocument/2006/relationships/image" Target="media/image37.png"/><Relationship Id="rId45" Type="http://schemas.openxmlformats.org/officeDocument/2006/relationships/image" Target="media/image36.png"/><Relationship Id="rId44" Type="http://schemas.openxmlformats.org/officeDocument/2006/relationships/image" Target="media/image35.png"/><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footer" Target="footer2.xml"/><Relationship Id="rId39" Type="http://schemas.openxmlformats.org/officeDocument/2006/relationships/image" Target="media/image30.png"/><Relationship Id="rId38" Type="http://schemas.openxmlformats.org/officeDocument/2006/relationships/image" Target="media/image29.jpeg"/><Relationship Id="rId37" Type="http://schemas.openxmlformats.org/officeDocument/2006/relationships/image" Target="media/image28.jpeg"/><Relationship Id="rId36" Type="http://schemas.openxmlformats.org/officeDocument/2006/relationships/image" Target="media/image27.jpeg"/><Relationship Id="rId35" Type="http://schemas.openxmlformats.org/officeDocument/2006/relationships/image" Target="media/image26.jpeg"/><Relationship Id="rId34" Type="http://schemas.openxmlformats.org/officeDocument/2006/relationships/image" Target="media/image25.jpe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footer" Target="foot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emf"/><Relationship Id="rId23" Type="http://schemas.openxmlformats.org/officeDocument/2006/relationships/oleObject" Target="embeddings/oleObject2.bin"/><Relationship Id="rId22" Type="http://schemas.openxmlformats.org/officeDocument/2006/relationships/image" Target="media/image14.emf"/><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emf"/><Relationship Id="rId18" Type="http://schemas.openxmlformats.org/officeDocument/2006/relationships/oleObject" Target="embeddings/oleObject1.bin"/><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2"/>
    <customShpInfo spid="_x0000_s2051"/>
    <customShpInfo spid="_x0000_s2050"/>
    <customShpInfo spid="_x0000_s2049"/>
    <customShpInfo spid="_x0000_s1026"/>
    <customShpInfo spid="_x0000_s103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CF3032-1942-44AA-8A50-EA86521DF5AA}">
  <ds:schemaRefs/>
</ds:datastoreItem>
</file>

<file path=docProps/app.xml><?xml version="1.0" encoding="utf-8"?>
<Properties xmlns="http://schemas.openxmlformats.org/officeDocument/2006/extended-properties" xmlns:vt="http://schemas.openxmlformats.org/officeDocument/2006/docPropsVTypes">
  <Template>Normal</Template>
  <Pages>95</Pages>
  <Words>6370</Words>
  <Characters>7158</Characters>
  <Lines>521</Lines>
  <Paragraphs>146</Paragraphs>
  <TotalTime>2</TotalTime>
  <ScaleCrop>false</ScaleCrop>
  <LinksUpToDate>false</LinksUpToDate>
  <CharactersWithSpaces>7664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2023-12-13T00:20:00Z</dcterms:created>
  <dc:creator>FiVe   .</dc:creator>
  <cp:lastModifiedBy>Y。</cp:lastModifiedBy>
  <cp:lastPrinted>2024-03-22T09:32:00Z</cp:lastPrinted>
  <dcterms:modified xsi:type="dcterms:W3CDTF">2025-07-23T03:21:29Z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CE4BFE5F80E34182BF0A674C64CAC6E6_13</vt:lpwstr>
  </property>
  <property fmtid="{D5CDD505-2E9C-101B-9397-08002B2CF9AE}" pid="4" name="KSOTemplateDocerSaveRecord">
    <vt:lpwstr>eyJoZGlkIjoiMDEyODc1NmM0MDdiNDVlMzlkNjE3NmQ3Y2VkNmQzYTIiLCJ1c2VySWQiOiIzMjcwMDI1OTAifQ==</vt:lpwstr>
  </property>
</Properties>
</file>