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>
      <w:pPr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广州市建筑业联合会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法律服务与纠纷调解工作委员会成员名单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主  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张江华  广州市建筑业联合会 副会长兼秘书长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执行主任：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龚军伟  广东华宪润科律师事务所 首席合伙人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副主任：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陈明东  中国建筑第四工程局有限公司 审计部副总经理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何  军  广东红棉律师事务所 高级合伙人、律师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委  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王权典  华南农业大学文法学院 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刘云生  广州大学法学院 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陈育虹  广东启源律师事务所 高级合伙人、律师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徐  略  广东梁亮建筑工程有限公司 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张  芳  广州机施建设集团有限公司 合规部总经理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C7DBDAE-BDFF-4355-BC10-A74FBCBBDAA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2" w:fontKey="{03E05077-7B2A-4A6D-9102-D0D25C83215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EAC8F33-1318-4B82-8114-7FCBF367C73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6689A0B8-8694-4959-95B0-8BC6536A7112}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armonyOS Sans SC">
    <w:panose1 w:val="00000500000000000000"/>
    <w:charset w:val="86"/>
    <w:family w:val="auto"/>
    <w:pitch w:val="default"/>
    <w:sig w:usb0="00000001" w:usb1="08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14B90"/>
    <w:rsid w:val="1A4141BF"/>
    <w:rsid w:val="26BF3F9F"/>
    <w:rsid w:val="32E14B90"/>
    <w:rsid w:val="368800D1"/>
    <w:rsid w:val="5BEA45FF"/>
    <w:rsid w:val="6FB72056"/>
    <w:rsid w:val="7026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8</TotalTime>
  <ScaleCrop>false</ScaleCrop>
  <LinksUpToDate>false</LinksUpToDate>
  <CharactersWithSpaces>247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2025-06-24T03:44:00Z</dcterms:created>
  <dc:creator>yanshuhan</dc:creator>
  <cp:lastModifiedBy>888</cp:lastModifiedBy>
  <cp:lastPrinted>2025-06-24T06:36:00Z</cp:lastPrinted>
  <dcterms:modified xsi:type="dcterms:W3CDTF">2025-06-24T11:58:29Z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7947FD353FF2466685D8C8F22E24BE20_13</vt:lpwstr>
  </property>
  <property fmtid="{D5CDD505-2E9C-101B-9397-08002B2CF9AE}" pid="4" name="KSOTemplateDocerSaveRecord">
    <vt:lpwstr>eyJoZGlkIjoiOTUzMWY3YjBkYWMxZmY3MTg4Y2YwMmU1ZmYwNWYyYjQiLCJ1c2VySWQiOiI0Mzg0MjEwMjAifQ==</vt:lpwstr>
  </property>
</Properties>
</file>