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attachedToolbars.bin" ContentType="application/vnd.ms-word.attachedToolbars"/>
  <Override PartName="/word/customizations.xml" ContentType="application/vnd.ms-word.keyMapCustomization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notes.xml" ContentType="application/vnd.openxmlformats-officedocument.wordprocessingml.footnotes+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28"/>
        <w:tblW w:w="9364"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509"/>
        <w:gridCol w:w="8855"/>
      </w:tblGrid>
      <w:tr w14:paraId="58C0E21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509" w:type="dxa"/>
          </w:tcPr>
          <w:p w14:paraId="410552B3">
            <w:pPr>
              <w:pStyle w:val="18"/>
              <w:framePr w:wrap="notBeside" w:vAnchor="page" w:hAnchor="page" w:x="1372" w:y="568"/>
              <w:tabs>
                <w:tab w:val="clear" w:pos="4153"/>
                <w:tab w:val="clear" w:pos="8306"/>
              </w:tabs>
              <w:spacing w:line="240" w:lineRule="auto"/>
              <w:jc w:val="center"/>
              <w:rPr>
                <w:rFonts w:hint="default" w:ascii="Times New Roman" w:hAnsi="Times New Roman" w:eastAsia="黑体" w:cs="Times New Roman"/>
                <w:sz w:val="21"/>
                <w:szCs w:val="21"/>
              </w:rPr>
            </w:pPr>
          </w:p>
        </w:tc>
        <w:tc>
          <w:tcPr>
            <w:tcW w:w="8855" w:type="dxa"/>
          </w:tcPr>
          <w:p w14:paraId="2BB001AB">
            <w:pPr>
              <w:pStyle w:val="18"/>
              <w:framePr w:wrap="notBeside" w:vAnchor="page" w:hAnchor="page" w:x="1372" w:y="568"/>
              <w:tabs>
                <w:tab w:val="clear" w:pos="4153"/>
                <w:tab w:val="clear" w:pos="8306"/>
              </w:tabs>
              <w:spacing w:line="240" w:lineRule="auto"/>
              <w:jc w:val="both"/>
              <w:rPr>
                <w:rFonts w:hint="default" w:ascii="Times New Roman" w:hAnsi="Times New Roman" w:eastAsia="黑体" w:cs="Times New Roman"/>
                <w:sz w:val="21"/>
                <w:szCs w:val="21"/>
                <w:lang w:val="en-US" w:eastAsia="zh-CN"/>
              </w:rPr>
            </w:pPr>
          </w:p>
        </w:tc>
      </w:tr>
      <w:tr w14:paraId="54911E2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509" w:type="dxa"/>
          </w:tcPr>
          <w:p w14:paraId="3E942FB7">
            <w:pPr>
              <w:pStyle w:val="18"/>
              <w:framePr w:wrap="notBeside" w:vAnchor="page" w:hAnchor="page" w:x="1372" w:y="568"/>
              <w:tabs>
                <w:tab w:val="clear" w:pos="4153"/>
                <w:tab w:val="clear" w:pos="8306"/>
              </w:tabs>
              <w:spacing w:before="40" w:line="240" w:lineRule="auto"/>
              <w:jc w:val="center"/>
              <w:rPr>
                <w:rFonts w:hint="default" w:ascii="Times New Roman" w:hAnsi="Times New Roman" w:eastAsia="黑体" w:cs="Times New Roman"/>
                <w:sz w:val="21"/>
                <w:szCs w:val="21"/>
                <w:lang w:val="en-US" w:eastAsia="zh-CN"/>
              </w:rPr>
            </w:pPr>
          </w:p>
        </w:tc>
        <w:tc>
          <w:tcPr>
            <w:tcW w:w="8855" w:type="dxa"/>
          </w:tcPr>
          <w:p w14:paraId="4E3BFEAD">
            <w:pPr>
              <w:pStyle w:val="18"/>
              <w:framePr w:wrap="notBeside" w:vAnchor="page" w:hAnchor="page" w:x="1372" w:y="568"/>
              <w:tabs>
                <w:tab w:val="clear" w:pos="4153"/>
                <w:tab w:val="clear" w:pos="8306"/>
              </w:tabs>
              <w:spacing w:before="40" w:line="240" w:lineRule="auto"/>
              <w:jc w:val="left"/>
              <w:rPr>
                <w:rFonts w:hint="default" w:ascii="Times New Roman" w:hAnsi="Times New Roman" w:eastAsia="黑体" w:cs="Times New Roman"/>
                <w:sz w:val="21"/>
                <w:szCs w:val="21"/>
                <w:lang w:val="en-US" w:eastAsia="zh-CN"/>
              </w:rPr>
            </w:pPr>
          </w:p>
        </w:tc>
      </w:tr>
    </w:tbl>
    <w:p w14:paraId="0FBAC13E">
      <w:pPr>
        <w:pStyle w:val="51"/>
        <w:framePr w:w="9639" w:h="624" w:hRule="exact" w:hSpace="181" w:vSpace="181" w:wrap="around" w:hAnchor="page" w:x="1305" w:y="2269"/>
        <w:rPr>
          <w:rFonts w:hint="default" w:ascii="Times New Roman" w:hAnsi="Times New Roman" w:eastAsia="黑体" w:cs="Times New Roman"/>
          <w:b w:val="0"/>
          <w:bCs w:val="0"/>
          <w:w w:val="100"/>
          <w:sz w:val="48"/>
          <w:szCs w:val="48"/>
        </w:rPr>
      </w:pPr>
      <w:bookmarkStart w:id="0" w:name="_Hlk26473981"/>
      <w:r>
        <w:rPr>
          <w:rFonts w:hint="default" w:ascii="Times New Roman" w:hAnsi="Times New Roman" w:eastAsia="黑体" w:cs="Times New Roman"/>
          <w:b w:val="0"/>
          <w:w w:val="100"/>
          <w:sz w:val="48"/>
        </w:rPr>
        <w:t>团体</w:t>
      </w:r>
      <w:r>
        <w:rPr>
          <w:rFonts w:hint="default" w:ascii="Times New Roman" w:hAnsi="Times New Roman" w:eastAsia="黑体" w:cs="Times New Roman"/>
          <w:b w:val="0"/>
          <w:bCs w:val="0"/>
          <w:w w:val="100"/>
          <w:sz w:val="48"/>
          <w:szCs w:val="48"/>
        </w:rPr>
        <w:t>标准</w:t>
      </w:r>
    </w:p>
    <w:bookmarkEnd w:id="0"/>
    <w:p w14:paraId="337412C9">
      <w:pPr>
        <w:pStyle w:val="196"/>
        <w:rPr>
          <w:rFonts w:hint="default" w:ascii="Times New Roman" w:hAnsi="Times New Roman" w:eastAsia="黑体" w:cs="Times New Roman"/>
          <w:lang w:val="en-US" w:eastAsia="zh-CN"/>
        </w:rPr>
      </w:pPr>
      <w:r>
        <w:rPr>
          <w:rFonts w:hint="default" w:ascii="Times New Roman" w:hAnsi="Times New Roman" w:cs="Times New Roman"/>
        </w:rPr>
        <w:t>T/</w:t>
      </w:r>
      <w:r>
        <w:rPr>
          <w:rFonts w:hint="default" w:ascii="Times New Roman" w:hAnsi="Times New Roman" w:cs="Times New Roman"/>
          <w:bCs/>
          <w:sz w:val="28"/>
          <w:szCs w:val="28"/>
          <w:lang w:val="en-US" w:eastAsia="zh-CN" w:bidi="ar-SA"/>
        </w:rPr>
        <w:t>GZSCIA XXX</w:t>
      </w:r>
      <w:r>
        <w:rPr>
          <w:rFonts w:hint="default" w:ascii="Times New Roman" w:hAnsi="Times New Roman" w:cs="Times New Roman"/>
        </w:rPr>
        <w:t>—</w:t>
      </w:r>
      <w:r>
        <w:rPr>
          <w:rFonts w:hint="default" w:ascii="Times New Roman" w:hAnsi="Times New Roman" w:cs="Times New Roman"/>
          <w:bCs/>
          <w:sz w:val="28"/>
          <w:szCs w:val="28"/>
          <w:lang w:val="en-US" w:eastAsia="zh-CN" w:bidi="ar-SA"/>
        </w:rPr>
        <w:t>2025</w:t>
      </w:r>
    </w:p>
    <w:p w14:paraId="1C35BAF7">
      <w:pPr>
        <w:pStyle w:val="197"/>
        <w:rPr>
          <w:rFonts w:hint="default" w:ascii="Times New Roman" w:hAnsi="Times New Roman" w:eastAsia="黑体" w:cs="Times New Roman"/>
          <w:lang w:val="en-US" w:eastAsia="zh-CN"/>
        </w:rPr>
      </w:pPr>
    </w:p>
    <w:p w14:paraId="674AFC91">
      <w:pPr>
        <w:spacing w:line="240" w:lineRule="auto"/>
        <w:rPr>
          <w:rFonts w:hint="default" w:ascii="Times New Roman" w:hAnsi="Times New Roman" w:eastAsia="黑体" w:cs="Times New Roman"/>
          <w:kern w:val="0"/>
          <w:sz w:val="10"/>
          <w:szCs w:val="10"/>
        </w:rPr>
      </w:pPr>
      <w:r>
        <w:rPr>
          <w:rFonts w:hint="default" w:ascii="Times New Roman" w:hAnsi="Times New Roman" w:eastAsia="黑体" w:cs="Times New Roman"/>
          <w:kern w:val="0"/>
          <w:sz w:val="10"/>
          <w:szCs w:val="10"/>
        </w:rPr>
        <mc:AlternateContent>
          <mc:Choice Requires="wps">
            <w:drawing>
              <wp:anchor distT="0" distB="0" distL="114300" distR="114300" simplePos="0" relativeHeight="251660288" behindDoc="0" locked="0" layoutInCell="1" allowOverlap="0">
                <wp:simplePos x="0" y="0"/>
                <wp:positionH relativeFrom="page">
                  <wp:posOffset>900430</wp:posOffset>
                </wp:positionH>
                <wp:positionV relativeFrom="page">
                  <wp:posOffset>2700655</wp:posOffset>
                </wp:positionV>
                <wp:extent cx="6120130" cy="0"/>
                <wp:effectExtent l="0" t="0" r="0" b="0"/>
                <wp:wrapNone/>
                <wp:docPr id="73" name="直接连接符 73"/>
                <wp:cNvGraphicFramePr/>
                <a:graphic xmlns:a="http://schemas.openxmlformats.org/drawingml/2006/main">
                  <a:graphicData uri="http://schemas.microsoft.com/office/word/2010/wordprocessingShape">
                    <wps:wsp>
                      <wps:cNvCnPr>
                        <a:cxnSpLocks noChangeShapeType="1"/>
                      </wps:cNvCnPr>
                      <wps:spPr bwMode="auto">
                        <a:xfrm>
                          <a:off x="0" y="0"/>
                          <a:ext cx="6120000" cy="0"/>
                        </a:xfrm>
                        <a:prstGeom prst="line">
                          <a:avLst/>
                        </a:prstGeom>
                        <a:noFill/>
                        <a:ln w="9525">
                          <a:solidFill>
                            <a:srgbClr val="000000"/>
                          </a:solidFill>
                          <a:round/>
                        </a:ln>
                      </wps:spPr>
                      <wps:bodyPr/>
                    </wps:wsp>
                  </a:graphicData>
                </a:graphic>
              </wp:anchor>
            </w:drawing>
          </mc:Choice>
          <mc:Fallback>
            <w:pict>
              <v:line id="_x0000_s1026" o:spid="_x0000_s1026" o:spt="20" style="position:absolute;left:0pt;margin-left:70.9pt;margin-top:212.65pt;height:0pt;width:481.9pt;mso-position-horizontal-relative:page;mso-position-vertical-relative:page;z-index:251660288;mso-width-relative:page;mso-height-relative:page;" filled="f" stroked="t" coordsize="21600,21600" o:allowoverlap="f" o:gfxdata="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Ang0mW2AAA&#10;AAwBAAAPAAAAAAAAAAEAIAAAACIAAABkcnMvZG93bnJldi54bWxQSwECFAAUAAAACACHTuJAu+DK&#10;ZuUBAACsAwAADgAAAAAAAAABACAAAAAnAQAAZHJzL2Uyb0RvYy54bWxQSwUGAAAAAAYABgBZAQAA&#10;fgUAAAAA&#10;">
                <v:fill on="f" focussize="0,0"/>
                <v:stroke color="#000000" joinstyle="round"/>
                <v:imagedata o:title=""/>
                <o:lock v:ext="edit" aspectratio="f"/>
              </v:line>
            </w:pict>
          </mc:Fallback>
        </mc:AlternateContent>
      </w:r>
    </w:p>
    <w:p w14:paraId="0B1C9A33">
      <w:pPr>
        <w:pStyle w:val="51"/>
        <w:framePr w:w="9639" w:h="6976" w:hRule="exact" w:hSpace="0" w:vSpace="0" w:wrap="around" w:hAnchor="page" w:y="6408"/>
        <w:jc w:val="center"/>
        <w:rPr>
          <w:rFonts w:hint="default" w:ascii="Times New Roman" w:hAnsi="Times New Roman" w:eastAsia="黑体" w:cs="Times New Roman"/>
          <w:b w:val="0"/>
          <w:bCs w:val="0"/>
          <w:w w:val="100"/>
        </w:rPr>
      </w:pPr>
    </w:p>
    <w:p w14:paraId="0009B577">
      <w:pPr>
        <w:pStyle w:val="198"/>
        <w:framePr w:h="6974" w:hRule="exact" w:wrap="around" w:x="1419" w:anchorLock="1"/>
        <w:rPr>
          <w:rFonts w:hint="default" w:ascii="Times New Roman" w:hAnsi="Times New Roman" w:cs="Times New Roman"/>
        </w:rPr>
      </w:pPr>
      <w:bookmarkStart w:id="1" w:name="CSTD_NAME"/>
      <w:r>
        <w:rPr>
          <w:rFonts w:hint="default" w:ascii="Times New Roman" w:hAnsi="Times New Roman" w:eastAsia="黑体" w:cs="Times New Roman"/>
          <w:bCs/>
          <w:sz w:val="52"/>
          <w:lang w:val="en-US" w:eastAsia="zh-CN" w:bidi="ar-SA"/>
        </w:rPr>
        <w:t>广州市工程建设企业信用等级评价规范</w:t>
      </w:r>
      <w:bookmarkEnd w:id="1"/>
    </w:p>
    <w:p w14:paraId="36DD9C9A">
      <w:pPr>
        <w:framePr w:w="9639" w:h="6974" w:hRule="exact" w:wrap="around" w:vAnchor="page" w:hAnchor="page" w:x="1419" w:y="6408" w:anchorLock="1"/>
        <w:ind w:left="-1418"/>
        <w:rPr>
          <w:rFonts w:hint="default" w:ascii="Times New Roman" w:hAnsi="Times New Roman" w:cs="Times New Roman"/>
        </w:rPr>
      </w:pPr>
    </w:p>
    <w:p w14:paraId="3846203A">
      <w:pPr>
        <w:pStyle w:val="126"/>
        <w:framePr w:w="9639" w:h="6974" w:hRule="exact" w:wrap="around" w:vAnchor="page" w:hAnchor="page" w:x="1419" w:y="6408" w:anchorLock="1"/>
        <w:textAlignment w:val="bottom"/>
        <w:rPr>
          <w:rFonts w:hint="default" w:ascii="Times New Roman" w:hAnsi="Times New Roman" w:eastAsia="黑体" w:cs="Times New Roman"/>
          <w:szCs w:val="28"/>
        </w:rPr>
      </w:pPr>
      <w:bookmarkStart w:id="2" w:name="ESTD_NAME"/>
      <w:r>
        <w:rPr>
          <w:rFonts w:hint="default" w:ascii="Times New Roman" w:hAnsi="Times New Roman" w:eastAsia="黑体" w:cs="Times New Roman"/>
          <w:sz w:val="28"/>
          <w:szCs w:val="28"/>
          <w:lang w:val="en-US" w:eastAsia="zh-CN" w:bidi="ar-SA"/>
        </w:rPr>
        <w:t>Credit rating evaluation norms for construction enterprise in Guangzhou</w:t>
      </w:r>
      <w:bookmarkEnd w:id="2"/>
    </w:p>
    <w:p w14:paraId="5B97961F">
      <w:pPr>
        <w:framePr w:w="9639" w:h="6974" w:hRule="exact" w:wrap="around" w:vAnchor="page" w:hAnchor="page" w:x="1419" w:y="6408" w:anchorLock="1"/>
        <w:spacing w:line="760" w:lineRule="exact"/>
        <w:ind w:left="-1418"/>
        <w:rPr>
          <w:rFonts w:hint="default" w:ascii="Times New Roman" w:hAnsi="Times New Roman" w:cs="Times New Roman"/>
        </w:rPr>
      </w:pPr>
    </w:p>
    <w:p w14:paraId="59FE154E">
      <w:pPr>
        <w:pStyle w:val="126"/>
        <w:framePr w:w="9639" w:h="6974" w:hRule="exact" w:wrap="around" w:vAnchor="page" w:hAnchor="page" w:x="1419" w:y="6408" w:anchorLock="1"/>
        <w:textAlignment w:val="bottom"/>
        <w:rPr>
          <w:rFonts w:hint="default" w:ascii="Times New Roman" w:hAnsi="Times New Roman" w:eastAsia="黑体" w:cs="Times New Roman"/>
          <w:szCs w:val="28"/>
        </w:rPr>
      </w:pPr>
    </w:p>
    <w:p w14:paraId="10869ACD">
      <w:pPr>
        <w:pStyle w:val="126"/>
        <w:framePr w:w="9639" w:h="6974" w:hRule="exact" w:wrap="around" w:vAnchor="page" w:hAnchor="page" w:x="1419" w:y="6408" w:anchorLock="1"/>
        <w:textAlignment w:val="bottom"/>
        <w:rPr>
          <w:rFonts w:hint="default" w:ascii="Times New Roman" w:hAnsi="Times New Roman" w:eastAsia="黑体" w:cs="Times New Roman"/>
          <w:sz w:val="36"/>
          <w:szCs w:val="36"/>
        </w:rPr>
      </w:pPr>
      <w:r>
        <w:rPr>
          <w:rFonts w:hint="default" w:ascii="Times New Roman" w:hAnsi="Times New Roman" w:cs="Times New Roman"/>
          <w:sz w:val="32"/>
          <w:szCs w:val="36"/>
        </w:rPr>
        <w:t>（征求意见稿）</w:t>
      </w:r>
    </w:p>
    <w:p w14:paraId="516B7255">
      <w:pPr>
        <w:pStyle w:val="126"/>
        <w:framePr w:w="9639" w:h="6974" w:hRule="exact" w:wrap="around" w:vAnchor="page" w:hAnchor="page" w:x="1419" w:y="6408" w:anchorLock="1"/>
        <w:spacing w:before="720" w:beforeLines="300" w:after="72" w:afterLines="30" w:line="240" w:lineRule="auto"/>
        <w:textAlignment w:val="bottom"/>
        <w:rPr>
          <w:rFonts w:hint="default" w:ascii="Times New Roman" w:hAnsi="Times New Roman" w:cs="Times New Roman"/>
          <w:b/>
          <w:sz w:val="21"/>
          <w:szCs w:val="28"/>
        </w:rPr>
      </w:pPr>
    </w:p>
    <w:p w14:paraId="5F80A07C">
      <w:pPr>
        <w:pStyle w:val="194"/>
        <w:framePr w:wrap="around" w:y="14176"/>
        <w:rPr>
          <w:rFonts w:hint="default" w:ascii="Times New Roman" w:hAnsi="Times New Roman" w:cs="Times New Roman"/>
        </w:rPr>
      </w:pPr>
      <w:r>
        <w:rPr>
          <w:rFonts w:hint="default" w:ascii="Times New Roman" w:hAnsi="Times New Roman" w:cs="Times New Roman"/>
          <w:lang w:val="en-US" w:eastAsia="zh-CN"/>
        </w:rPr>
        <w:t>2025</w:t>
      </w:r>
      <w:r>
        <w:rPr>
          <w:rFonts w:hint="default" w:ascii="Times New Roman" w:hAnsi="Times New Roman" w:cs="Times New Roman"/>
        </w:rPr>
        <w:t xml:space="preserve"> - </w:t>
      </w:r>
      <w:r>
        <w:rPr>
          <w:rFonts w:hint="default" w:ascii="Times New Roman" w:hAnsi="Times New Roman" w:cs="Times New Roman"/>
        </w:rPr>
        <w:fldChar w:fldCharType="begin">
          <w:ffData>
            <w:name w:val="PLSH_DATE_M"/>
            <w:enabled/>
            <w:calcOnExit w:val="0"/>
            <w:textInput>
              <w:default w:val="XX"/>
              <w:maxLength w:val="2"/>
            </w:textInput>
          </w:ffData>
        </w:fldChar>
      </w:r>
      <w:bookmarkStart w:id="3" w:name="PLSH_DATE_M"/>
      <w:r>
        <w:rPr>
          <w:rFonts w:hint="default" w:ascii="Times New Roman" w:hAnsi="Times New Roman" w:cs="Times New Roman"/>
        </w:rPr>
        <w:instrText xml:space="preserve"> FORMTEXT </w:instrText>
      </w:r>
      <w:r>
        <w:rPr>
          <w:rFonts w:hint="default" w:ascii="Times New Roman" w:hAnsi="Times New Roman" w:cs="Times New Roman"/>
        </w:rPr>
        <w:fldChar w:fldCharType="separate"/>
      </w:r>
      <w:r>
        <w:rPr>
          <w:rFonts w:hint="default" w:ascii="Times New Roman" w:hAnsi="Times New Roman" w:cs="Times New Roman"/>
        </w:rPr>
        <w:t>XX</w:t>
      </w:r>
      <w:r>
        <w:rPr>
          <w:rFonts w:hint="default" w:ascii="Times New Roman" w:hAnsi="Times New Roman" w:cs="Times New Roman"/>
        </w:rPr>
        <w:fldChar w:fldCharType="end"/>
      </w:r>
      <w:bookmarkEnd w:id="3"/>
      <w:r>
        <w:rPr>
          <w:rFonts w:hint="default" w:ascii="Times New Roman" w:hAnsi="Times New Roman" w:cs="Times New Roman"/>
        </w:rPr>
        <w:t xml:space="preserve"> - </w:t>
      </w:r>
      <w:r>
        <w:rPr>
          <w:rFonts w:hint="default" w:ascii="Times New Roman" w:hAnsi="Times New Roman" w:cs="Times New Roman"/>
        </w:rPr>
        <w:fldChar w:fldCharType="begin">
          <w:ffData>
            <w:name w:val="PLSH_DATE_D"/>
            <w:enabled/>
            <w:calcOnExit w:val="0"/>
            <w:textInput>
              <w:default w:val="XX"/>
              <w:maxLength w:val="2"/>
            </w:textInput>
          </w:ffData>
        </w:fldChar>
      </w:r>
      <w:bookmarkStart w:id="4" w:name="PLSH_DATE_D"/>
      <w:r>
        <w:rPr>
          <w:rFonts w:hint="default" w:ascii="Times New Roman" w:hAnsi="Times New Roman" w:cs="Times New Roman"/>
        </w:rPr>
        <w:instrText xml:space="preserve"> FORMTEXT </w:instrText>
      </w:r>
      <w:r>
        <w:rPr>
          <w:rFonts w:hint="default" w:ascii="Times New Roman" w:hAnsi="Times New Roman" w:cs="Times New Roman"/>
        </w:rPr>
        <w:fldChar w:fldCharType="separate"/>
      </w:r>
      <w:r>
        <w:rPr>
          <w:rFonts w:hint="default" w:ascii="Times New Roman" w:hAnsi="Times New Roman" w:cs="Times New Roman"/>
        </w:rPr>
        <w:t>XX</w:t>
      </w:r>
      <w:r>
        <w:rPr>
          <w:rFonts w:hint="default" w:ascii="Times New Roman" w:hAnsi="Times New Roman" w:cs="Times New Roman"/>
        </w:rPr>
        <w:fldChar w:fldCharType="end"/>
      </w:r>
      <w:bookmarkEnd w:id="4"/>
      <w:r>
        <w:rPr>
          <w:rFonts w:hint="default" w:ascii="Times New Roman" w:hAnsi="Times New Roman" w:cs="Times New Roman"/>
        </w:rPr>
        <w:t>发布</w:t>
      </w:r>
    </w:p>
    <w:p w14:paraId="09136F66">
      <w:pPr>
        <w:pStyle w:val="195"/>
        <w:framePr w:wrap="around" w:y="14176"/>
        <w:rPr>
          <w:rFonts w:hint="default" w:ascii="Times New Roman" w:hAnsi="Times New Roman" w:cs="Times New Roman"/>
        </w:rPr>
      </w:pPr>
      <w:r>
        <w:rPr>
          <w:rFonts w:hint="default" w:ascii="Times New Roman" w:hAnsi="Times New Roman" w:cs="Times New Roman"/>
          <w:lang w:val="en-US" w:eastAsia="zh-CN"/>
        </w:rPr>
        <w:t>2025</w:t>
      </w:r>
      <w:r>
        <w:rPr>
          <w:rFonts w:hint="default" w:ascii="Times New Roman" w:hAnsi="Times New Roman" w:cs="Times New Roman"/>
        </w:rPr>
        <w:t xml:space="preserve"> - </w:t>
      </w:r>
      <w:r>
        <w:rPr>
          <w:rFonts w:hint="default" w:ascii="Times New Roman" w:hAnsi="Times New Roman" w:cs="Times New Roman"/>
        </w:rPr>
        <w:fldChar w:fldCharType="begin">
          <w:ffData>
            <w:name w:val="CROT_DATE_M"/>
            <w:enabled/>
            <w:calcOnExit w:val="0"/>
            <w:textInput>
              <w:default w:val="XX"/>
              <w:maxLength w:val="2"/>
            </w:textInput>
          </w:ffData>
        </w:fldChar>
      </w:r>
      <w:bookmarkStart w:id="5" w:name="CROT_DATE_M"/>
      <w:r>
        <w:rPr>
          <w:rFonts w:hint="default" w:ascii="Times New Roman" w:hAnsi="Times New Roman" w:cs="Times New Roman"/>
        </w:rPr>
        <w:instrText xml:space="preserve"> FORMTEXT </w:instrText>
      </w:r>
      <w:r>
        <w:rPr>
          <w:rFonts w:hint="default" w:ascii="Times New Roman" w:hAnsi="Times New Roman" w:cs="Times New Roman"/>
        </w:rPr>
        <w:fldChar w:fldCharType="separate"/>
      </w:r>
      <w:r>
        <w:rPr>
          <w:rFonts w:hint="default" w:ascii="Times New Roman" w:hAnsi="Times New Roman" w:cs="Times New Roman"/>
        </w:rPr>
        <w:t>XX</w:t>
      </w:r>
      <w:r>
        <w:rPr>
          <w:rFonts w:hint="default" w:ascii="Times New Roman" w:hAnsi="Times New Roman" w:cs="Times New Roman"/>
        </w:rPr>
        <w:fldChar w:fldCharType="end"/>
      </w:r>
      <w:bookmarkEnd w:id="5"/>
      <w:r>
        <w:rPr>
          <w:rFonts w:hint="default" w:ascii="Times New Roman" w:hAnsi="Times New Roman" w:cs="Times New Roman"/>
        </w:rPr>
        <w:t xml:space="preserve"> - </w:t>
      </w:r>
      <w:r>
        <w:rPr>
          <w:rFonts w:hint="default" w:ascii="Times New Roman" w:hAnsi="Times New Roman" w:cs="Times New Roman"/>
        </w:rPr>
        <w:fldChar w:fldCharType="begin">
          <w:ffData>
            <w:name w:val="CROT_DATE_D"/>
            <w:enabled/>
            <w:calcOnExit w:val="0"/>
            <w:textInput>
              <w:default w:val="XX"/>
              <w:maxLength w:val="2"/>
            </w:textInput>
          </w:ffData>
        </w:fldChar>
      </w:r>
      <w:bookmarkStart w:id="6" w:name="CROT_DATE_D"/>
      <w:r>
        <w:rPr>
          <w:rFonts w:hint="default" w:ascii="Times New Roman" w:hAnsi="Times New Roman" w:cs="Times New Roman"/>
        </w:rPr>
        <w:instrText xml:space="preserve"> FORMTEXT </w:instrText>
      </w:r>
      <w:r>
        <w:rPr>
          <w:rFonts w:hint="default" w:ascii="Times New Roman" w:hAnsi="Times New Roman" w:cs="Times New Roman"/>
        </w:rPr>
        <w:fldChar w:fldCharType="separate"/>
      </w:r>
      <w:r>
        <w:rPr>
          <w:rFonts w:hint="default" w:ascii="Times New Roman" w:hAnsi="Times New Roman" w:cs="Times New Roman"/>
        </w:rPr>
        <w:t>XX</w:t>
      </w:r>
      <w:r>
        <w:rPr>
          <w:rFonts w:hint="default" w:ascii="Times New Roman" w:hAnsi="Times New Roman" w:cs="Times New Roman"/>
        </w:rPr>
        <w:fldChar w:fldCharType="end"/>
      </w:r>
      <w:bookmarkEnd w:id="6"/>
      <w:r>
        <w:rPr>
          <w:rFonts w:hint="default" w:ascii="Times New Roman" w:hAnsi="Times New Roman" w:cs="Times New Roman"/>
        </w:rPr>
        <w:t>实施</w:t>
      </w:r>
    </w:p>
    <w:p w14:paraId="4730BB63">
      <w:pPr>
        <w:pStyle w:val="152"/>
        <w:framePr w:h="584" w:hRule="exact" w:hSpace="181" w:vSpace="181" w:wrap="around" w:y="14800"/>
        <w:rPr>
          <w:rFonts w:hint="default" w:ascii="Times New Roman" w:hAnsi="Times New Roman" w:cs="Times New Roman"/>
        </w:rPr>
      </w:pPr>
      <w:r>
        <w:rPr>
          <w:rFonts w:hint="default" w:ascii="Times New Roman" w:hAnsi="Times New Roman" w:cs="Times New Roman"/>
          <w:w w:val="100"/>
          <w:sz w:val="28"/>
        </w:rPr>
        <w:t>广州市建筑业联合会  </w:t>
      </w:r>
      <w:r>
        <w:rPr>
          <w:rStyle w:val="230"/>
          <w:rFonts w:hint="default" w:ascii="Times New Roman" w:hAnsi="Times New Roman" w:cs="Times New Roman"/>
          <w:position w:val="0"/>
        </w:rPr>
        <w:t>发</w:t>
      </w:r>
      <w:r>
        <w:rPr>
          <w:rStyle w:val="230"/>
          <w:rFonts w:hint="default" w:ascii="Times New Roman" w:hAnsi="Times New Roman" w:cs="Times New Roman"/>
          <w:spacing w:val="0"/>
          <w:position w:val="0"/>
        </w:rPr>
        <w:t>布</w:t>
      </w:r>
    </w:p>
    <w:p w14:paraId="0357ADB2">
      <w:pPr>
        <w:rPr>
          <w:rFonts w:hint="default" w:ascii="Times New Roman" w:hAnsi="Times New Roman" w:cs="Times New Roman"/>
          <w:sz w:val="28"/>
          <w:szCs w:val="28"/>
        </w:rPr>
        <w:sectPr>
          <w:headerReference r:id="rId6" w:type="first"/>
          <w:footerReference r:id="rId8" w:type="first"/>
          <w:headerReference r:id="rId5" w:type="default"/>
          <w:footerReference r:id="rId7" w:type="even"/>
          <w:type w:val="continuous"/>
          <w:pgSz w:w="11906" w:h="16838"/>
          <w:pgMar w:top="567" w:right="1134" w:bottom="1134" w:left="1134" w:header="1418" w:footer="1134" w:gutter="284"/>
          <w:pgBorders>
            <w:top w:val="none" w:sz="0" w:space="0"/>
            <w:left w:val="none" w:sz="0" w:space="0"/>
            <w:bottom w:val="none" w:sz="0" w:space="0"/>
            <w:right w:val="none" w:sz="0" w:space="0"/>
          </w:pgBorders>
          <w:cols w:space="425" w:num="1"/>
          <w:titlePg/>
          <w:docGrid w:linePitch="312" w:charSpace="0"/>
        </w:sectPr>
      </w:pPr>
      <w:r>
        <w:rPr>
          <w:rFonts w:hint="default" w:ascii="Times New Roman" w:hAnsi="Times New Roman" w:cs="Times New Roman"/>
          <w:sz w:val="28"/>
          <w:szCs w:val="28"/>
        </w:rPr>
        <mc:AlternateContent>
          <mc:Choice Requires="wps">
            <w:drawing>
              <wp:anchor distT="0" distB="0" distL="114300" distR="114300" simplePos="0" relativeHeight="251661312" behindDoc="0" locked="1" layoutInCell="1" allowOverlap="1">
                <wp:simplePos x="0" y="0"/>
                <wp:positionH relativeFrom="page">
                  <wp:posOffset>899795</wp:posOffset>
                </wp:positionH>
                <wp:positionV relativeFrom="page">
                  <wp:posOffset>9253220</wp:posOffset>
                </wp:positionV>
                <wp:extent cx="6120130" cy="0"/>
                <wp:effectExtent l="0" t="0" r="0" b="0"/>
                <wp:wrapNone/>
                <wp:docPr id="5" name="直接连接符 5"/>
                <wp:cNvGraphicFramePr/>
                <a:graphic xmlns:a="http://schemas.openxmlformats.org/drawingml/2006/main">
                  <a:graphicData uri="http://schemas.microsoft.com/office/word/2010/wordprocessingShape">
                    <wps:wsp>
                      <wps:cNvCnPr>
                        <a:cxnSpLocks noChangeShapeType="1"/>
                      </wps:cNvCnPr>
                      <wps:spPr bwMode="auto">
                        <a:xfrm>
                          <a:off x="0" y="0"/>
                          <a:ext cx="6120000" cy="0"/>
                        </a:xfrm>
                        <a:prstGeom prst="line">
                          <a:avLst/>
                        </a:prstGeom>
                        <a:noFill/>
                        <a:ln w="9525">
                          <a:solidFill>
                            <a:srgbClr val="000000"/>
                          </a:solidFill>
                          <a:round/>
                        </a:ln>
                      </wps:spPr>
                      <wps:bodyPr/>
                    </wps:wsp>
                  </a:graphicData>
                </a:graphic>
              </wp:anchor>
            </w:drawing>
          </mc:Choice>
          <mc:Fallback>
            <w:pict>
              <v:line id="_x0000_s1026" o:spid="_x0000_s1026" o:spt="20" style="position:absolute;left:0pt;margin-left:70.85pt;margin-top:728.6pt;height:0pt;width:481.9pt;mso-position-horizontal-relative:page;mso-position-vertical-relative:page;z-index:251661312;mso-width-relative:page;mso-height-relative:page;" filled="f" stroked="t" coordsize="21600,21600" o:gfxdata="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">
                <v:fill on="f" focussize="0,0"/>
                <v:stroke color="#000000" joinstyle="round"/>
                <v:imagedata o:title=""/>
                <o:lock v:ext="edit" aspectratio="f"/>
                <w10:anchorlock/>
              </v:line>
            </w:pict>
          </mc:Fallback>
        </mc:AlternateContent>
      </w:r>
    </w:p>
    <w:p w14:paraId="0566458A">
      <w:pPr>
        <w:pStyle w:val="92"/>
        <w:spacing w:after="360"/>
        <w:rPr>
          <w:rFonts w:hint="default" w:ascii="Times New Roman" w:hAnsi="Times New Roman" w:cs="Times New Roman"/>
        </w:rPr>
      </w:pPr>
      <w:bookmarkStart w:id="7" w:name="BookMark1"/>
      <w:bookmarkStart w:id="8" w:name="_Toc137628779"/>
      <w:bookmarkStart w:id="9" w:name="_Toc147136679"/>
      <w:bookmarkStart w:id="10" w:name="_Toc163912031"/>
      <w:bookmarkStart w:id="11" w:name="_Toc147912174"/>
      <w:bookmarkStart w:id="12" w:name="_Toc171581096"/>
      <w:bookmarkStart w:id="13" w:name="_Toc137288571"/>
      <w:bookmarkStart w:id="14" w:name="_Toc173158968"/>
      <w:bookmarkStart w:id="15" w:name="_Toc141272483"/>
      <w:bookmarkStart w:id="16" w:name="_Toc185603480"/>
      <w:bookmarkStart w:id="17" w:name="_Toc179470842"/>
      <w:bookmarkStart w:id="18" w:name="_Toc159252381"/>
      <w:bookmarkStart w:id="19" w:name="_Toc147912237"/>
      <w:bookmarkStart w:id="20" w:name="_Toc160092234"/>
      <w:bookmarkStart w:id="21" w:name="_Toc148629163"/>
      <w:r>
        <w:rPr>
          <w:rFonts w:hint="default" w:ascii="Times New Roman" w:hAnsi="Times New Roman" w:cs="Times New Roman"/>
          <w:spacing w:val="320"/>
        </w:rPr>
        <w:t>目</w:t>
      </w:r>
      <w:r>
        <w:rPr>
          <w:rFonts w:hint="default" w:ascii="Times New Roman" w:hAnsi="Times New Roman" w:cs="Times New Roman"/>
        </w:rPr>
        <w:t>次</w:t>
      </w:r>
    </w:p>
    <w:p w14:paraId="6DB0728F">
      <w:pPr>
        <w:pStyle w:val="19"/>
        <w:tabs>
          <w:tab w:val="right" w:leader="dot" w:pos="9354"/>
        </w:tabs>
        <w:rPr>
          <w:rFonts w:hint="default" w:ascii="Times New Roman" w:hAnsi="Times New Roman" w:cs="Times New Roman"/>
        </w:rPr>
      </w:pPr>
      <w:r>
        <w:rPr>
          <w:rFonts w:hint="default" w:ascii="Times New Roman" w:hAnsi="Times New Roman" w:cs="Times New Roman"/>
        </w:rPr>
        <w:fldChar w:fldCharType="begin"/>
      </w:r>
      <w:r>
        <w:rPr>
          <w:rFonts w:hint="default" w:ascii="Times New Roman" w:hAnsi="Times New Roman" w:cs="Times New Roman"/>
        </w:rPr>
        <w:instrText xml:space="preserve"> TOC \o "1-1" \h </w:instrText>
      </w:r>
      <w:r>
        <w:rPr>
          <w:rFonts w:hint="default" w:ascii="Times New Roman" w:hAnsi="Times New Roman" w:cs="Times New Roman"/>
        </w:rPr>
        <w:fldChar w:fldCharType="separate"/>
      </w:r>
      <w:r>
        <w:rPr>
          <w:rFonts w:hint="default" w:ascii="Times New Roman" w:hAnsi="Times New Roman" w:cs="Times New Roman"/>
        </w:rPr>
        <w:fldChar w:fldCharType="begin"/>
      </w:r>
      <w:r>
        <w:rPr>
          <w:rFonts w:hint="default" w:ascii="Times New Roman" w:hAnsi="Times New Roman" w:cs="Times New Roman"/>
        </w:rPr>
        <w:instrText xml:space="preserve"> HYPERLINK \l _Toc29396 </w:instrText>
      </w:r>
      <w:r>
        <w:rPr>
          <w:rFonts w:hint="default" w:ascii="Times New Roman" w:hAnsi="Times New Roman" w:cs="Times New Roman"/>
        </w:rPr>
        <w:fldChar w:fldCharType="separate"/>
      </w:r>
      <w:r>
        <w:rPr>
          <w:rFonts w:hint="default" w:ascii="Times New Roman" w:hAnsi="Times New Roman" w:cs="Times New Roman"/>
          <w:spacing w:val="320"/>
        </w:rPr>
        <w:t>前</w:t>
      </w:r>
      <w:r>
        <w:rPr>
          <w:rFonts w:hint="default" w:ascii="Times New Roman" w:hAnsi="Times New Roman" w:cs="Times New Roman"/>
        </w:rPr>
        <w:t>言</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_Toc29396 \h </w:instrText>
      </w:r>
      <w:r>
        <w:rPr>
          <w:rFonts w:hint="default" w:ascii="Times New Roman" w:hAnsi="Times New Roman" w:cs="Times New Roman"/>
        </w:rPr>
        <w:fldChar w:fldCharType="separate"/>
      </w:r>
      <w:r>
        <w:rPr>
          <w:rFonts w:hint="default" w:ascii="Times New Roman" w:hAnsi="Times New Roman" w:cs="Times New Roman"/>
        </w:rPr>
        <w:t>II</w:t>
      </w:r>
      <w:r>
        <w:rPr>
          <w:rFonts w:hint="default" w:ascii="Times New Roman" w:hAnsi="Times New Roman" w:cs="Times New Roman"/>
        </w:rPr>
        <w:fldChar w:fldCharType="end"/>
      </w:r>
      <w:r>
        <w:rPr>
          <w:rFonts w:hint="default" w:ascii="Times New Roman" w:hAnsi="Times New Roman" w:cs="Times New Roman"/>
        </w:rPr>
        <w:fldChar w:fldCharType="end"/>
      </w:r>
    </w:p>
    <w:p w14:paraId="08D44F1B">
      <w:pPr>
        <w:pStyle w:val="19"/>
        <w:tabs>
          <w:tab w:val="right" w:leader="dot" w:pos="9354"/>
        </w:tabs>
        <w:rPr>
          <w:rFonts w:hint="default" w:ascii="Times New Roman" w:hAnsi="Times New Roman" w:cs="Times New Roman"/>
        </w:rPr>
      </w:pPr>
      <w:r>
        <w:rPr>
          <w:rFonts w:hint="default" w:ascii="Times New Roman" w:hAnsi="Times New Roman" w:cs="Times New Roman"/>
        </w:rPr>
        <w:fldChar w:fldCharType="begin"/>
      </w:r>
      <w:r>
        <w:rPr>
          <w:rFonts w:hint="default" w:ascii="Times New Roman" w:hAnsi="Times New Roman" w:cs="Times New Roman"/>
        </w:rPr>
        <w:instrText xml:space="preserve"> HYPERLINK \l _Toc10057 </w:instrText>
      </w:r>
      <w:r>
        <w:rPr>
          <w:rFonts w:hint="default" w:ascii="Times New Roman" w:hAnsi="Times New Roman" w:cs="Times New Roman"/>
        </w:rPr>
        <w:fldChar w:fldCharType="separate"/>
      </w:r>
      <w:r>
        <w:rPr>
          <w:rFonts w:hint="default" w:ascii="Times New Roman" w:hAnsi="Times New Roman" w:cs="Times New Roman"/>
          <w:lang w:val="en-US" w:eastAsia="zh-CN"/>
        </w:rPr>
        <w:t xml:space="preserve">1 </w:t>
      </w:r>
      <w:r>
        <w:rPr>
          <w:rFonts w:hint="default" w:ascii="Times New Roman" w:hAnsi="Times New Roman" w:cs="Times New Roman"/>
          <w:lang w:eastAsia="zh-CN"/>
        </w:rPr>
        <w:t>范围</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_Toc10057 \h </w:instrText>
      </w:r>
      <w:r>
        <w:rPr>
          <w:rFonts w:hint="default" w:ascii="Times New Roman" w:hAnsi="Times New Roman" w:cs="Times New Roman"/>
        </w:rPr>
        <w:fldChar w:fldCharType="separate"/>
      </w:r>
      <w:r>
        <w:rPr>
          <w:rFonts w:hint="default" w:ascii="Times New Roman" w:hAnsi="Times New Roman" w:cs="Times New Roman"/>
        </w:rPr>
        <w:t>1</w:t>
      </w:r>
      <w:r>
        <w:rPr>
          <w:rFonts w:hint="default" w:ascii="Times New Roman" w:hAnsi="Times New Roman" w:cs="Times New Roman"/>
        </w:rPr>
        <w:fldChar w:fldCharType="end"/>
      </w:r>
      <w:r>
        <w:rPr>
          <w:rFonts w:hint="default" w:ascii="Times New Roman" w:hAnsi="Times New Roman" w:cs="Times New Roman"/>
        </w:rPr>
        <w:fldChar w:fldCharType="end"/>
      </w:r>
    </w:p>
    <w:p w14:paraId="2AF57F41">
      <w:pPr>
        <w:pStyle w:val="19"/>
        <w:tabs>
          <w:tab w:val="right" w:leader="dot" w:pos="9354"/>
        </w:tabs>
        <w:rPr>
          <w:rFonts w:hint="default" w:ascii="Times New Roman" w:hAnsi="Times New Roman" w:cs="Times New Roman"/>
        </w:rPr>
      </w:pPr>
      <w:r>
        <w:rPr>
          <w:rFonts w:hint="default" w:ascii="Times New Roman" w:hAnsi="Times New Roman" w:cs="Times New Roman"/>
        </w:rPr>
        <w:fldChar w:fldCharType="begin"/>
      </w:r>
      <w:r>
        <w:rPr>
          <w:rFonts w:hint="default" w:ascii="Times New Roman" w:hAnsi="Times New Roman" w:cs="Times New Roman"/>
        </w:rPr>
        <w:instrText xml:space="preserve"> HYPERLINK \l _Toc11782 </w:instrText>
      </w:r>
      <w:r>
        <w:rPr>
          <w:rFonts w:hint="default" w:ascii="Times New Roman" w:hAnsi="Times New Roman" w:cs="Times New Roman"/>
        </w:rPr>
        <w:fldChar w:fldCharType="separate"/>
      </w:r>
      <w:r>
        <w:rPr>
          <w:rFonts w:hint="default" w:ascii="Times New Roman" w:hAnsi="Times New Roman" w:cs="Times New Roman"/>
          <w:lang w:val="en-US" w:eastAsia="zh-CN"/>
        </w:rPr>
        <w:t>2 规范性引用文件</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_Toc11782 \h </w:instrText>
      </w:r>
      <w:r>
        <w:rPr>
          <w:rFonts w:hint="default" w:ascii="Times New Roman" w:hAnsi="Times New Roman" w:cs="Times New Roman"/>
        </w:rPr>
        <w:fldChar w:fldCharType="separate"/>
      </w:r>
      <w:r>
        <w:rPr>
          <w:rFonts w:hint="default" w:ascii="Times New Roman" w:hAnsi="Times New Roman" w:cs="Times New Roman"/>
        </w:rPr>
        <w:t>1</w:t>
      </w:r>
      <w:r>
        <w:rPr>
          <w:rFonts w:hint="default" w:ascii="Times New Roman" w:hAnsi="Times New Roman" w:cs="Times New Roman"/>
        </w:rPr>
        <w:fldChar w:fldCharType="end"/>
      </w:r>
      <w:r>
        <w:rPr>
          <w:rFonts w:hint="default" w:ascii="Times New Roman" w:hAnsi="Times New Roman" w:cs="Times New Roman"/>
        </w:rPr>
        <w:fldChar w:fldCharType="end"/>
      </w:r>
    </w:p>
    <w:p w14:paraId="279031CC">
      <w:pPr>
        <w:pStyle w:val="19"/>
        <w:tabs>
          <w:tab w:val="right" w:leader="dot" w:pos="9354"/>
        </w:tabs>
        <w:rPr>
          <w:rFonts w:hint="default" w:ascii="Times New Roman" w:hAnsi="Times New Roman" w:cs="Times New Roman"/>
        </w:rPr>
      </w:pPr>
      <w:r>
        <w:rPr>
          <w:rFonts w:hint="default" w:ascii="Times New Roman" w:hAnsi="Times New Roman" w:cs="Times New Roman"/>
        </w:rPr>
        <w:fldChar w:fldCharType="begin"/>
      </w:r>
      <w:r>
        <w:rPr>
          <w:rFonts w:hint="default" w:ascii="Times New Roman" w:hAnsi="Times New Roman" w:cs="Times New Roman"/>
        </w:rPr>
        <w:instrText xml:space="preserve"> HYPERLINK \l _Toc10500 </w:instrText>
      </w:r>
      <w:r>
        <w:rPr>
          <w:rFonts w:hint="default" w:ascii="Times New Roman" w:hAnsi="Times New Roman" w:cs="Times New Roman"/>
        </w:rPr>
        <w:fldChar w:fldCharType="separate"/>
      </w:r>
      <w:r>
        <w:rPr>
          <w:rFonts w:hint="default" w:ascii="Times New Roman" w:hAnsi="Times New Roman" w:cs="Times New Roman"/>
          <w:lang w:val="en-US" w:eastAsia="zh-CN"/>
        </w:rPr>
        <w:t>3 术语和定义</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_Toc10500 \h </w:instrText>
      </w:r>
      <w:r>
        <w:rPr>
          <w:rFonts w:hint="default" w:ascii="Times New Roman" w:hAnsi="Times New Roman" w:cs="Times New Roman"/>
        </w:rPr>
        <w:fldChar w:fldCharType="separate"/>
      </w:r>
      <w:r>
        <w:rPr>
          <w:rFonts w:hint="default" w:ascii="Times New Roman" w:hAnsi="Times New Roman" w:cs="Times New Roman"/>
        </w:rPr>
        <w:t>1</w:t>
      </w:r>
      <w:r>
        <w:rPr>
          <w:rFonts w:hint="default" w:ascii="Times New Roman" w:hAnsi="Times New Roman" w:cs="Times New Roman"/>
        </w:rPr>
        <w:fldChar w:fldCharType="end"/>
      </w:r>
      <w:r>
        <w:rPr>
          <w:rFonts w:hint="default" w:ascii="Times New Roman" w:hAnsi="Times New Roman" w:cs="Times New Roman"/>
        </w:rPr>
        <w:fldChar w:fldCharType="end"/>
      </w:r>
    </w:p>
    <w:p w14:paraId="64C425D1">
      <w:pPr>
        <w:pStyle w:val="19"/>
        <w:tabs>
          <w:tab w:val="right" w:leader="dot" w:pos="9354"/>
        </w:tabs>
        <w:rPr>
          <w:rFonts w:hint="default" w:ascii="Times New Roman" w:hAnsi="Times New Roman" w:cs="Times New Roman"/>
        </w:rPr>
      </w:pPr>
      <w:r>
        <w:rPr>
          <w:rFonts w:hint="default" w:ascii="Times New Roman" w:hAnsi="Times New Roman" w:cs="Times New Roman"/>
        </w:rPr>
        <w:fldChar w:fldCharType="begin"/>
      </w:r>
      <w:r>
        <w:rPr>
          <w:rFonts w:hint="default" w:ascii="Times New Roman" w:hAnsi="Times New Roman" w:cs="Times New Roman"/>
        </w:rPr>
        <w:instrText xml:space="preserve"> HYPERLINK \l _Toc13789 </w:instrText>
      </w:r>
      <w:r>
        <w:rPr>
          <w:rFonts w:hint="default" w:ascii="Times New Roman" w:hAnsi="Times New Roman" w:cs="Times New Roman"/>
        </w:rPr>
        <w:fldChar w:fldCharType="separate"/>
      </w:r>
      <w:r>
        <w:rPr>
          <w:rFonts w:hint="default" w:ascii="Times New Roman" w:hAnsi="Times New Roman" w:cs="Times New Roman"/>
          <w:lang w:val="en-US" w:eastAsia="zh-CN"/>
        </w:rPr>
        <w:t>4 评价原则</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_Toc13789 \h </w:instrText>
      </w:r>
      <w:r>
        <w:rPr>
          <w:rFonts w:hint="default" w:ascii="Times New Roman" w:hAnsi="Times New Roman" w:cs="Times New Roman"/>
        </w:rPr>
        <w:fldChar w:fldCharType="separate"/>
      </w:r>
      <w:r>
        <w:rPr>
          <w:rFonts w:hint="default" w:ascii="Times New Roman" w:hAnsi="Times New Roman" w:cs="Times New Roman"/>
        </w:rPr>
        <w:t>2</w:t>
      </w:r>
      <w:r>
        <w:rPr>
          <w:rFonts w:hint="default" w:ascii="Times New Roman" w:hAnsi="Times New Roman" w:cs="Times New Roman"/>
        </w:rPr>
        <w:fldChar w:fldCharType="end"/>
      </w:r>
      <w:r>
        <w:rPr>
          <w:rFonts w:hint="default" w:ascii="Times New Roman" w:hAnsi="Times New Roman" w:cs="Times New Roman"/>
        </w:rPr>
        <w:fldChar w:fldCharType="end"/>
      </w:r>
    </w:p>
    <w:p w14:paraId="6DA5C008">
      <w:pPr>
        <w:pStyle w:val="19"/>
        <w:tabs>
          <w:tab w:val="right" w:leader="dot" w:pos="9354"/>
        </w:tabs>
        <w:rPr>
          <w:rFonts w:hint="default" w:ascii="Times New Roman" w:hAnsi="Times New Roman" w:cs="Times New Roman"/>
        </w:rPr>
      </w:pPr>
      <w:r>
        <w:rPr>
          <w:rFonts w:hint="default" w:ascii="Times New Roman" w:hAnsi="Times New Roman" w:cs="Times New Roman"/>
        </w:rPr>
        <w:fldChar w:fldCharType="begin"/>
      </w:r>
      <w:r>
        <w:rPr>
          <w:rFonts w:hint="default" w:ascii="Times New Roman" w:hAnsi="Times New Roman" w:cs="Times New Roman"/>
        </w:rPr>
        <w:instrText xml:space="preserve"> HYPERLINK \l _Toc21382 </w:instrText>
      </w:r>
      <w:r>
        <w:rPr>
          <w:rFonts w:hint="default" w:ascii="Times New Roman" w:hAnsi="Times New Roman" w:cs="Times New Roman"/>
        </w:rPr>
        <w:fldChar w:fldCharType="separate"/>
      </w:r>
      <w:r>
        <w:rPr>
          <w:rFonts w:hint="default" w:ascii="Times New Roman" w:hAnsi="Times New Roman" w:cs="Times New Roman"/>
          <w:lang w:val="en-US" w:eastAsia="zh-CN"/>
        </w:rPr>
        <w:t>5 评价信息来源</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_Toc21382 \h </w:instrText>
      </w:r>
      <w:r>
        <w:rPr>
          <w:rFonts w:hint="default" w:ascii="Times New Roman" w:hAnsi="Times New Roman" w:cs="Times New Roman"/>
        </w:rPr>
        <w:fldChar w:fldCharType="separate"/>
      </w:r>
      <w:r>
        <w:rPr>
          <w:rFonts w:hint="default" w:ascii="Times New Roman" w:hAnsi="Times New Roman" w:cs="Times New Roman"/>
        </w:rPr>
        <w:t>2</w:t>
      </w:r>
      <w:r>
        <w:rPr>
          <w:rFonts w:hint="default" w:ascii="Times New Roman" w:hAnsi="Times New Roman" w:cs="Times New Roman"/>
        </w:rPr>
        <w:fldChar w:fldCharType="end"/>
      </w:r>
      <w:r>
        <w:rPr>
          <w:rFonts w:hint="default" w:ascii="Times New Roman" w:hAnsi="Times New Roman" w:cs="Times New Roman"/>
        </w:rPr>
        <w:fldChar w:fldCharType="end"/>
      </w:r>
    </w:p>
    <w:p w14:paraId="03D59C86">
      <w:pPr>
        <w:pStyle w:val="19"/>
        <w:tabs>
          <w:tab w:val="right" w:leader="dot" w:pos="9354"/>
        </w:tabs>
        <w:rPr>
          <w:rFonts w:hint="default" w:ascii="Times New Roman" w:hAnsi="Times New Roman" w:cs="Times New Roman"/>
        </w:rPr>
      </w:pPr>
      <w:r>
        <w:rPr>
          <w:rFonts w:hint="default" w:ascii="Times New Roman" w:hAnsi="Times New Roman" w:cs="Times New Roman"/>
        </w:rPr>
        <w:fldChar w:fldCharType="begin"/>
      </w:r>
      <w:r>
        <w:rPr>
          <w:rFonts w:hint="default" w:ascii="Times New Roman" w:hAnsi="Times New Roman" w:cs="Times New Roman"/>
        </w:rPr>
        <w:instrText xml:space="preserve"> HYPERLINK \l _Toc13531 </w:instrText>
      </w:r>
      <w:r>
        <w:rPr>
          <w:rFonts w:hint="default" w:ascii="Times New Roman" w:hAnsi="Times New Roman" w:cs="Times New Roman"/>
        </w:rPr>
        <w:fldChar w:fldCharType="separate"/>
      </w:r>
      <w:r>
        <w:rPr>
          <w:rFonts w:hint="default" w:ascii="Times New Roman" w:hAnsi="Times New Roman" w:cs="Times New Roman"/>
          <w:lang w:val="en-US" w:eastAsia="zh-CN"/>
        </w:rPr>
        <w:t>6 评价指标和内容</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_Toc13531 \h </w:instrText>
      </w:r>
      <w:r>
        <w:rPr>
          <w:rFonts w:hint="default" w:ascii="Times New Roman" w:hAnsi="Times New Roman" w:cs="Times New Roman"/>
        </w:rPr>
        <w:fldChar w:fldCharType="separate"/>
      </w:r>
      <w:r>
        <w:rPr>
          <w:rFonts w:hint="default" w:ascii="Times New Roman" w:hAnsi="Times New Roman" w:cs="Times New Roman"/>
        </w:rPr>
        <w:t>2</w:t>
      </w:r>
      <w:r>
        <w:rPr>
          <w:rFonts w:hint="default" w:ascii="Times New Roman" w:hAnsi="Times New Roman" w:cs="Times New Roman"/>
        </w:rPr>
        <w:fldChar w:fldCharType="end"/>
      </w:r>
      <w:r>
        <w:rPr>
          <w:rFonts w:hint="default" w:ascii="Times New Roman" w:hAnsi="Times New Roman" w:cs="Times New Roman"/>
        </w:rPr>
        <w:fldChar w:fldCharType="end"/>
      </w:r>
    </w:p>
    <w:p w14:paraId="260832C7">
      <w:pPr>
        <w:pStyle w:val="19"/>
        <w:tabs>
          <w:tab w:val="right" w:leader="dot" w:pos="9354"/>
        </w:tabs>
        <w:rPr>
          <w:rFonts w:hint="default" w:ascii="Times New Roman" w:hAnsi="Times New Roman" w:cs="Times New Roman"/>
        </w:rPr>
      </w:pPr>
      <w:r>
        <w:rPr>
          <w:rFonts w:hint="default" w:ascii="Times New Roman" w:hAnsi="Times New Roman" w:cs="Times New Roman"/>
        </w:rPr>
        <w:fldChar w:fldCharType="begin"/>
      </w:r>
      <w:r>
        <w:rPr>
          <w:rFonts w:hint="default" w:ascii="Times New Roman" w:hAnsi="Times New Roman" w:cs="Times New Roman"/>
        </w:rPr>
        <w:instrText xml:space="preserve"> HYPERLINK \l _Toc3354 </w:instrText>
      </w:r>
      <w:r>
        <w:rPr>
          <w:rFonts w:hint="default" w:ascii="Times New Roman" w:hAnsi="Times New Roman" w:cs="Times New Roman"/>
        </w:rPr>
        <w:fldChar w:fldCharType="separate"/>
      </w:r>
      <w:r>
        <w:rPr>
          <w:rFonts w:hint="default" w:ascii="Times New Roman" w:hAnsi="Times New Roman" w:cs="Times New Roman"/>
          <w:lang w:val="en-US" w:eastAsia="zh-CN"/>
        </w:rPr>
        <w:t>7 评价机构的组织和职责</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_Toc3354 \h </w:instrText>
      </w:r>
      <w:r>
        <w:rPr>
          <w:rFonts w:hint="default" w:ascii="Times New Roman" w:hAnsi="Times New Roman" w:cs="Times New Roman"/>
        </w:rPr>
        <w:fldChar w:fldCharType="separate"/>
      </w:r>
      <w:r>
        <w:rPr>
          <w:rFonts w:hint="default" w:ascii="Times New Roman" w:hAnsi="Times New Roman" w:cs="Times New Roman"/>
        </w:rPr>
        <w:t>3</w:t>
      </w:r>
      <w:r>
        <w:rPr>
          <w:rFonts w:hint="default" w:ascii="Times New Roman" w:hAnsi="Times New Roman" w:cs="Times New Roman"/>
        </w:rPr>
        <w:fldChar w:fldCharType="end"/>
      </w:r>
      <w:r>
        <w:rPr>
          <w:rFonts w:hint="default" w:ascii="Times New Roman" w:hAnsi="Times New Roman" w:cs="Times New Roman"/>
        </w:rPr>
        <w:fldChar w:fldCharType="end"/>
      </w:r>
    </w:p>
    <w:p w14:paraId="01F88F19">
      <w:pPr>
        <w:pStyle w:val="19"/>
        <w:tabs>
          <w:tab w:val="right" w:leader="dot" w:pos="9354"/>
        </w:tabs>
        <w:rPr>
          <w:rFonts w:hint="default" w:ascii="Times New Roman" w:hAnsi="Times New Roman" w:cs="Times New Roman"/>
        </w:rPr>
      </w:pPr>
      <w:r>
        <w:rPr>
          <w:rFonts w:hint="default" w:ascii="Times New Roman" w:hAnsi="Times New Roman" w:cs="Times New Roman"/>
        </w:rPr>
        <w:fldChar w:fldCharType="begin"/>
      </w:r>
      <w:r>
        <w:rPr>
          <w:rFonts w:hint="default" w:ascii="Times New Roman" w:hAnsi="Times New Roman" w:cs="Times New Roman"/>
        </w:rPr>
        <w:instrText xml:space="preserve"> HYPERLINK \l _Toc19992 </w:instrText>
      </w:r>
      <w:r>
        <w:rPr>
          <w:rFonts w:hint="default" w:ascii="Times New Roman" w:hAnsi="Times New Roman" w:cs="Times New Roman"/>
        </w:rPr>
        <w:fldChar w:fldCharType="separate"/>
      </w:r>
      <w:r>
        <w:rPr>
          <w:rFonts w:hint="default" w:ascii="Times New Roman" w:hAnsi="Times New Roman" w:cs="Times New Roman"/>
          <w:lang w:val="en-US" w:eastAsia="zh-CN"/>
        </w:rPr>
        <w:t>8 评价程序</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_Toc19992 \h </w:instrText>
      </w:r>
      <w:r>
        <w:rPr>
          <w:rFonts w:hint="default" w:ascii="Times New Roman" w:hAnsi="Times New Roman" w:cs="Times New Roman"/>
        </w:rPr>
        <w:fldChar w:fldCharType="separate"/>
      </w:r>
      <w:r>
        <w:rPr>
          <w:rFonts w:hint="default" w:ascii="Times New Roman" w:hAnsi="Times New Roman" w:cs="Times New Roman"/>
        </w:rPr>
        <w:t>4</w:t>
      </w:r>
      <w:r>
        <w:rPr>
          <w:rFonts w:hint="default" w:ascii="Times New Roman" w:hAnsi="Times New Roman" w:cs="Times New Roman"/>
        </w:rPr>
        <w:fldChar w:fldCharType="end"/>
      </w:r>
      <w:r>
        <w:rPr>
          <w:rFonts w:hint="default" w:ascii="Times New Roman" w:hAnsi="Times New Roman" w:cs="Times New Roman"/>
        </w:rPr>
        <w:fldChar w:fldCharType="end"/>
      </w:r>
    </w:p>
    <w:p w14:paraId="05225D14">
      <w:pPr>
        <w:pStyle w:val="92"/>
        <w:spacing w:after="360"/>
        <w:rPr>
          <w:rFonts w:hint="default" w:ascii="Times New Roman" w:hAnsi="Times New Roman" w:cs="Times New Roman"/>
        </w:rPr>
        <w:sectPr>
          <w:headerReference r:id="rId9" w:type="default"/>
          <w:footerReference r:id="rId11" w:type="default"/>
          <w:headerReference r:id="rId10" w:type="even"/>
          <w:footerReference r:id="rId12" w:type="even"/>
          <w:pgSz w:w="11906" w:h="16838"/>
          <w:pgMar w:top="2410" w:right="1134" w:bottom="1134" w:left="1134" w:header="1418" w:footer="1134" w:gutter="284"/>
          <w:pgBorders>
            <w:top w:val="none" w:sz="0" w:space="0"/>
            <w:left w:val="none" w:sz="0" w:space="0"/>
            <w:bottom w:val="none" w:sz="0" w:space="0"/>
            <w:right w:val="none" w:sz="0" w:space="0"/>
          </w:pgBorders>
          <w:pgNumType w:fmt="upperRoman" w:start="1"/>
          <w:cols w:space="425" w:num="1"/>
          <w:formProt w:val="0"/>
          <w:docGrid w:linePitch="312" w:charSpace="0"/>
        </w:sectPr>
      </w:pPr>
      <w:r>
        <w:rPr>
          <w:rFonts w:hint="default" w:ascii="Times New Roman" w:hAnsi="Times New Roman" w:cs="Times New Roman"/>
        </w:rPr>
        <w:fldChar w:fldCharType="end"/>
      </w:r>
    </w:p>
    <w:bookmarkEnd w:id="7"/>
    <w:p w14:paraId="7B086AB8">
      <w:pPr>
        <w:pStyle w:val="90"/>
        <w:numPr>
          <w:ilvl w:val="0"/>
          <w:numId w:val="0"/>
        </w:numPr>
        <w:spacing w:after="360"/>
        <w:ind w:leftChars="0"/>
        <w:jc w:val="center"/>
        <w:rPr>
          <w:rFonts w:hint="default" w:ascii="Times New Roman" w:hAnsi="Times New Roman" w:cs="Times New Roman"/>
        </w:rPr>
      </w:pPr>
      <w:bookmarkStart w:id="22" w:name="_Toc29396"/>
      <w:bookmarkStart w:id="23" w:name="BookMark2"/>
      <w:r>
        <w:rPr>
          <w:rFonts w:hint="default" w:ascii="Times New Roman" w:hAnsi="Times New Roman" w:cs="Times New Roman"/>
          <w:spacing w:val="320"/>
        </w:rPr>
        <w:t>前</w:t>
      </w:r>
      <w:r>
        <w:rPr>
          <w:rFonts w:hint="default" w:ascii="Times New Roman" w:hAnsi="Times New Roman" w:cs="Times New Roman"/>
        </w:rPr>
        <w:t>言</w:t>
      </w:r>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p>
    <w:p w14:paraId="278A5645">
      <w:pPr>
        <w:pStyle w:val="57"/>
        <w:spacing w:line="288" w:lineRule="auto"/>
        <w:ind w:firstLine="420"/>
        <w:rPr>
          <w:rFonts w:hint="default" w:ascii="Times New Roman" w:hAnsi="Times New Roman" w:eastAsia="仿宋" w:cs="Times New Roman"/>
        </w:rPr>
      </w:pPr>
      <w:r>
        <w:rPr>
          <w:rFonts w:hint="default" w:ascii="Times New Roman" w:hAnsi="Times New Roman" w:eastAsia="仿宋" w:cs="Times New Roman"/>
        </w:rPr>
        <w:t>本文件按照GB/T 1.1—2020《标准化工作导则第1部分：标准化文件的结构和起草规则》的规定起草。请注意本文件的某些内容可能涉及专利。本文件的发布机构不承担识别专利的责任。</w:t>
      </w:r>
    </w:p>
    <w:p w14:paraId="18D4B8E5">
      <w:pPr>
        <w:pStyle w:val="57"/>
        <w:spacing w:line="288" w:lineRule="auto"/>
        <w:ind w:firstLine="420"/>
        <w:rPr>
          <w:rFonts w:hint="default" w:ascii="Times New Roman" w:hAnsi="Times New Roman" w:eastAsia="仿宋" w:cs="Times New Roman"/>
        </w:rPr>
      </w:pPr>
      <w:r>
        <w:rPr>
          <w:rFonts w:hint="default" w:ascii="Times New Roman" w:hAnsi="Times New Roman" w:eastAsia="仿宋" w:cs="Times New Roman"/>
        </w:rPr>
        <w:t>本文件由广州市建筑业联合会</w:t>
      </w:r>
      <w:r>
        <w:rPr>
          <w:rFonts w:hint="default" w:ascii="Times New Roman" w:hAnsi="Times New Roman" w:eastAsia="仿宋" w:cs="Times New Roman"/>
          <w:lang w:val="en-US" w:eastAsia="zh-CN"/>
        </w:rPr>
        <w:t>提出并</w:t>
      </w:r>
      <w:r>
        <w:rPr>
          <w:rFonts w:hint="default" w:ascii="Times New Roman" w:hAnsi="Times New Roman" w:eastAsia="仿宋" w:cs="Times New Roman"/>
        </w:rPr>
        <w:t>归口。</w:t>
      </w:r>
    </w:p>
    <w:p w14:paraId="758E4A77">
      <w:pPr>
        <w:pStyle w:val="57"/>
        <w:spacing w:line="288" w:lineRule="auto"/>
        <w:ind w:firstLine="420"/>
        <w:rPr>
          <w:rFonts w:hint="eastAsia" w:ascii="Times New Roman" w:hAnsi="Times New Roman" w:eastAsia="仿宋" w:cs="Times New Roman"/>
          <w:lang w:eastAsia="zh-CN"/>
        </w:rPr>
      </w:pPr>
      <w:r>
        <w:rPr>
          <w:rFonts w:hint="default" w:ascii="Times New Roman" w:hAnsi="Times New Roman" w:eastAsia="仿宋" w:cs="Times New Roman"/>
        </w:rPr>
        <w:t>本标准为首次发布。制定本团体标准的目的在于</w:t>
      </w:r>
      <w:r>
        <w:rPr>
          <w:rFonts w:hint="eastAsia" w:ascii="Times New Roman" w:eastAsia="仿宋" w:cs="Times New Roman"/>
          <w:lang w:val="en-US" w:eastAsia="zh-CN"/>
        </w:rPr>
        <w:t>加强行业自律，</w:t>
      </w:r>
      <w:r>
        <w:rPr>
          <w:rFonts w:hint="default" w:ascii="Times New Roman" w:hAnsi="Times New Roman" w:eastAsia="仿宋" w:cs="Times New Roman"/>
        </w:rPr>
        <w:t>规范广州市工程建设企业信用等级评价活动，统一评价原则、方法和程序，科学、客观、公正地反映工程建设企业的信用状况，加强工程建设市场信用体系建设，营造诚信经营的市场环境，推动广州市工程建设行业的健康可持续发展</w:t>
      </w:r>
      <w:r>
        <w:rPr>
          <w:rFonts w:hint="eastAsia" w:ascii="Times New Roman" w:eastAsia="仿宋" w:cs="Times New Roman"/>
          <w:lang w:eastAsia="zh-CN"/>
        </w:rPr>
        <w:t>。</w:t>
      </w:r>
    </w:p>
    <w:p w14:paraId="7EAD5294">
      <w:pPr>
        <w:pStyle w:val="57"/>
        <w:spacing w:line="288" w:lineRule="auto"/>
        <w:ind w:firstLine="420"/>
        <w:rPr>
          <w:rFonts w:hint="default" w:ascii="Times New Roman" w:hAnsi="Times New Roman" w:eastAsia="仿宋" w:cs="Times New Roman"/>
        </w:rPr>
      </w:pPr>
      <w:r>
        <w:rPr>
          <w:rFonts w:hint="default" w:ascii="Times New Roman" w:hAnsi="Times New Roman" w:eastAsia="仿宋" w:cs="Times New Roman"/>
        </w:rPr>
        <w:t>在标准制定过程中，编制组进行了广泛的调查研究，认真总结实践经验，参考了国内相关标准和规范性文件，并充分征求了行业主管部门、工程建设企业、相关协会及专家等多方面的意见，经过反复修改完善，最终形成本标准。</w:t>
      </w:r>
    </w:p>
    <w:p w14:paraId="203946AB">
      <w:pPr>
        <w:pStyle w:val="57"/>
        <w:spacing w:line="288" w:lineRule="auto"/>
        <w:ind w:firstLine="420"/>
        <w:rPr>
          <w:rFonts w:hint="default" w:ascii="Times New Roman" w:hAnsi="Times New Roman" w:eastAsia="仿宋" w:cs="Times New Roman"/>
        </w:rPr>
      </w:pPr>
      <w:r>
        <w:rPr>
          <w:rFonts w:hint="default" w:ascii="Times New Roman" w:hAnsi="Times New Roman" w:eastAsia="仿宋" w:cs="Times New Roman"/>
        </w:rPr>
        <w:t>本标准在实施过程中，希望各相关单位结合实际情况积极提出宝贵意见和建议，以便今后修订完善。</w:t>
      </w:r>
    </w:p>
    <w:p w14:paraId="57CB277C">
      <w:pPr>
        <w:pStyle w:val="57"/>
        <w:spacing w:line="288" w:lineRule="auto"/>
        <w:ind w:firstLine="420"/>
        <w:rPr>
          <w:rFonts w:hint="default" w:ascii="Times New Roman" w:hAnsi="Times New Roman" w:eastAsia="仿宋" w:cs="Times New Roman"/>
        </w:rPr>
      </w:pPr>
    </w:p>
    <w:p w14:paraId="62363D20">
      <w:pPr>
        <w:pStyle w:val="57"/>
        <w:spacing w:line="288" w:lineRule="auto"/>
        <w:ind w:left="2340" w:leftChars="200" w:hanging="1920" w:hangingChars="800"/>
        <w:rPr>
          <w:rFonts w:hint="default" w:ascii="Times New Roman" w:hAnsi="Times New Roman" w:eastAsia="仿宋" w:cs="Times New Roman"/>
        </w:rPr>
      </w:pPr>
      <w:r>
        <w:rPr>
          <w:rFonts w:hint="default" w:ascii="Times New Roman" w:hAnsi="Times New Roman" w:eastAsia="仿宋" w:cs="Times New Roman"/>
          <w:spacing w:val="15"/>
          <w:kern w:val="0"/>
          <w:fitText w:val="1890" w:id="1058428991"/>
        </w:rPr>
        <w:t>本文件起草单位</w:t>
      </w:r>
      <w:r>
        <w:rPr>
          <w:rFonts w:hint="default" w:ascii="Times New Roman" w:hAnsi="Times New Roman" w:eastAsia="仿宋" w:cs="Times New Roman"/>
          <w:spacing w:val="0"/>
          <w:kern w:val="0"/>
          <w:fitText w:val="1890" w:id="1058428991"/>
        </w:rPr>
        <w:t>：</w:t>
      </w:r>
      <w:r>
        <w:rPr>
          <w:rFonts w:hint="default" w:ascii="Times New Roman" w:hAnsi="Times New Roman" w:eastAsia="仿宋" w:cs="Times New Roman"/>
        </w:rPr>
        <w:t>广州市建筑业联合会</w:t>
      </w:r>
    </w:p>
    <w:p w14:paraId="0A8624CE">
      <w:pPr>
        <w:pStyle w:val="57"/>
        <w:spacing w:line="288" w:lineRule="auto"/>
        <w:ind w:left="2100" w:leftChars="1000" w:firstLine="218" w:firstLineChars="104"/>
        <w:rPr>
          <w:rFonts w:hint="default" w:ascii="Times New Roman" w:hAnsi="Times New Roman" w:eastAsia="仿宋" w:cs="Times New Roman"/>
        </w:rPr>
      </w:pPr>
      <w:r>
        <w:rPr>
          <w:rFonts w:hint="default" w:ascii="Times New Roman" w:hAnsi="Times New Roman" w:eastAsia="仿宋" w:cs="Times New Roman"/>
        </w:rPr>
        <w:t>广州建筑股份有限公司</w:t>
      </w:r>
    </w:p>
    <w:p w14:paraId="40EFA238">
      <w:pPr>
        <w:pStyle w:val="57"/>
        <w:spacing w:line="288" w:lineRule="auto"/>
        <w:ind w:left="2100" w:leftChars="1000" w:firstLine="218" w:firstLineChars="104"/>
        <w:rPr>
          <w:rFonts w:hint="default" w:ascii="Times New Roman" w:hAnsi="Times New Roman" w:eastAsia="仿宋" w:cs="Times New Roman"/>
        </w:rPr>
      </w:pPr>
      <w:r>
        <w:rPr>
          <w:rFonts w:hint="default" w:ascii="Times New Roman" w:hAnsi="Times New Roman" w:eastAsia="仿宋" w:cs="Times New Roman"/>
        </w:rPr>
        <w:t>广州一建建设集团</w:t>
      </w:r>
      <w:bookmarkStart w:id="34" w:name="_GoBack"/>
      <w:bookmarkEnd w:id="34"/>
      <w:r>
        <w:rPr>
          <w:rFonts w:hint="default" w:ascii="Times New Roman" w:hAnsi="Times New Roman" w:eastAsia="仿宋" w:cs="Times New Roman"/>
        </w:rPr>
        <w:t>有限公司</w:t>
      </w:r>
    </w:p>
    <w:p w14:paraId="5E5045F9">
      <w:pPr>
        <w:pStyle w:val="57"/>
        <w:spacing w:line="288" w:lineRule="auto"/>
        <w:ind w:left="2100" w:leftChars="1000" w:firstLine="218" w:firstLineChars="104"/>
        <w:rPr>
          <w:rFonts w:hint="default" w:ascii="Times New Roman" w:hAnsi="Times New Roman" w:eastAsia="仿宋" w:cs="Times New Roman"/>
        </w:rPr>
      </w:pPr>
      <w:r>
        <w:rPr>
          <w:rFonts w:hint="default" w:ascii="Times New Roman" w:hAnsi="Times New Roman" w:eastAsia="仿宋" w:cs="Times New Roman"/>
        </w:rPr>
        <w:t>广州工程总承包集团有限公司</w:t>
      </w:r>
    </w:p>
    <w:p w14:paraId="0FD7F232">
      <w:pPr>
        <w:pStyle w:val="57"/>
        <w:spacing w:line="288" w:lineRule="auto"/>
        <w:ind w:firstLine="420"/>
        <w:rPr>
          <w:rFonts w:hint="default" w:ascii="Times New Roman" w:hAnsi="Times New Roman" w:eastAsia="仿宋" w:cs="Times New Roman"/>
        </w:rPr>
      </w:pPr>
      <w:r>
        <w:rPr>
          <w:rFonts w:hint="default" w:ascii="Times New Roman" w:hAnsi="Times New Roman" w:eastAsia="仿宋" w:cs="Times New Roman"/>
          <w:spacing w:val="15"/>
          <w:kern w:val="0"/>
          <w:fitText w:val="1890" w:id="1210014158"/>
        </w:rPr>
        <w:t>本文件参编单位</w:t>
      </w:r>
      <w:r>
        <w:rPr>
          <w:rFonts w:hint="default" w:ascii="Times New Roman" w:hAnsi="Times New Roman" w:eastAsia="仿宋" w:cs="Times New Roman"/>
          <w:spacing w:val="0"/>
          <w:kern w:val="0"/>
          <w:fitText w:val="1890" w:id="1210014158"/>
        </w:rPr>
        <w:t>：</w:t>
      </w:r>
      <w:r>
        <w:rPr>
          <w:rFonts w:hint="default" w:ascii="Times New Roman" w:hAnsi="Times New Roman" w:eastAsia="仿宋" w:cs="Times New Roman"/>
        </w:rPr>
        <w:t>广州市建筑集团有限公司</w:t>
      </w:r>
    </w:p>
    <w:p w14:paraId="68736832">
      <w:pPr>
        <w:pStyle w:val="57"/>
        <w:spacing w:line="288" w:lineRule="auto"/>
        <w:ind w:left="2100" w:leftChars="1000" w:firstLine="218" w:firstLineChars="104"/>
        <w:rPr>
          <w:rFonts w:hint="default" w:ascii="Times New Roman" w:hAnsi="Times New Roman" w:eastAsia="仿宋" w:cs="Times New Roman"/>
        </w:rPr>
      </w:pPr>
      <w:r>
        <w:rPr>
          <w:rFonts w:hint="default" w:ascii="Times New Roman" w:hAnsi="Times New Roman" w:eastAsia="仿宋" w:cs="Times New Roman"/>
        </w:rPr>
        <w:t>中国建筑第四工程局有限公司</w:t>
      </w:r>
    </w:p>
    <w:p w14:paraId="4E978049">
      <w:pPr>
        <w:pStyle w:val="57"/>
        <w:spacing w:line="288" w:lineRule="auto"/>
        <w:ind w:left="2100" w:leftChars="1000" w:firstLine="218" w:firstLineChars="104"/>
        <w:rPr>
          <w:rFonts w:hint="default" w:ascii="Times New Roman" w:hAnsi="Times New Roman" w:eastAsia="仿宋" w:cs="Times New Roman"/>
        </w:rPr>
      </w:pPr>
      <w:r>
        <w:rPr>
          <w:rFonts w:hint="default" w:ascii="Times New Roman" w:hAnsi="Times New Roman" w:eastAsia="仿宋" w:cs="Times New Roman"/>
        </w:rPr>
        <w:t>中建三局集团华南有限公司</w:t>
      </w:r>
    </w:p>
    <w:p w14:paraId="65712917">
      <w:pPr>
        <w:pStyle w:val="57"/>
        <w:spacing w:line="288" w:lineRule="auto"/>
        <w:ind w:left="2100" w:leftChars="1000" w:firstLine="218" w:firstLineChars="104"/>
        <w:rPr>
          <w:rFonts w:hint="default" w:ascii="Times New Roman" w:hAnsi="Times New Roman" w:eastAsia="仿宋" w:cs="Times New Roman"/>
        </w:rPr>
      </w:pPr>
      <w:r>
        <w:rPr>
          <w:rFonts w:hint="default" w:ascii="Times New Roman" w:hAnsi="Times New Roman" w:eastAsia="仿宋" w:cs="Times New Roman"/>
        </w:rPr>
        <w:t>广州建筑产业研究院有限公司</w:t>
      </w:r>
    </w:p>
    <w:p w14:paraId="6777CC23">
      <w:pPr>
        <w:pStyle w:val="57"/>
        <w:spacing w:line="288" w:lineRule="auto"/>
        <w:ind w:left="2100" w:leftChars="1000" w:firstLine="218" w:firstLineChars="104"/>
        <w:rPr>
          <w:rFonts w:hint="default" w:ascii="Times New Roman" w:hAnsi="Times New Roman" w:eastAsia="仿宋" w:cs="Times New Roman"/>
        </w:rPr>
      </w:pPr>
      <w:r>
        <w:rPr>
          <w:rFonts w:hint="default" w:ascii="Times New Roman" w:hAnsi="Times New Roman" w:eastAsia="仿宋" w:cs="Times New Roman"/>
        </w:rPr>
        <w:t>广州市房实建设工程管理有限公司</w:t>
      </w:r>
    </w:p>
    <w:p w14:paraId="26634276">
      <w:pPr>
        <w:pStyle w:val="57"/>
        <w:spacing w:line="288" w:lineRule="auto"/>
        <w:ind w:left="2100" w:leftChars="1000" w:firstLine="218" w:firstLineChars="104"/>
        <w:rPr>
          <w:rFonts w:hint="default" w:ascii="Times New Roman" w:hAnsi="Times New Roman" w:eastAsia="仿宋" w:cs="Times New Roman"/>
        </w:rPr>
      </w:pPr>
      <w:r>
        <w:rPr>
          <w:rFonts w:hint="default" w:ascii="Times New Roman" w:hAnsi="Times New Roman" w:eastAsia="仿宋" w:cs="Times New Roman"/>
        </w:rPr>
        <w:t>广东梁亮建筑工程有限公司</w:t>
      </w:r>
    </w:p>
    <w:p w14:paraId="568A3B32">
      <w:pPr>
        <w:pStyle w:val="57"/>
        <w:spacing w:line="288" w:lineRule="auto"/>
        <w:ind w:left="2100" w:leftChars="1000" w:firstLine="218" w:firstLineChars="104"/>
        <w:rPr>
          <w:rFonts w:hint="default" w:ascii="Times New Roman" w:hAnsi="Times New Roman" w:eastAsia="仿宋" w:cs="Times New Roman"/>
        </w:rPr>
      </w:pPr>
      <w:r>
        <w:rPr>
          <w:rFonts w:hint="default" w:ascii="Times New Roman" w:hAnsi="Times New Roman" w:eastAsia="仿宋" w:cs="Times New Roman"/>
        </w:rPr>
        <w:t>广东金辉华集团有限公司</w:t>
      </w:r>
    </w:p>
    <w:p w14:paraId="0D52906D">
      <w:pPr>
        <w:pStyle w:val="57"/>
        <w:spacing w:line="288" w:lineRule="auto"/>
        <w:ind w:left="2100" w:leftChars="1000" w:firstLine="218" w:firstLineChars="104"/>
        <w:rPr>
          <w:rFonts w:hint="default" w:ascii="Times New Roman" w:hAnsi="Times New Roman" w:eastAsia="仿宋" w:cs="Times New Roman"/>
        </w:rPr>
      </w:pPr>
      <w:r>
        <w:rPr>
          <w:rFonts w:hint="default" w:ascii="Times New Roman" w:hAnsi="Times New Roman" w:eastAsia="仿宋" w:cs="Times New Roman"/>
        </w:rPr>
        <w:t>广东恒辉建设集团股份有限公司</w:t>
      </w:r>
    </w:p>
    <w:p w14:paraId="4D18BD4B">
      <w:pPr>
        <w:pStyle w:val="57"/>
        <w:spacing w:line="288" w:lineRule="auto"/>
        <w:ind w:firstLine="420"/>
        <w:rPr>
          <w:rFonts w:hint="default" w:ascii="Times New Roman" w:hAnsi="Times New Roman" w:eastAsia="仿宋" w:cs="Times New Roman"/>
        </w:rPr>
      </w:pPr>
      <w:r>
        <w:rPr>
          <w:rFonts w:hint="default" w:ascii="Times New Roman" w:hAnsi="Times New Roman" w:eastAsia="仿宋" w:cs="Times New Roman"/>
        </w:rPr>
        <w:t>本文件主要起草人：杨  青  张江华  邵  丹  刘智东  徐晓婕</w:t>
      </w:r>
      <w:r>
        <w:rPr>
          <w:rFonts w:hint="eastAsia" w:ascii="Times New Roman" w:eastAsia="仿宋" w:cs="Times New Roman"/>
          <w:lang w:val="en-US" w:eastAsia="zh-CN"/>
        </w:rPr>
        <w:t xml:space="preserve">  </w:t>
      </w:r>
      <w:r>
        <w:rPr>
          <w:rFonts w:hint="default" w:ascii="Times New Roman" w:hAnsi="Times New Roman" w:eastAsia="仿宋" w:cs="Times New Roman"/>
        </w:rPr>
        <w:t xml:space="preserve">曾树佳  沈建泉  陈旭明  </w:t>
      </w:r>
    </w:p>
    <w:p w14:paraId="756F293D">
      <w:pPr>
        <w:pStyle w:val="57"/>
        <w:spacing w:line="288" w:lineRule="auto"/>
        <w:ind w:firstLine="2310" w:firstLineChars="1100"/>
        <w:rPr>
          <w:rFonts w:hint="default" w:ascii="Times New Roman" w:hAnsi="Times New Roman" w:eastAsia="仿宋" w:cs="Times New Roman"/>
        </w:rPr>
      </w:pPr>
      <w:r>
        <w:rPr>
          <w:rFonts w:hint="default" w:ascii="Times New Roman" w:hAnsi="Times New Roman" w:eastAsia="仿宋" w:cs="Times New Roman"/>
        </w:rPr>
        <w:t>余小红  严  达</w:t>
      </w:r>
      <w:r>
        <w:rPr>
          <w:rFonts w:hint="eastAsia" w:ascii="Times New Roman" w:eastAsia="仿宋" w:cs="Times New Roman"/>
          <w:lang w:val="en-US" w:eastAsia="zh-CN"/>
        </w:rPr>
        <w:t xml:space="preserve">  </w:t>
      </w:r>
      <w:r>
        <w:rPr>
          <w:rFonts w:hint="default" w:ascii="Times New Roman" w:hAnsi="Times New Roman" w:eastAsia="仿宋" w:cs="Times New Roman"/>
        </w:rPr>
        <w:t>谭甲银  胡玉芬  孙  虎  吴坤洋  雷智勇</w:t>
      </w:r>
      <w:r>
        <w:rPr>
          <w:rFonts w:hint="eastAsia" w:ascii="Times New Roman" w:eastAsia="仿宋" w:cs="Times New Roman"/>
          <w:lang w:val="en-US" w:eastAsia="zh-CN"/>
        </w:rPr>
        <w:t xml:space="preserve">  </w:t>
      </w:r>
      <w:r>
        <w:rPr>
          <w:rFonts w:hint="default" w:ascii="Times New Roman" w:hAnsi="Times New Roman" w:eastAsia="仿宋" w:cs="Times New Roman"/>
        </w:rPr>
        <w:t xml:space="preserve">郑启年  </w:t>
      </w:r>
    </w:p>
    <w:p w14:paraId="2EB08C88">
      <w:pPr>
        <w:pStyle w:val="57"/>
        <w:spacing w:line="288" w:lineRule="auto"/>
        <w:ind w:firstLine="2310" w:firstLineChars="1100"/>
        <w:rPr>
          <w:rFonts w:hint="eastAsia" w:ascii="Times New Roman" w:hAnsi="Times New Roman" w:eastAsia="仿宋" w:cs="Times New Roman"/>
          <w:lang w:eastAsia="zh-CN"/>
        </w:rPr>
        <w:sectPr>
          <w:headerReference r:id="rId13" w:type="default"/>
          <w:footerReference r:id="rId15" w:type="default"/>
          <w:headerReference r:id="rId14" w:type="even"/>
          <w:footerReference r:id="rId16" w:type="even"/>
          <w:pgSz w:w="11906" w:h="16838"/>
          <w:pgMar w:top="2410" w:right="1134" w:bottom="1134" w:left="1134" w:header="1418" w:footer="1134" w:gutter="284"/>
          <w:pgBorders>
            <w:top w:val="none" w:sz="0" w:space="0"/>
            <w:left w:val="none" w:sz="0" w:space="0"/>
            <w:bottom w:val="none" w:sz="0" w:space="0"/>
            <w:right w:val="none" w:sz="0" w:space="0"/>
          </w:pgBorders>
          <w:pgNumType w:fmt="upperRoman"/>
          <w:cols w:space="425" w:num="1"/>
          <w:formProt w:val="0"/>
          <w:docGrid w:linePitch="312" w:charSpace="0"/>
        </w:sectPr>
      </w:pPr>
      <w:r>
        <w:rPr>
          <w:rFonts w:hint="default" w:ascii="Times New Roman" w:hAnsi="Times New Roman" w:eastAsia="仿宋" w:cs="Times New Roman"/>
        </w:rPr>
        <w:t>谭益红  罗仲敏  刘桂霞  关美伴</w:t>
      </w:r>
      <w:r>
        <w:rPr>
          <w:rFonts w:hint="eastAsia" w:ascii="Times New Roman" w:eastAsia="仿宋" w:cs="Times New Roman"/>
          <w:lang w:val="en-US" w:eastAsia="zh-CN"/>
        </w:rPr>
        <w:t xml:space="preserve">  </w:t>
      </w:r>
      <w:r>
        <w:rPr>
          <w:rFonts w:hint="default" w:ascii="Times New Roman" w:hAnsi="Times New Roman" w:eastAsia="仿宋" w:cs="Times New Roman"/>
        </w:rPr>
        <w:t>李嘉欣  叶子豪  杨舒涵</w:t>
      </w:r>
    </w:p>
    <w:bookmarkEnd w:id="23"/>
    <w:p w14:paraId="3C9110BF">
      <w:pPr>
        <w:spacing w:line="20" w:lineRule="exact"/>
        <w:jc w:val="center"/>
        <w:rPr>
          <w:rFonts w:hint="default" w:ascii="Times New Roman" w:hAnsi="Times New Roman" w:eastAsia="黑体" w:cs="Times New Roman"/>
          <w:sz w:val="32"/>
          <w:szCs w:val="32"/>
        </w:rPr>
      </w:pPr>
      <w:bookmarkStart w:id="24" w:name="BookMark4"/>
    </w:p>
    <w:p w14:paraId="380C07CE">
      <w:pPr>
        <w:spacing w:line="20" w:lineRule="exact"/>
        <w:jc w:val="center"/>
        <w:rPr>
          <w:rFonts w:hint="default" w:ascii="Times New Roman" w:hAnsi="Times New Roman" w:eastAsia="黑体" w:cs="Times New Roman"/>
          <w:sz w:val="32"/>
          <w:szCs w:val="32"/>
        </w:rPr>
      </w:pPr>
    </w:p>
    <w:sdt>
      <w:sdtPr>
        <w:rPr>
          <w:rFonts w:hint="default" w:ascii="Times New Roman" w:hAnsi="Times New Roman" w:cs="Times New Roman"/>
        </w:rPr>
        <w:tag w:val="NEW_STAND_NAME"/>
        <w:id w:val="595910757"/>
        <w:lock w:val="sdtLocked"/>
        <w:placeholder>
          <w:docPart w:val="7E4D79857A3744BF8B06ECA5172CB02A"/>
        </w:placeholder>
      </w:sdtPr>
      <w:sdtEndPr>
        <w:rPr>
          <w:rFonts w:hint="default" w:ascii="Times New Roman" w:hAnsi="Times New Roman" w:cs="Times New Roman"/>
          <w:lang w:val="en-US" w:eastAsia="zh-CN"/>
        </w:rPr>
      </w:sdtEndPr>
      <w:sdtContent>
        <w:p w14:paraId="646FC825">
          <w:pPr>
            <w:pStyle w:val="178"/>
            <w:spacing w:after="0" w:line="240" w:lineRule="auto"/>
            <w:rPr>
              <w:rFonts w:hint="default" w:ascii="Times New Roman" w:hAnsi="Times New Roman" w:cs="Times New Roman"/>
              <w:lang w:val="en-US" w:eastAsia="zh-CN"/>
            </w:rPr>
          </w:pPr>
          <w:bookmarkStart w:id="25" w:name="NEW_STAND_NAME"/>
          <w:r>
            <w:rPr>
              <w:rFonts w:hint="default" w:ascii="Times New Roman" w:hAnsi="Times New Roman" w:cs="Times New Roman"/>
              <w:lang w:val="en-US" w:eastAsia="zh-CN"/>
            </w:rPr>
            <w:t>广州市工程建设企业信用等级评价规范</w:t>
          </w:r>
          <w:bookmarkEnd w:id="24"/>
          <w:bookmarkEnd w:id="25"/>
        </w:p>
      </w:sdtContent>
    </w:sdt>
    <w:p w14:paraId="6E84570E">
      <w:pPr>
        <w:pStyle w:val="90"/>
        <w:bidi w:val="0"/>
        <w:rPr>
          <w:rFonts w:hint="default" w:ascii="Times New Roman" w:hAnsi="Times New Roman" w:cs="Times New Roman"/>
          <w:lang w:val="en-US" w:eastAsia="zh-CN"/>
        </w:rPr>
      </w:pPr>
    </w:p>
    <w:p w14:paraId="34EB427D">
      <w:pPr>
        <w:pStyle w:val="90"/>
        <w:bidi w:val="0"/>
        <w:rPr>
          <w:rFonts w:hint="default" w:ascii="Times New Roman" w:hAnsi="Times New Roman" w:cs="Times New Roman"/>
          <w:lang w:eastAsia="zh-CN"/>
        </w:rPr>
      </w:pPr>
      <w:bookmarkStart w:id="26" w:name="_Toc10057"/>
      <w:r>
        <w:rPr>
          <w:rFonts w:hint="default" w:ascii="Times New Roman" w:hAnsi="Times New Roman" w:cs="Times New Roman"/>
          <w:lang w:val="en-US" w:eastAsia="zh-CN"/>
        </w:rPr>
        <w:t xml:space="preserve">1 </w:t>
      </w:r>
      <w:r>
        <w:rPr>
          <w:rFonts w:hint="default" w:ascii="Times New Roman" w:hAnsi="Times New Roman" w:cs="Times New Roman"/>
          <w:lang w:eastAsia="zh-CN"/>
        </w:rPr>
        <w:t>范围</w:t>
      </w:r>
      <w:bookmarkEnd w:id="26"/>
    </w:p>
    <w:p w14:paraId="406292D9">
      <w:pPr>
        <w:keepNext w:val="0"/>
        <w:keepLines w:val="0"/>
        <w:pageBreakBefore w:val="0"/>
        <w:widowControl/>
        <w:kinsoku/>
        <w:wordWrap/>
        <w:overflowPunct/>
        <w:topLinePunct w:val="0"/>
        <w:autoSpaceDE/>
        <w:autoSpaceDN/>
        <w:bidi w:val="0"/>
        <w:adjustRightInd/>
        <w:snapToGrid/>
        <w:spacing w:line="360" w:lineRule="auto"/>
        <w:ind w:firstLine="560" w:firstLineChars="200"/>
        <w:textAlignment w:val="auto"/>
        <w:rPr>
          <w:rFonts w:hint="default" w:ascii="Times New Roman" w:hAnsi="Times New Roman" w:eastAsia="仿宋" w:cs="Times New Roman"/>
          <w:color w:val="auto"/>
          <w:sz w:val="28"/>
          <w:szCs w:val="28"/>
          <w:highlight w:val="none"/>
          <w:lang w:eastAsia="zh-CN"/>
        </w:rPr>
      </w:pPr>
      <w:r>
        <w:rPr>
          <w:rFonts w:hint="default" w:ascii="Times New Roman" w:hAnsi="Times New Roman" w:eastAsia="仿宋" w:cs="Times New Roman"/>
          <w:color w:val="auto"/>
          <w:sz w:val="28"/>
          <w:szCs w:val="28"/>
          <w:highlight w:val="none"/>
          <w:lang w:eastAsia="zh-CN"/>
        </w:rPr>
        <w:t>本文件规定了工程建设企业信用等级评价的评价原则、评价信息来源、评价指标和内容、评价机构组织和职责、评价程序等相关要求。</w:t>
      </w:r>
    </w:p>
    <w:p w14:paraId="20A855B7">
      <w:pPr>
        <w:keepNext w:val="0"/>
        <w:keepLines w:val="0"/>
        <w:pageBreakBefore w:val="0"/>
        <w:widowControl/>
        <w:kinsoku/>
        <w:wordWrap/>
        <w:overflowPunct/>
        <w:topLinePunct w:val="0"/>
        <w:autoSpaceDE/>
        <w:autoSpaceDN/>
        <w:bidi w:val="0"/>
        <w:adjustRightInd/>
        <w:snapToGrid/>
        <w:spacing w:line="360" w:lineRule="auto"/>
        <w:ind w:firstLine="560" w:firstLineChars="200"/>
        <w:textAlignment w:val="auto"/>
        <w:rPr>
          <w:rFonts w:hint="default" w:ascii="Times New Roman" w:hAnsi="Times New Roman" w:eastAsia="仿宋" w:cs="Times New Roman"/>
          <w:color w:val="auto"/>
          <w:sz w:val="28"/>
          <w:szCs w:val="28"/>
          <w:highlight w:val="none"/>
          <w:lang w:eastAsia="zh-CN"/>
        </w:rPr>
      </w:pPr>
      <w:r>
        <w:rPr>
          <w:rFonts w:hint="default" w:ascii="Times New Roman" w:hAnsi="Times New Roman" w:eastAsia="仿宋" w:cs="Times New Roman"/>
          <w:color w:val="auto"/>
          <w:sz w:val="28"/>
          <w:szCs w:val="28"/>
          <w:highlight w:val="none"/>
          <w:lang w:eastAsia="zh-CN"/>
        </w:rPr>
        <w:t>本文件适用于工程建设企业开展信用等级评价。</w:t>
      </w:r>
    </w:p>
    <w:p w14:paraId="141FBA41">
      <w:pPr>
        <w:keepNext w:val="0"/>
        <w:keepLines w:val="0"/>
        <w:pageBreakBefore w:val="0"/>
        <w:widowControl/>
        <w:kinsoku/>
        <w:wordWrap/>
        <w:overflowPunct/>
        <w:topLinePunct w:val="0"/>
        <w:autoSpaceDE/>
        <w:autoSpaceDN/>
        <w:bidi w:val="0"/>
        <w:adjustRightInd/>
        <w:snapToGrid/>
        <w:spacing w:line="360" w:lineRule="auto"/>
        <w:ind w:firstLine="560" w:firstLineChars="200"/>
        <w:textAlignment w:val="auto"/>
        <w:rPr>
          <w:rFonts w:hint="default" w:ascii="Times New Roman" w:hAnsi="Times New Roman" w:eastAsia="仿宋" w:cs="Times New Roman"/>
          <w:color w:val="auto"/>
          <w:sz w:val="28"/>
          <w:szCs w:val="28"/>
          <w:highlight w:val="none"/>
          <w:lang w:eastAsia="zh-CN"/>
        </w:rPr>
      </w:pPr>
      <w:r>
        <w:rPr>
          <w:rFonts w:hint="default" w:ascii="Times New Roman" w:hAnsi="Times New Roman" w:eastAsia="仿宋" w:cs="Times New Roman"/>
          <w:color w:val="auto"/>
          <w:sz w:val="28"/>
          <w:szCs w:val="28"/>
          <w:highlight w:val="none"/>
          <w:lang w:eastAsia="zh-CN"/>
        </w:rPr>
        <w:t>注：本文件所指的工程建设企业是从事工程施工、勘察、设计、监理、咨询服务等类型的企业。</w:t>
      </w:r>
    </w:p>
    <w:p w14:paraId="61C8D827">
      <w:pPr>
        <w:pStyle w:val="90"/>
        <w:bidi w:val="0"/>
        <w:jc w:val="both"/>
        <w:rPr>
          <w:rFonts w:hint="default" w:ascii="Times New Roman" w:hAnsi="Times New Roman" w:cs="Times New Roman"/>
          <w:lang w:val="en-US" w:eastAsia="zh-CN"/>
        </w:rPr>
      </w:pPr>
      <w:bookmarkStart w:id="27" w:name="_Toc11782"/>
      <w:r>
        <w:rPr>
          <w:rFonts w:hint="default" w:ascii="Times New Roman" w:hAnsi="Times New Roman" w:cs="Times New Roman"/>
          <w:lang w:val="en-US" w:eastAsia="zh-CN"/>
        </w:rPr>
        <w:t>2 规范性引用文件</w:t>
      </w:r>
      <w:bookmarkEnd w:id="27"/>
    </w:p>
    <w:p w14:paraId="71193ADD">
      <w:pPr>
        <w:keepNext w:val="0"/>
        <w:keepLines w:val="0"/>
        <w:pageBreakBefore w:val="0"/>
        <w:widowControl/>
        <w:kinsoku/>
        <w:wordWrap/>
        <w:overflowPunct/>
        <w:topLinePunct w:val="0"/>
        <w:autoSpaceDE/>
        <w:autoSpaceDN/>
        <w:bidi w:val="0"/>
        <w:adjustRightInd/>
        <w:snapToGrid/>
        <w:spacing w:line="360" w:lineRule="auto"/>
        <w:ind w:firstLine="560" w:firstLineChars="200"/>
        <w:textAlignment w:val="auto"/>
        <w:rPr>
          <w:rFonts w:hint="default" w:ascii="Times New Roman" w:hAnsi="Times New Roman" w:eastAsia="仿宋" w:cs="Times New Roman"/>
          <w:color w:val="auto"/>
          <w:sz w:val="28"/>
          <w:szCs w:val="28"/>
          <w:highlight w:val="none"/>
          <w:lang w:eastAsia="zh-CN"/>
        </w:rPr>
      </w:pPr>
      <w:r>
        <w:rPr>
          <w:rFonts w:hint="default" w:ascii="Times New Roman" w:hAnsi="Times New Roman" w:eastAsia="仿宋" w:cs="Times New Roman"/>
          <w:color w:val="auto"/>
          <w:sz w:val="28"/>
          <w:szCs w:val="28"/>
          <w:highlight w:val="none"/>
          <w:lang w:eastAsia="zh-CN"/>
        </w:rPr>
        <w:t>下列文件中的内容通过文中的规范性引用而构成本文件必不可少的条款。其中，注日期的引用文件，仅该日期对应的版本适用于本文件：不注日期的引用文件，其最新版本（包括所有的修改单）适用于本文件。</w:t>
      </w:r>
    </w:p>
    <w:p w14:paraId="6FF4234C">
      <w:pPr>
        <w:keepNext w:val="0"/>
        <w:keepLines w:val="0"/>
        <w:pageBreakBefore w:val="0"/>
        <w:widowControl/>
        <w:kinsoku/>
        <w:wordWrap/>
        <w:overflowPunct/>
        <w:topLinePunct w:val="0"/>
        <w:autoSpaceDE/>
        <w:autoSpaceDN/>
        <w:bidi w:val="0"/>
        <w:adjustRightInd/>
        <w:snapToGrid/>
        <w:spacing w:line="360" w:lineRule="auto"/>
        <w:ind w:firstLine="560" w:firstLineChars="200"/>
        <w:textAlignment w:val="auto"/>
        <w:rPr>
          <w:rFonts w:hint="default" w:ascii="Times New Roman" w:hAnsi="Times New Roman" w:eastAsia="仿宋" w:cs="Times New Roman"/>
          <w:color w:val="auto"/>
          <w:sz w:val="28"/>
          <w:szCs w:val="28"/>
          <w:highlight w:val="none"/>
          <w:lang w:eastAsia="zh-CN"/>
        </w:rPr>
      </w:pPr>
      <w:r>
        <w:rPr>
          <w:rFonts w:hint="default" w:ascii="Times New Roman" w:hAnsi="Times New Roman" w:eastAsia="仿宋" w:cs="Times New Roman"/>
          <w:color w:val="auto"/>
          <w:sz w:val="28"/>
          <w:szCs w:val="28"/>
          <w:highlight w:val="none"/>
          <w:lang w:eastAsia="zh-CN"/>
        </w:rPr>
        <w:t>CB/T 22116-2008 企业信用等级表示方法</w:t>
      </w:r>
    </w:p>
    <w:p w14:paraId="03FB13EC">
      <w:pPr>
        <w:keepNext w:val="0"/>
        <w:keepLines w:val="0"/>
        <w:pageBreakBefore w:val="0"/>
        <w:widowControl/>
        <w:kinsoku/>
        <w:wordWrap/>
        <w:overflowPunct/>
        <w:topLinePunct w:val="0"/>
        <w:autoSpaceDE/>
        <w:autoSpaceDN/>
        <w:bidi w:val="0"/>
        <w:adjustRightInd/>
        <w:snapToGrid/>
        <w:spacing w:line="360" w:lineRule="auto"/>
        <w:ind w:firstLine="560" w:firstLineChars="200"/>
        <w:textAlignment w:val="auto"/>
        <w:rPr>
          <w:rFonts w:hint="default" w:ascii="Times New Roman" w:hAnsi="Times New Roman" w:eastAsia="仿宋" w:cs="Times New Roman"/>
          <w:color w:val="auto"/>
          <w:sz w:val="28"/>
          <w:szCs w:val="28"/>
          <w:highlight w:val="none"/>
          <w:lang w:eastAsia="zh-CN"/>
        </w:rPr>
      </w:pPr>
      <w:r>
        <w:rPr>
          <w:rFonts w:hint="default" w:ascii="Times New Roman" w:hAnsi="Times New Roman" w:eastAsia="仿宋" w:cs="Times New Roman"/>
          <w:color w:val="auto"/>
          <w:sz w:val="28"/>
          <w:szCs w:val="28"/>
          <w:highlight w:val="none"/>
          <w:lang w:eastAsia="zh-CN"/>
        </w:rPr>
        <w:t>GB/T 22117-2018信用基本术语</w:t>
      </w:r>
    </w:p>
    <w:p w14:paraId="5237FB35">
      <w:pPr>
        <w:keepNext w:val="0"/>
        <w:keepLines w:val="0"/>
        <w:pageBreakBefore w:val="0"/>
        <w:widowControl/>
        <w:kinsoku/>
        <w:wordWrap/>
        <w:overflowPunct/>
        <w:topLinePunct w:val="0"/>
        <w:autoSpaceDE/>
        <w:autoSpaceDN/>
        <w:bidi w:val="0"/>
        <w:adjustRightInd/>
        <w:snapToGrid/>
        <w:spacing w:line="360" w:lineRule="auto"/>
        <w:ind w:firstLine="560" w:firstLineChars="200"/>
        <w:textAlignment w:val="auto"/>
        <w:rPr>
          <w:rFonts w:hint="default" w:ascii="Times New Roman" w:hAnsi="Times New Roman" w:eastAsia="仿宋" w:cs="Times New Roman"/>
          <w:color w:val="auto"/>
          <w:sz w:val="28"/>
          <w:szCs w:val="28"/>
          <w:highlight w:val="none"/>
          <w:lang w:eastAsia="zh-CN"/>
        </w:rPr>
      </w:pPr>
      <w:r>
        <w:rPr>
          <w:rFonts w:hint="default" w:ascii="Times New Roman" w:hAnsi="Times New Roman" w:eastAsia="仿宋" w:cs="Times New Roman"/>
          <w:color w:val="auto"/>
          <w:sz w:val="28"/>
          <w:szCs w:val="28"/>
          <w:highlight w:val="none"/>
          <w:lang w:eastAsia="zh-CN"/>
        </w:rPr>
        <w:t>CB/T 23794-2023 企业信用评价指标</w:t>
      </w:r>
    </w:p>
    <w:p w14:paraId="48ACFC1E">
      <w:pPr>
        <w:keepNext w:val="0"/>
        <w:keepLines w:val="0"/>
        <w:pageBreakBefore w:val="0"/>
        <w:widowControl/>
        <w:kinsoku/>
        <w:wordWrap/>
        <w:overflowPunct/>
        <w:topLinePunct w:val="0"/>
        <w:autoSpaceDE/>
        <w:autoSpaceDN/>
        <w:bidi w:val="0"/>
        <w:adjustRightInd/>
        <w:snapToGrid/>
        <w:spacing w:line="360" w:lineRule="auto"/>
        <w:ind w:firstLine="560" w:firstLineChars="200"/>
        <w:textAlignment w:val="auto"/>
        <w:rPr>
          <w:rFonts w:hint="default" w:ascii="Times New Roman" w:hAnsi="Times New Roman" w:eastAsia="仿宋" w:cs="Times New Roman"/>
          <w:color w:val="auto"/>
          <w:sz w:val="28"/>
          <w:szCs w:val="28"/>
          <w:highlight w:val="none"/>
          <w:lang w:eastAsia="zh-CN"/>
        </w:rPr>
      </w:pPr>
      <w:r>
        <w:rPr>
          <w:rFonts w:hint="default" w:ascii="Times New Roman" w:hAnsi="Times New Roman" w:eastAsia="仿宋" w:cs="Times New Roman"/>
          <w:color w:val="auto"/>
          <w:sz w:val="28"/>
          <w:szCs w:val="28"/>
          <w:highlight w:val="none"/>
          <w:lang w:eastAsia="zh-CN"/>
        </w:rPr>
        <w:t>GB/T 31953-2023企业信用评估报告编制指南</w:t>
      </w:r>
    </w:p>
    <w:p w14:paraId="2F50D8E6">
      <w:pPr>
        <w:keepNext w:val="0"/>
        <w:keepLines w:val="0"/>
        <w:pageBreakBefore w:val="0"/>
        <w:widowControl/>
        <w:kinsoku/>
        <w:wordWrap/>
        <w:overflowPunct/>
        <w:topLinePunct w:val="0"/>
        <w:autoSpaceDE/>
        <w:autoSpaceDN/>
        <w:bidi w:val="0"/>
        <w:adjustRightInd/>
        <w:snapToGrid/>
        <w:spacing w:line="360" w:lineRule="auto"/>
        <w:ind w:firstLine="560" w:firstLineChars="200"/>
        <w:textAlignment w:val="auto"/>
        <w:rPr>
          <w:rFonts w:hint="default" w:ascii="Times New Roman" w:hAnsi="Times New Roman" w:eastAsia="仿宋" w:cs="Times New Roman"/>
          <w:color w:val="auto"/>
          <w:sz w:val="28"/>
          <w:szCs w:val="28"/>
          <w:highlight w:val="none"/>
          <w:lang w:eastAsia="zh-CN"/>
        </w:rPr>
      </w:pPr>
      <w:r>
        <w:rPr>
          <w:rFonts w:hint="default" w:ascii="Times New Roman" w:hAnsi="Times New Roman" w:eastAsia="仿宋" w:cs="Times New Roman"/>
          <w:color w:val="auto"/>
          <w:sz w:val="28"/>
          <w:szCs w:val="28"/>
          <w:highlight w:val="none"/>
          <w:lang w:eastAsia="zh-CN"/>
        </w:rPr>
        <w:t>GB/T 22119-2017 信用服务机构 诚信评价业务规范</w:t>
      </w:r>
    </w:p>
    <w:p w14:paraId="09FB0CEA">
      <w:pPr>
        <w:keepNext w:val="0"/>
        <w:keepLines w:val="0"/>
        <w:pageBreakBefore w:val="0"/>
        <w:widowControl/>
        <w:kinsoku/>
        <w:wordWrap/>
        <w:overflowPunct/>
        <w:topLinePunct w:val="0"/>
        <w:autoSpaceDE/>
        <w:autoSpaceDN/>
        <w:bidi w:val="0"/>
        <w:adjustRightInd/>
        <w:snapToGrid/>
        <w:spacing w:line="360" w:lineRule="auto"/>
        <w:ind w:firstLine="560" w:firstLineChars="200"/>
        <w:textAlignment w:val="auto"/>
        <w:rPr>
          <w:rFonts w:hint="default" w:ascii="Times New Roman" w:hAnsi="Times New Roman" w:eastAsia="仿宋" w:cs="Times New Roman"/>
          <w:color w:val="auto"/>
          <w:sz w:val="28"/>
          <w:szCs w:val="28"/>
          <w:highlight w:val="none"/>
          <w:lang w:eastAsia="zh-CN"/>
        </w:rPr>
      </w:pPr>
      <w:r>
        <w:rPr>
          <w:rFonts w:hint="default" w:ascii="Times New Roman" w:hAnsi="Times New Roman" w:eastAsia="仿宋" w:cs="Times New Roman"/>
          <w:color w:val="auto"/>
          <w:sz w:val="28"/>
          <w:szCs w:val="28"/>
          <w:highlight w:val="none"/>
          <w:lang w:eastAsia="zh-CN"/>
        </w:rPr>
        <w:t>CB/T1.1-2020标准化工作导则第1部分：标准化文件的结构和起草规则</w:t>
      </w:r>
    </w:p>
    <w:p w14:paraId="3EB69436">
      <w:pPr>
        <w:pStyle w:val="90"/>
        <w:numPr>
          <w:ilvl w:val="0"/>
          <w:numId w:val="0"/>
        </w:numPr>
        <w:shd w:val="clear" w:color="FFFFFF" w:fill="FFFFFF"/>
        <w:bidi w:val="0"/>
        <w:ind w:firstLine="280" w:firstLineChars="100"/>
        <w:jc w:val="both"/>
        <w:rPr>
          <w:rFonts w:hint="default" w:ascii="Times New Roman" w:hAnsi="Times New Roman" w:cs="Times New Roman"/>
          <w:lang w:val="en-US" w:eastAsia="zh-CN"/>
        </w:rPr>
      </w:pPr>
      <w:bookmarkStart w:id="28" w:name="_Toc10500"/>
      <w:r>
        <w:rPr>
          <w:rFonts w:hint="default" w:ascii="Times New Roman" w:hAnsi="Times New Roman" w:cs="Times New Roman"/>
          <w:lang w:val="en-US" w:eastAsia="zh-CN"/>
        </w:rPr>
        <w:t>3 术语和定义</w:t>
      </w:r>
      <w:bookmarkEnd w:id="28"/>
    </w:p>
    <w:p w14:paraId="7D60A98A">
      <w:pPr>
        <w:keepNext w:val="0"/>
        <w:keepLines w:val="0"/>
        <w:pageBreakBefore w:val="0"/>
        <w:widowControl/>
        <w:kinsoku/>
        <w:wordWrap/>
        <w:overflowPunct/>
        <w:topLinePunct w:val="0"/>
        <w:autoSpaceDE/>
        <w:autoSpaceDN/>
        <w:bidi w:val="0"/>
        <w:adjustRightInd/>
        <w:snapToGrid/>
        <w:spacing w:line="360" w:lineRule="auto"/>
        <w:textAlignment w:val="auto"/>
        <w:rPr>
          <w:rFonts w:hint="default" w:ascii="Times New Roman" w:hAnsi="Times New Roman" w:eastAsia="仿宋" w:cs="Times New Roman"/>
          <w:color w:val="auto"/>
          <w:sz w:val="28"/>
          <w:szCs w:val="28"/>
          <w:highlight w:val="none"/>
          <w:lang w:eastAsia="zh-CN"/>
        </w:rPr>
      </w:pPr>
      <w:r>
        <w:rPr>
          <w:rFonts w:hint="default" w:ascii="Times New Roman" w:hAnsi="Times New Roman" w:eastAsia="仿宋" w:cs="Times New Roman"/>
          <w:color w:val="auto"/>
          <w:sz w:val="28"/>
          <w:szCs w:val="28"/>
          <w:highlight w:val="none"/>
          <w:lang w:eastAsia="zh-CN"/>
        </w:rPr>
        <w:t>3.1企业信用</w:t>
      </w:r>
      <w:r>
        <w:rPr>
          <w:rFonts w:hint="default" w:ascii="Times New Roman" w:hAnsi="Times New Roman" w:eastAsia="仿宋" w:cs="Times New Roman"/>
          <w:color w:val="auto"/>
          <w:sz w:val="28"/>
          <w:szCs w:val="28"/>
          <w:highlight w:val="none"/>
          <w:lang w:val="en-US" w:eastAsia="zh-CN"/>
        </w:rPr>
        <w:t>等级</w:t>
      </w:r>
      <w:r>
        <w:rPr>
          <w:rFonts w:hint="default" w:ascii="Times New Roman" w:hAnsi="Times New Roman" w:eastAsia="仿宋" w:cs="Times New Roman"/>
          <w:color w:val="auto"/>
          <w:sz w:val="28"/>
          <w:szCs w:val="28"/>
          <w:highlight w:val="none"/>
          <w:lang w:eastAsia="zh-CN"/>
        </w:rPr>
        <w:t>评价</w:t>
      </w:r>
    </w:p>
    <w:p w14:paraId="106E6431">
      <w:pPr>
        <w:keepNext w:val="0"/>
        <w:keepLines w:val="0"/>
        <w:pageBreakBefore w:val="0"/>
        <w:widowControl/>
        <w:kinsoku/>
        <w:wordWrap/>
        <w:overflowPunct/>
        <w:topLinePunct w:val="0"/>
        <w:autoSpaceDE/>
        <w:autoSpaceDN/>
        <w:bidi w:val="0"/>
        <w:adjustRightInd/>
        <w:snapToGrid/>
        <w:spacing w:line="360" w:lineRule="auto"/>
        <w:ind w:firstLine="560" w:firstLineChars="200"/>
        <w:textAlignment w:val="auto"/>
        <w:rPr>
          <w:rFonts w:hint="default" w:ascii="Times New Roman" w:hAnsi="Times New Roman" w:eastAsia="仿宋" w:cs="Times New Roman"/>
          <w:color w:val="auto"/>
          <w:sz w:val="28"/>
          <w:szCs w:val="28"/>
          <w:highlight w:val="none"/>
          <w:lang w:eastAsia="zh-CN"/>
        </w:rPr>
      </w:pPr>
      <w:r>
        <w:rPr>
          <w:rFonts w:hint="default" w:ascii="Times New Roman" w:hAnsi="Times New Roman" w:eastAsia="仿宋" w:cs="Times New Roman"/>
          <w:color w:val="auto"/>
          <w:sz w:val="28"/>
          <w:szCs w:val="28"/>
          <w:highlight w:val="none"/>
          <w:lang w:eastAsia="zh-CN"/>
        </w:rPr>
        <w:t>对企业履行法定义务、约定义务自主承诺的意愿、能力和行为的综合评估活动。[GB/T 23794-2023]</w:t>
      </w:r>
    </w:p>
    <w:p w14:paraId="00550FBE">
      <w:pPr>
        <w:keepNext w:val="0"/>
        <w:keepLines w:val="0"/>
        <w:pageBreakBefore w:val="0"/>
        <w:widowControl/>
        <w:kinsoku/>
        <w:wordWrap/>
        <w:overflowPunct/>
        <w:topLinePunct w:val="0"/>
        <w:autoSpaceDE/>
        <w:autoSpaceDN/>
        <w:bidi w:val="0"/>
        <w:adjustRightInd/>
        <w:snapToGrid/>
        <w:spacing w:line="360" w:lineRule="auto"/>
        <w:ind w:firstLine="0" w:firstLineChars="0"/>
        <w:textAlignment w:val="auto"/>
        <w:rPr>
          <w:rFonts w:hint="default" w:ascii="Times New Roman" w:hAnsi="Times New Roman" w:eastAsia="仿宋" w:cs="Times New Roman"/>
          <w:color w:val="auto"/>
          <w:sz w:val="28"/>
          <w:szCs w:val="28"/>
          <w:highlight w:val="none"/>
          <w:lang w:eastAsia="zh-CN"/>
        </w:rPr>
      </w:pPr>
      <w:r>
        <w:rPr>
          <w:rFonts w:hint="default" w:ascii="Times New Roman" w:hAnsi="Times New Roman" w:eastAsia="仿宋" w:cs="Times New Roman"/>
          <w:color w:val="auto"/>
          <w:sz w:val="28"/>
          <w:szCs w:val="28"/>
          <w:highlight w:val="none"/>
          <w:lang w:eastAsia="zh-CN"/>
        </w:rPr>
        <w:t>3.2评价机构</w:t>
      </w:r>
    </w:p>
    <w:p w14:paraId="5A49A232">
      <w:pPr>
        <w:keepNext w:val="0"/>
        <w:keepLines w:val="0"/>
        <w:pageBreakBefore w:val="0"/>
        <w:widowControl/>
        <w:kinsoku/>
        <w:wordWrap/>
        <w:overflowPunct/>
        <w:topLinePunct w:val="0"/>
        <w:autoSpaceDE/>
        <w:autoSpaceDN/>
        <w:bidi w:val="0"/>
        <w:adjustRightInd/>
        <w:snapToGrid/>
        <w:spacing w:line="360" w:lineRule="auto"/>
        <w:ind w:firstLine="560" w:firstLineChars="200"/>
        <w:textAlignment w:val="auto"/>
        <w:rPr>
          <w:rFonts w:hint="default" w:ascii="Times New Roman" w:hAnsi="Times New Roman" w:eastAsia="仿宋" w:cs="Times New Roman"/>
          <w:color w:val="auto"/>
          <w:sz w:val="28"/>
          <w:szCs w:val="28"/>
          <w:highlight w:val="none"/>
          <w:lang w:eastAsia="zh-CN"/>
        </w:rPr>
      </w:pPr>
      <w:r>
        <w:rPr>
          <w:rFonts w:hint="default" w:ascii="Times New Roman" w:hAnsi="Times New Roman" w:eastAsia="仿宋" w:cs="Times New Roman"/>
          <w:color w:val="auto"/>
          <w:sz w:val="28"/>
          <w:szCs w:val="28"/>
          <w:highlight w:val="none"/>
          <w:lang w:eastAsia="zh-CN"/>
        </w:rPr>
        <w:t>依法设立的具备信用评价资格和能力的社会机构。</w:t>
      </w:r>
    </w:p>
    <w:p w14:paraId="55E03E84">
      <w:pPr>
        <w:keepNext w:val="0"/>
        <w:keepLines w:val="0"/>
        <w:pageBreakBefore w:val="0"/>
        <w:widowControl/>
        <w:kinsoku/>
        <w:wordWrap/>
        <w:overflowPunct/>
        <w:topLinePunct w:val="0"/>
        <w:autoSpaceDE/>
        <w:autoSpaceDN/>
        <w:bidi w:val="0"/>
        <w:adjustRightInd/>
        <w:snapToGrid/>
        <w:spacing w:line="360" w:lineRule="auto"/>
        <w:ind w:firstLine="560" w:firstLineChars="200"/>
        <w:textAlignment w:val="auto"/>
        <w:rPr>
          <w:rFonts w:hint="default" w:ascii="Times New Roman" w:hAnsi="Times New Roman" w:eastAsia="仿宋" w:cs="Times New Roman"/>
          <w:color w:val="auto"/>
          <w:sz w:val="28"/>
          <w:szCs w:val="28"/>
          <w:highlight w:val="none"/>
          <w:lang w:eastAsia="zh-CN"/>
        </w:rPr>
      </w:pPr>
      <w:r>
        <w:rPr>
          <w:rFonts w:hint="default" w:ascii="Times New Roman" w:hAnsi="Times New Roman" w:eastAsia="仿宋" w:cs="Times New Roman"/>
          <w:color w:val="auto"/>
          <w:sz w:val="28"/>
          <w:szCs w:val="28"/>
          <w:highlight w:val="none"/>
          <w:lang w:eastAsia="zh-CN"/>
        </w:rPr>
        <w:t>注：本文件中的评价机构是指广州市建筑业联合会信用评价工作委员会。</w:t>
      </w:r>
    </w:p>
    <w:p w14:paraId="16CB3AD4">
      <w:pPr>
        <w:keepNext w:val="0"/>
        <w:keepLines w:val="0"/>
        <w:pageBreakBefore w:val="0"/>
        <w:widowControl/>
        <w:kinsoku/>
        <w:wordWrap/>
        <w:overflowPunct/>
        <w:topLinePunct w:val="0"/>
        <w:autoSpaceDE/>
        <w:autoSpaceDN/>
        <w:bidi w:val="0"/>
        <w:adjustRightInd/>
        <w:snapToGrid/>
        <w:spacing w:line="360" w:lineRule="auto"/>
        <w:ind w:firstLine="280" w:firstLineChars="100"/>
        <w:textAlignment w:val="auto"/>
        <w:rPr>
          <w:rFonts w:hint="default" w:ascii="Times New Roman" w:hAnsi="Times New Roman" w:eastAsia="仿宋" w:cs="Times New Roman"/>
          <w:color w:val="auto"/>
          <w:sz w:val="28"/>
          <w:szCs w:val="28"/>
          <w:highlight w:val="none"/>
          <w:lang w:eastAsia="zh-CN"/>
        </w:rPr>
      </w:pPr>
      <w:r>
        <w:rPr>
          <w:rFonts w:hint="default" w:ascii="Times New Roman" w:hAnsi="Times New Roman" w:eastAsia="仿宋" w:cs="Times New Roman"/>
          <w:color w:val="auto"/>
          <w:sz w:val="28"/>
          <w:szCs w:val="28"/>
          <w:highlight w:val="none"/>
          <w:lang w:eastAsia="zh-CN"/>
        </w:rPr>
        <w:t>3.3评价对象</w:t>
      </w:r>
    </w:p>
    <w:p w14:paraId="0D9C8793">
      <w:pPr>
        <w:keepNext w:val="0"/>
        <w:keepLines w:val="0"/>
        <w:pageBreakBefore w:val="0"/>
        <w:widowControl/>
        <w:kinsoku/>
        <w:wordWrap/>
        <w:overflowPunct/>
        <w:topLinePunct w:val="0"/>
        <w:autoSpaceDE/>
        <w:autoSpaceDN/>
        <w:bidi w:val="0"/>
        <w:adjustRightInd/>
        <w:snapToGrid/>
        <w:spacing w:line="360" w:lineRule="auto"/>
        <w:ind w:firstLine="560" w:firstLineChars="200"/>
        <w:textAlignment w:val="auto"/>
        <w:rPr>
          <w:rFonts w:hint="default" w:ascii="Times New Roman" w:hAnsi="Times New Roman" w:eastAsia="仿宋" w:cs="Times New Roman"/>
          <w:color w:val="auto"/>
          <w:sz w:val="28"/>
          <w:szCs w:val="28"/>
          <w:highlight w:val="none"/>
          <w:lang w:eastAsia="zh-CN"/>
        </w:rPr>
      </w:pPr>
      <w:r>
        <w:rPr>
          <w:rFonts w:hint="default" w:ascii="Times New Roman" w:hAnsi="Times New Roman" w:eastAsia="仿宋" w:cs="Times New Roman"/>
          <w:color w:val="auto"/>
          <w:sz w:val="28"/>
          <w:szCs w:val="28"/>
          <w:highlight w:val="none"/>
          <w:lang w:eastAsia="zh-CN"/>
        </w:rPr>
        <w:t>受评企业。</w:t>
      </w:r>
    </w:p>
    <w:p w14:paraId="4909BA7D">
      <w:pPr>
        <w:keepNext w:val="0"/>
        <w:keepLines w:val="0"/>
        <w:pageBreakBefore w:val="0"/>
        <w:widowControl/>
        <w:kinsoku/>
        <w:wordWrap/>
        <w:overflowPunct/>
        <w:topLinePunct w:val="0"/>
        <w:autoSpaceDE/>
        <w:autoSpaceDN/>
        <w:bidi w:val="0"/>
        <w:adjustRightInd/>
        <w:snapToGrid/>
        <w:spacing w:line="360" w:lineRule="auto"/>
        <w:ind w:firstLine="560" w:firstLineChars="200"/>
        <w:textAlignment w:val="auto"/>
        <w:rPr>
          <w:rFonts w:hint="default" w:ascii="Times New Roman" w:hAnsi="Times New Roman" w:eastAsia="仿宋" w:cs="Times New Roman"/>
          <w:color w:val="auto"/>
          <w:sz w:val="28"/>
          <w:szCs w:val="28"/>
          <w:highlight w:val="none"/>
          <w:lang w:eastAsia="zh-CN"/>
        </w:rPr>
      </w:pPr>
      <w:r>
        <w:rPr>
          <w:rFonts w:hint="default" w:ascii="Times New Roman" w:hAnsi="Times New Roman" w:eastAsia="仿宋" w:cs="Times New Roman"/>
          <w:color w:val="auto"/>
          <w:sz w:val="28"/>
          <w:szCs w:val="28"/>
          <w:highlight w:val="none"/>
          <w:lang w:eastAsia="zh-CN"/>
        </w:rPr>
        <w:t>注：本文件中的评价对象是指工程建设企业。</w:t>
      </w:r>
    </w:p>
    <w:p w14:paraId="15442E12">
      <w:pPr>
        <w:pStyle w:val="90"/>
        <w:numPr>
          <w:ilvl w:val="0"/>
          <w:numId w:val="0"/>
        </w:numPr>
        <w:shd w:val="clear" w:color="FFFFFF" w:fill="FFFFFF"/>
        <w:bidi w:val="0"/>
        <w:ind w:firstLine="560" w:firstLineChars="200"/>
        <w:jc w:val="both"/>
        <w:rPr>
          <w:rFonts w:hint="default" w:ascii="Times New Roman" w:hAnsi="Times New Roman" w:cs="Times New Roman"/>
          <w:lang w:val="en-US" w:eastAsia="zh-CN"/>
        </w:rPr>
      </w:pPr>
      <w:bookmarkStart w:id="29" w:name="_Toc13789"/>
      <w:r>
        <w:rPr>
          <w:rFonts w:hint="default" w:ascii="Times New Roman" w:hAnsi="Times New Roman" w:cs="Times New Roman"/>
          <w:lang w:val="en-US" w:eastAsia="zh-CN"/>
        </w:rPr>
        <w:t>4 评价原则</w:t>
      </w:r>
      <w:bookmarkEnd w:id="29"/>
    </w:p>
    <w:p w14:paraId="73A82826">
      <w:pPr>
        <w:keepNext w:val="0"/>
        <w:keepLines w:val="0"/>
        <w:pageBreakBefore w:val="0"/>
        <w:widowControl/>
        <w:kinsoku/>
        <w:wordWrap/>
        <w:overflowPunct/>
        <w:topLinePunct w:val="0"/>
        <w:autoSpaceDE/>
        <w:autoSpaceDN/>
        <w:bidi w:val="0"/>
        <w:adjustRightInd/>
        <w:snapToGrid/>
        <w:spacing w:line="360" w:lineRule="auto"/>
        <w:ind w:firstLine="280" w:firstLineChars="100"/>
        <w:textAlignment w:val="auto"/>
        <w:rPr>
          <w:rFonts w:hint="default" w:ascii="Times New Roman" w:hAnsi="Times New Roman" w:eastAsia="仿宋" w:cs="Times New Roman"/>
          <w:color w:val="auto"/>
          <w:sz w:val="28"/>
          <w:szCs w:val="28"/>
          <w:highlight w:val="none"/>
          <w:lang w:eastAsia="zh-CN"/>
        </w:rPr>
      </w:pPr>
      <w:r>
        <w:rPr>
          <w:rFonts w:hint="default" w:ascii="Times New Roman" w:hAnsi="Times New Roman" w:eastAsia="仿宋" w:cs="Times New Roman"/>
          <w:color w:val="auto"/>
          <w:sz w:val="28"/>
          <w:szCs w:val="28"/>
          <w:highlight w:val="none"/>
          <w:lang w:eastAsia="zh-CN"/>
        </w:rPr>
        <w:t>a）以事实和客观证据为判定依据；</w:t>
      </w:r>
    </w:p>
    <w:p w14:paraId="1519422D">
      <w:pPr>
        <w:keepNext w:val="0"/>
        <w:keepLines w:val="0"/>
        <w:pageBreakBefore w:val="0"/>
        <w:widowControl/>
        <w:kinsoku/>
        <w:wordWrap/>
        <w:overflowPunct/>
        <w:topLinePunct w:val="0"/>
        <w:autoSpaceDE/>
        <w:autoSpaceDN/>
        <w:bidi w:val="0"/>
        <w:adjustRightInd/>
        <w:snapToGrid/>
        <w:spacing w:line="360" w:lineRule="auto"/>
        <w:ind w:firstLine="280" w:firstLineChars="100"/>
        <w:textAlignment w:val="auto"/>
        <w:rPr>
          <w:rFonts w:hint="default" w:ascii="Times New Roman" w:hAnsi="Times New Roman" w:eastAsia="仿宋" w:cs="Times New Roman"/>
          <w:color w:val="auto"/>
          <w:sz w:val="28"/>
          <w:szCs w:val="28"/>
          <w:highlight w:val="none"/>
          <w:lang w:eastAsia="zh-CN"/>
        </w:rPr>
      </w:pPr>
      <w:r>
        <w:rPr>
          <w:rFonts w:hint="default" w:ascii="Times New Roman" w:hAnsi="Times New Roman" w:eastAsia="仿宋" w:cs="Times New Roman"/>
          <w:color w:val="auto"/>
          <w:sz w:val="28"/>
          <w:szCs w:val="28"/>
          <w:highlight w:val="none"/>
          <w:lang w:eastAsia="zh-CN"/>
        </w:rPr>
        <w:t>b）科学、独立、公正、客观、公平；</w:t>
      </w:r>
    </w:p>
    <w:p w14:paraId="5998F880">
      <w:pPr>
        <w:keepNext w:val="0"/>
        <w:keepLines w:val="0"/>
        <w:pageBreakBefore w:val="0"/>
        <w:widowControl/>
        <w:kinsoku/>
        <w:wordWrap/>
        <w:overflowPunct/>
        <w:topLinePunct w:val="0"/>
        <w:autoSpaceDE/>
        <w:autoSpaceDN/>
        <w:bidi w:val="0"/>
        <w:adjustRightInd/>
        <w:snapToGrid/>
        <w:spacing w:line="360" w:lineRule="auto"/>
        <w:ind w:firstLine="280" w:firstLineChars="100"/>
        <w:textAlignment w:val="auto"/>
        <w:rPr>
          <w:rFonts w:hint="default" w:ascii="Times New Roman" w:hAnsi="Times New Roman" w:eastAsia="仿宋" w:cs="Times New Roman"/>
          <w:color w:val="auto"/>
          <w:sz w:val="28"/>
          <w:szCs w:val="28"/>
          <w:highlight w:val="none"/>
          <w:lang w:eastAsia="zh-CN"/>
        </w:rPr>
      </w:pPr>
      <w:r>
        <w:rPr>
          <w:rFonts w:hint="default" w:ascii="Times New Roman" w:hAnsi="Times New Roman" w:eastAsia="仿宋" w:cs="Times New Roman"/>
          <w:color w:val="auto"/>
          <w:sz w:val="28"/>
          <w:szCs w:val="28"/>
          <w:highlight w:val="none"/>
          <w:lang w:eastAsia="zh-CN"/>
        </w:rPr>
        <w:t>c）采用的程序、评价方法对外公开。</w:t>
      </w:r>
    </w:p>
    <w:p w14:paraId="6C2E0D47">
      <w:pPr>
        <w:pStyle w:val="90"/>
        <w:numPr>
          <w:ilvl w:val="0"/>
          <w:numId w:val="0"/>
        </w:numPr>
        <w:shd w:val="clear" w:color="FFFFFF" w:fill="FFFFFF"/>
        <w:bidi w:val="0"/>
        <w:ind w:leftChars="0" w:firstLine="560" w:firstLineChars="200"/>
        <w:rPr>
          <w:rFonts w:hint="default" w:ascii="Times New Roman" w:hAnsi="Times New Roman" w:cs="Times New Roman"/>
          <w:lang w:val="en-US" w:eastAsia="zh-CN"/>
        </w:rPr>
      </w:pPr>
      <w:bookmarkStart w:id="30" w:name="_Toc21382"/>
      <w:r>
        <w:rPr>
          <w:rFonts w:hint="default" w:ascii="Times New Roman" w:hAnsi="Times New Roman" w:cs="Times New Roman"/>
          <w:lang w:val="en-US" w:eastAsia="zh-CN"/>
        </w:rPr>
        <w:t>5 评价信息来源</w:t>
      </w:r>
      <w:bookmarkEnd w:id="30"/>
    </w:p>
    <w:p w14:paraId="17DC130A">
      <w:pPr>
        <w:keepNext w:val="0"/>
        <w:keepLines w:val="0"/>
        <w:pageBreakBefore w:val="0"/>
        <w:widowControl/>
        <w:kinsoku/>
        <w:wordWrap/>
        <w:overflowPunct/>
        <w:topLinePunct w:val="0"/>
        <w:autoSpaceDE/>
        <w:autoSpaceDN/>
        <w:bidi w:val="0"/>
        <w:adjustRightInd/>
        <w:snapToGrid/>
        <w:spacing w:line="360" w:lineRule="auto"/>
        <w:ind w:firstLine="280" w:firstLineChars="100"/>
        <w:textAlignment w:val="auto"/>
        <w:rPr>
          <w:rFonts w:hint="default" w:ascii="Times New Roman" w:hAnsi="Times New Roman" w:eastAsia="仿宋" w:cs="Times New Roman"/>
          <w:color w:val="auto"/>
          <w:sz w:val="28"/>
          <w:szCs w:val="28"/>
          <w:highlight w:val="none"/>
          <w:lang w:eastAsia="zh-CN"/>
        </w:rPr>
      </w:pPr>
      <w:r>
        <w:rPr>
          <w:rFonts w:hint="default" w:ascii="Times New Roman" w:hAnsi="Times New Roman" w:eastAsia="仿宋" w:cs="Times New Roman"/>
          <w:color w:val="auto"/>
          <w:sz w:val="28"/>
          <w:szCs w:val="28"/>
          <w:highlight w:val="none"/>
          <w:lang w:eastAsia="zh-CN"/>
        </w:rPr>
        <w:t>a）本文件及与信用评价相关的法律法规、政策、规章：T/ZSQX 024-2024</w:t>
      </w:r>
    </w:p>
    <w:p w14:paraId="47DAA5CA">
      <w:pPr>
        <w:keepNext w:val="0"/>
        <w:keepLines w:val="0"/>
        <w:pageBreakBefore w:val="0"/>
        <w:widowControl/>
        <w:kinsoku/>
        <w:wordWrap/>
        <w:overflowPunct/>
        <w:topLinePunct w:val="0"/>
        <w:autoSpaceDE/>
        <w:autoSpaceDN/>
        <w:bidi w:val="0"/>
        <w:adjustRightInd/>
        <w:snapToGrid/>
        <w:spacing w:line="360" w:lineRule="auto"/>
        <w:ind w:firstLine="280" w:firstLineChars="100"/>
        <w:textAlignment w:val="auto"/>
        <w:rPr>
          <w:rFonts w:hint="default" w:ascii="Times New Roman" w:hAnsi="Times New Roman" w:eastAsia="仿宋" w:cs="Times New Roman"/>
          <w:color w:val="auto"/>
          <w:sz w:val="28"/>
          <w:szCs w:val="28"/>
          <w:highlight w:val="none"/>
          <w:lang w:eastAsia="zh-CN"/>
        </w:rPr>
      </w:pPr>
      <w:r>
        <w:rPr>
          <w:rFonts w:hint="default" w:ascii="Times New Roman" w:hAnsi="Times New Roman" w:eastAsia="仿宋" w:cs="Times New Roman"/>
          <w:color w:val="auto"/>
          <w:sz w:val="28"/>
          <w:szCs w:val="28"/>
          <w:highlight w:val="none"/>
          <w:lang w:eastAsia="zh-CN"/>
        </w:rPr>
        <w:t>b）评价机构收集和观察获得的信用信息；</w:t>
      </w:r>
    </w:p>
    <w:p w14:paraId="7F75E3F3">
      <w:pPr>
        <w:keepNext w:val="0"/>
        <w:keepLines w:val="0"/>
        <w:pageBreakBefore w:val="0"/>
        <w:widowControl/>
        <w:kinsoku/>
        <w:wordWrap/>
        <w:overflowPunct/>
        <w:topLinePunct w:val="0"/>
        <w:autoSpaceDE/>
        <w:autoSpaceDN/>
        <w:bidi w:val="0"/>
        <w:adjustRightInd/>
        <w:snapToGrid/>
        <w:spacing w:line="360" w:lineRule="auto"/>
        <w:ind w:firstLine="280" w:firstLineChars="100"/>
        <w:textAlignment w:val="auto"/>
        <w:rPr>
          <w:rFonts w:hint="default" w:ascii="Times New Roman" w:hAnsi="Times New Roman" w:eastAsia="仿宋" w:cs="Times New Roman"/>
          <w:color w:val="auto"/>
          <w:sz w:val="28"/>
          <w:szCs w:val="28"/>
          <w:highlight w:val="none"/>
          <w:lang w:eastAsia="zh-CN"/>
        </w:rPr>
      </w:pPr>
      <w:r>
        <w:rPr>
          <w:rFonts w:hint="default" w:ascii="Times New Roman" w:hAnsi="Times New Roman" w:eastAsia="仿宋" w:cs="Times New Roman"/>
          <w:color w:val="auto"/>
          <w:sz w:val="28"/>
          <w:szCs w:val="28"/>
          <w:highlight w:val="none"/>
          <w:lang w:eastAsia="zh-CN"/>
        </w:rPr>
        <w:t>c）受评企业提供和出示的信用客观证据。</w:t>
      </w:r>
    </w:p>
    <w:p w14:paraId="3C4DD1FF">
      <w:pPr>
        <w:pStyle w:val="90"/>
        <w:numPr>
          <w:ilvl w:val="0"/>
          <w:numId w:val="0"/>
        </w:numPr>
        <w:shd w:val="clear" w:color="FFFFFF" w:fill="FFFFFF"/>
        <w:bidi w:val="0"/>
        <w:ind w:leftChars="0" w:firstLine="560" w:firstLineChars="200"/>
        <w:rPr>
          <w:rFonts w:hint="default" w:ascii="Times New Roman" w:hAnsi="Times New Roman" w:cs="Times New Roman"/>
          <w:lang w:val="en-US" w:eastAsia="zh-CN"/>
        </w:rPr>
      </w:pPr>
      <w:bookmarkStart w:id="31" w:name="_Toc13531"/>
      <w:r>
        <w:rPr>
          <w:rFonts w:hint="default" w:ascii="Times New Roman" w:hAnsi="Times New Roman" w:cs="Times New Roman"/>
          <w:lang w:val="en-US" w:eastAsia="zh-CN"/>
        </w:rPr>
        <w:t>6 评价指标和内容</w:t>
      </w:r>
      <w:bookmarkEnd w:id="31"/>
    </w:p>
    <w:p w14:paraId="699B17B5">
      <w:pPr>
        <w:keepNext w:val="0"/>
        <w:keepLines w:val="0"/>
        <w:pageBreakBefore w:val="0"/>
        <w:widowControl/>
        <w:kinsoku/>
        <w:wordWrap/>
        <w:overflowPunct/>
        <w:topLinePunct w:val="0"/>
        <w:autoSpaceDE/>
        <w:autoSpaceDN/>
        <w:bidi w:val="0"/>
        <w:adjustRightInd/>
        <w:snapToGrid/>
        <w:spacing w:line="360" w:lineRule="auto"/>
        <w:ind w:firstLine="560" w:firstLineChars="200"/>
        <w:textAlignment w:val="auto"/>
        <w:rPr>
          <w:rFonts w:hint="default" w:ascii="Times New Roman" w:hAnsi="Times New Roman" w:eastAsia="仿宋" w:cs="Times New Roman"/>
          <w:color w:val="auto"/>
          <w:sz w:val="28"/>
          <w:szCs w:val="28"/>
          <w:highlight w:val="none"/>
          <w:lang w:eastAsia="zh-CN"/>
        </w:rPr>
      </w:pPr>
      <w:r>
        <w:rPr>
          <w:rFonts w:hint="default" w:ascii="Times New Roman" w:hAnsi="Times New Roman" w:eastAsia="仿宋" w:cs="Times New Roman"/>
          <w:color w:val="auto"/>
          <w:sz w:val="28"/>
          <w:szCs w:val="28"/>
          <w:highlight w:val="none"/>
          <w:lang w:eastAsia="zh-CN"/>
        </w:rPr>
        <w:t>信用评价是按照《广州市工程建设企业信用等级评价指标》对企业基本素质、经济财务、企业管理、科技创新、信用记录、社会责任等六个方面进行综合评分后（</w:t>
      </w:r>
      <w:r>
        <w:rPr>
          <w:rFonts w:hint="default" w:ascii="Times New Roman" w:hAnsi="Times New Roman" w:eastAsia="仿宋" w:cs="Times New Roman"/>
          <w:color w:val="auto"/>
          <w:sz w:val="28"/>
          <w:szCs w:val="28"/>
          <w:highlight w:val="none"/>
          <w:lang w:val="en-US" w:eastAsia="zh-CN"/>
        </w:rPr>
        <w:t>详见附件</w:t>
      </w:r>
      <w:r>
        <w:rPr>
          <w:rFonts w:hint="default" w:ascii="Times New Roman" w:hAnsi="Times New Roman" w:eastAsia="仿宋" w:cs="Times New Roman"/>
          <w:color w:val="auto"/>
          <w:sz w:val="28"/>
          <w:szCs w:val="28"/>
          <w:highlight w:val="none"/>
          <w:lang w:eastAsia="zh-CN"/>
        </w:rPr>
        <w:t>），以企业当期最终所得信用分值进行的信用等级评</w:t>
      </w:r>
      <w:r>
        <w:rPr>
          <w:rFonts w:hint="eastAsia" w:ascii="Times New Roman" w:hAnsi="Times New Roman" w:eastAsia="仿宋" w:cs="Times New Roman"/>
          <w:color w:val="auto"/>
          <w:sz w:val="28"/>
          <w:szCs w:val="28"/>
          <w:highlight w:val="none"/>
          <w:lang w:val="en-US" w:eastAsia="zh-CN"/>
        </w:rPr>
        <w:t xml:space="preserve"> </w:t>
      </w:r>
      <w:r>
        <w:rPr>
          <w:rFonts w:hint="default" w:ascii="Times New Roman" w:hAnsi="Times New Roman" w:eastAsia="仿宋" w:cs="Times New Roman"/>
          <w:color w:val="auto"/>
          <w:sz w:val="28"/>
          <w:szCs w:val="28"/>
          <w:highlight w:val="none"/>
          <w:lang w:eastAsia="zh-CN"/>
        </w:rPr>
        <w:t>定。</w:t>
      </w:r>
    </w:p>
    <w:p w14:paraId="7DE96A2B">
      <w:pPr>
        <w:keepNext w:val="0"/>
        <w:keepLines w:val="0"/>
        <w:pageBreakBefore w:val="0"/>
        <w:widowControl/>
        <w:kinsoku/>
        <w:wordWrap/>
        <w:overflowPunct/>
        <w:topLinePunct w:val="0"/>
        <w:autoSpaceDE/>
        <w:autoSpaceDN/>
        <w:bidi w:val="0"/>
        <w:adjustRightInd/>
        <w:snapToGrid/>
        <w:spacing w:line="360" w:lineRule="auto"/>
        <w:ind w:left="218" w:leftChars="104" w:firstLine="0" w:firstLineChars="0"/>
        <w:textAlignment w:val="auto"/>
        <w:rPr>
          <w:rFonts w:hint="default" w:ascii="Times New Roman" w:hAnsi="Times New Roman" w:eastAsia="仿宋" w:cs="Times New Roman"/>
          <w:color w:val="auto"/>
          <w:sz w:val="28"/>
          <w:szCs w:val="28"/>
          <w:highlight w:val="none"/>
          <w:lang w:eastAsia="zh-CN"/>
        </w:rPr>
      </w:pPr>
      <w:r>
        <w:rPr>
          <w:rFonts w:hint="default" w:ascii="Times New Roman" w:hAnsi="Times New Roman" w:eastAsia="仿宋" w:cs="Times New Roman"/>
          <w:color w:val="auto"/>
          <w:sz w:val="28"/>
          <w:szCs w:val="28"/>
          <w:highlight w:val="none"/>
          <w:lang w:eastAsia="zh-CN"/>
        </w:rPr>
        <w:t>6.1企业信用等级分为AAA、AA、A、B、C三等五级</w:t>
      </w:r>
    </w:p>
    <w:p w14:paraId="7E9AF7A4">
      <w:pPr>
        <w:keepNext w:val="0"/>
        <w:keepLines w:val="0"/>
        <w:pageBreakBefore w:val="0"/>
        <w:widowControl/>
        <w:kinsoku/>
        <w:wordWrap/>
        <w:overflowPunct/>
        <w:topLinePunct w:val="0"/>
        <w:autoSpaceDE/>
        <w:autoSpaceDN/>
        <w:bidi w:val="0"/>
        <w:adjustRightInd/>
        <w:snapToGrid/>
        <w:spacing w:line="360" w:lineRule="auto"/>
        <w:ind w:left="218" w:leftChars="104" w:firstLine="560" w:firstLineChars="200"/>
        <w:textAlignment w:val="auto"/>
        <w:rPr>
          <w:rFonts w:hint="default" w:ascii="Times New Roman" w:hAnsi="Times New Roman" w:eastAsia="仿宋" w:cs="Times New Roman"/>
          <w:color w:val="auto"/>
          <w:sz w:val="28"/>
          <w:szCs w:val="28"/>
          <w:highlight w:val="none"/>
          <w:lang w:eastAsia="zh-CN"/>
        </w:rPr>
      </w:pPr>
      <w:r>
        <w:rPr>
          <w:rFonts w:hint="default" w:ascii="Times New Roman" w:hAnsi="Times New Roman" w:eastAsia="仿宋" w:cs="Times New Roman"/>
          <w:color w:val="auto"/>
          <w:sz w:val="28"/>
          <w:szCs w:val="28"/>
          <w:highlight w:val="none"/>
          <w:lang w:eastAsia="zh-CN"/>
        </w:rPr>
        <w:t>AAA级：信用很好。表示企业诚信度很高，各项指标优秀，经营状况很好，履约能力很强，社会信誉很好；</w:t>
      </w:r>
    </w:p>
    <w:p w14:paraId="1A1B50E2">
      <w:pPr>
        <w:keepNext w:val="0"/>
        <w:keepLines w:val="0"/>
        <w:pageBreakBefore w:val="0"/>
        <w:widowControl/>
        <w:kinsoku/>
        <w:wordWrap/>
        <w:overflowPunct/>
        <w:topLinePunct w:val="0"/>
        <w:autoSpaceDE/>
        <w:autoSpaceDN/>
        <w:bidi w:val="0"/>
        <w:adjustRightInd/>
        <w:snapToGrid/>
        <w:spacing w:line="360" w:lineRule="auto"/>
        <w:ind w:left="218" w:leftChars="104" w:firstLine="560" w:firstLineChars="200"/>
        <w:textAlignment w:val="auto"/>
        <w:rPr>
          <w:rFonts w:hint="default" w:ascii="Times New Roman" w:hAnsi="Times New Roman" w:eastAsia="仿宋" w:cs="Times New Roman"/>
          <w:color w:val="auto"/>
          <w:sz w:val="28"/>
          <w:szCs w:val="28"/>
          <w:highlight w:val="none"/>
          <w:lang w:eastAsia="zh-CN"/>
        </w:rPr>
      </w:pPr>
      <w:r>
        <w:rPr>
          <w:rFonts w:hint="default" w:ascii="Times New Roman" w:hAnsi="Times New Roman" w:eastAsia="仿宋" w:cs="Times New Roman"/>
          <w:color w:val="auto"/>
          <w:sz w:val="28"/>
          <w:szCs w:val="28"/>
          <w:highlight w:val="none"/>
          <w:lang w:eastAsia="zh-CN"/>
        </w:rPr>
        <w:t>AA级：信用良好。表示企业诚信度高，各项指标先进，经营状况好，履约能力强，社会信誉好；</w:t>
      </w:r>
    </w:p>
    <w:p w14:paraId="24FA9CC9">
      <w:pPr>
        <w:keepNext w:val="0"/>
        <w:keepLines w:val="0"/>
        <w:pageBreakBefore w:val="0"/>
        <w:widowControl/>
        <w:kinsoku/>
        <w:wordWrap/>
        <w:overflowPunct/>
        <w:topLinePunct w:val="0"/>
        <w:autoSpaceDE/>
        <w:autoSpaceDN/>
        <w:bidi w:val="0"/>
        <w:adjustRightInd/>
        <w:snapToGrid/>
        <w:spacing w:line="360" w:lineRule="auto"/>
        <w:ind w:left="218" w:leftChars="104" w:firstLine="560" w:firstLineChars="200"/>
        <w:textAlignment w:val="auto"/>
        <w:rPr>
          <w:rFonts w:hint="default" w:ascii="Times New Roman" w:hAnsi="Times New Roman" w:eastAsia="仿宋" w:cs="Times New Roman"/>
          <w:color w:val="auto"/>
          <w:sz w:val="28"/>
          <w:szCs w:val="28"/>
          <w:highlight w:val="none"/>
          <w:lang w:eastAsia="zh-CN"/>
        </w:rPr>
      </w:pPr>
      <w:r>
        <w:rPr>
          <w:rFonts w:hint="default" w:ascii="Times New Roman" w:hAnsi="Times New Roman" w:eastAsia="仿宋" w:cs="Times New Roman"/>
          <w:color w:val="auto"/>
          <w:sz w:val="28"/>
          <w:szCs w:val="28"/>
          <w:highlight w:val="none"/>
          <w:lang w:eastAsia="zh-CN"/>
        </w:rPr>
        <w:t>A级：信用较好。表示企业诚信度较高，各项指标较先进，经营状况较好，履约能力较强，社会信誉较好；</w:t>
      </w:r>
    </w:p>
    <w:p w14:paraId="3D5D84B7">
      <w:pPr>
        <w:keepNext w:val="0"/>
        <w:keepLines w:val="0"/>
        <w:pageBreakBefore w:val="0"/>
        <w:widowControl/>
        <w:kinsoku/>
        <w:wordWrap/>
        <w:overflowPunct/>
        <w:topLinePunct w:val="0"/>
        <w:autoSpaceDE/>
        <w:autoSpaceDN/>
        <w:bidi w:val="0"/>
        <w:adjustRightInd/>
        <w:snapToGrid/>
        <w:spacing w:line="360" w:lineRule="auto"/>
        <w:ind w:firstLine="560" w:firstLineChars="200"/>
        <w:textAlignment w:val="auto"/>
        <w:rPr>
          <w:rFonts w:hint="default" w:ascii="Times New Roman" w:hAnsi="Times New Roman" w:eastAsia="仿宋" w:cs="Times New Roman"/>
          <w:color w:val="auto"/>
          <w:sz w:val="28"/>
          <w:szCs w:val="28"/>
          <w:highlight w:val="none"/>
          <w:lang w:eastAsia="zh-CN"/>
        </w:rPr>
      </w:pPr>
      <w:r>
        <w:rPr>
          <w:rFonts w:hint="default" w:ascii="Times New Roman" w:hAnsi="Times New Roman" w:eastAsia="仿宋" w:cs="Times New Roman"/>
          <w:color w:val="auto"/>
          <w:sz w:val="28"/>
          <w:szCs w:val="28"/>
          <w:highlight w:val="none"/>
          <w:lang w:eastAsia="zh-CN"/>
        </w:rPr>
        <w:t>B级：信用一般。表示企业诚信度一般，各项指标一般，经营状况一般，履约能力一般，社会信誉一般；</w:t>
      </w:r>
    </w:p>
    <w:p w14:paraId="47B93513">
      <w:pPr>
        <w:keepNext w:val="0"/>
        <w:keepLines w:val="0"/>
        <w:pageBreakBefore w:val="0"/>
        <w:widowControl/>
        <w:kinsoku/>
        <w:wordWrap/>
        <w:overflowPunct/>
        <w:topLinePunct w:val="0"/>
        <w:autoSpaceDE/>
        <w:autoSpaceDN/>
        <w:bidi w:val="0"/>
        <w:adjustRightInd/>
        <w:snapToGrid/>
        <w:spacing w:line="360" w:lineRule="auto"/>
        <w:ind w:firstLine="560" w:firstLineChars="200"/>
        <w:textAlignment w:val="auto"/>
        <w:rPr>
          <w:rFonts w:hint="default" w:ascii="Times New Roman" w:hAnsi="Times New Roman" w:cs="Times New Roman"/>
          <w:color w:val="auto"/>
          <w:szCs w:val="28"/>
          <w:highlight w:val="none"/>
          <w:lang w:eastAsia="zh-CN"/>
        </w:rPr>
      </w:pPr>
      <w:r>
        <w:rPr>
          <w:rFonts w:hint="default" w:ascii="Times New Roman" w:hAnsi="Times New Roman" w:eastAsia="仿宋" w:cs="Times New Roman"/>
          <w:color w:val="auto"/>
          <w:sz w:val="28"/>
          <w:szCs w:val="28"/>
          <w:highlight w:val="none"/>
          <w:lang w:eastAsia="zh-CN"/>
        </w:rPr>
        <w:t>C级：信用差。表示企业诚信度差，各项指标落后，经营状况不良，履约能力弱，社会信誉差。</w:t>
      </w:r>
    </w:p>
    <w:p w14:paraId="2735F684">
      <w:pPr>
        <w:keepNext w:val="0"/>
        <w:keepLines w:val="0"/>
        <w:pageBreakBefore w:val="0"/>
        <w:widowControl/>
        <w:kinsoku/>
        <w:wordWrap/>
        <w:overflowPunct/>
        <w:topLinePunct w:val="0"/>
        <w:autoSpaceDE/>
        <w:autoSpaceDN/>
        <w:bidi w:val="0"/>
        <w:adjustRightInd/>
        <w:snapToGrid/>
        <w:spacing w:line="360" w:lineRule="auto"/>
        <w:textAlignment w:val="auto"/>
        <w:rPr>
          <w:rFonts w:hint="default" w:ascii="Times New Roman" w:hAnsi="Times New Roman" w:eastAsia="仿宋" w:cs="Times New Roman"/>
          <w:color w:val="auto"/>
          <w:sz w:val="28"/>
          <w:szCs w:val="28"/>
          <w:highlight w:val="none"/>
          <w:lang w:eastAsia="zh-CN"/>
        </w:rPr>
      </w:pPr>
      <w:r>
        <w:rPr>
          <w:rFonts w:hint="default" w:ascii="Times New Roman" w:hAnsi="Times New Roman" w:eastAsia="仿宋" w:cs="Times New Roman"/>
          <w:color w:val="auto"/>
          <w:sz w:val="28"/>
          <w:szCs w:val="28"/>
          <w:highlight w:val="none"/>
          <w:lang w:eastAsia="zh-CN"/>
        </w:rPr>
        <w:t>6.2企业信用等级评分标准</w:t>
      </w:r>
    </w:p>
    <w:p w14:paraId="5C3EECE9">
      <w:pPr>
        <w:keepNext w:val="0"/>
        <w:keepLines w:val="0"/>
        <w:pageBreakBefore w:val="0"/>
        <w:widowControl/>
        <w:kinsoku/>
        <w:wordWrap/>
        <w:overflowPunct/>
        <w:topLinePunct w:val="0"/>
        <w:autoSpaceDE/>
        <w:autoSpaceDN/>
        <w:bidi w:val="0"/>
        <w:adjustRightInd/>
        <w:snapToGrid/>
        <w:spacing w:line="360" w:lineRule="auto"/>
        <w:ind w:firstLine="560" w:firstLineChars="200"/>
        <w:textAlignment w:val="auto"/>
        <w:rPr>
          <w:rFonts w:hint="default" w:ascii="Times New Roman" w:hAnsi="Times New Roman" w:eastAsia="仿宋" w:cs="Times New Roman"/>
          <w:color w:val="auto"/>
          <w:sz w:val="28"/>
          <w:szCs w:val="28"/>
          <w:highlight w:val="none"/>
          <w:lang w:eastAsia="zh-CN"/>
        </w:rPr>
      </w:pPr>
      <w:r>
        <w:rPr>
          <w:rFonts w:hint="default" w:ascii="Times New Roman" w:hAnsi="Times New Roman" w:eastAsia="仿宋" w:cs="Times New Roman"/>
          <w:color w:val="auto"/>
          <w:sz w:val="28"/>
          <w:szCs w:val="28"/>
          <w:highlight w:val="none"/>
          <w:lang w:eastAsia="zh-CN"/>
        </w:rPr>
        <w:t>AAA级信用企业：企业综合得分在90分（含）以上；</w:t>
      </w:r>
    </w:p>
    <w:p w14:paraId="75138101">
      <w:pPr>
        <w:keepNext w:val="0"/>
        <w:keepLines w:val="0"/>
        <w:pageBreakBefore w:val="0"/>
        <w:widowControl/>
        <w:kinsoku/>
        <w:wordWrap/>
        <w:overflowPunct/>
        <w:topLinePunct w:val="0"/>
        <w:autoSpaceDE/>
        <w:autoSpaceDN/>
        <w:bidi w:val="0"/>
        <w:adjustRightInd/>
        <w:snapToGrid/>
        <w:spacing w:line="360" w:lineRule="auto"/>
        <w:ind w:firstLine="560" w:firstLineChars="200"/>
        <w:textAlignment w:val="auto"/>
        <w:rPr>
          <w:rFonts w:hint="default" w:ascii="Times New Roman" w:hAnsi="Times New Roman" w:eastAsia="仿宋" w:cs="Times New Roman"/>
          <w:color w:val="auto"/>
          <w:sz w:val="28"/>
          <w:szCs w:val="28"/>
          <w:highlight w:val="none"/>
          <w:lang w:eastAsia="zh-CN"/>
        </w:rPr>
      </w:pPr>
      <w:r>
        <w:rPr>
          <w:rFonts w:hint="default" w:ascii="Times New Roman" w:hAnsi="Times New Roman" w:eastAsia="仿宋" w:cs="Times New Roman"/>
          <w:color w:val="auto"/>
          <w:sz w:val="28"/>
          <w:szCs w:val="28"/>
          <w:highlight w:val="none"/>
          <w:lang w:eastAsia="zh-CN"/>
        </w:rPr>
        <w:t>AA级信用企业：企业综合得分在80分（含）以上；</w:t>
      </w:r>
    </w:p>
    <w:p w14:paraId="084905D1">
      <w:pPr>
        <w:keepNext w:val="0"/>
        <w:keepLines w:val="0"/>
        <w:pageBreakBefore w:val="0"/>
        <w:widowControl/>
        <w:kinsoku/>
        <w:wordWrap/>
        <w:overflowPunct/>
        <w:topLinePunct w:val="0"/>
        <w:autoSpaceDE/>
        <w:autoSpaceDN/>
        <w:bidi w:val="0"/>
        <w:adjustRightInd/>
        <w:snapToGrid/>
        <w:spacing w:line="360" w:lineRule="auto"/>
        <w:ind w:firstLine="560" w:firstLineChars="200"/>
        <w:textAlignment w:val="auto"/>
        <w:rPr>
          <w:rFonts w:hint="default" w:ascii="Times New Roman" w:hAnsi="Times New Roman" w:eastAsia="仿宋" w:cs="Times New Roman"/>
          <w:color w:val="auto"/>
          <w:sz w:val="28"/>
          <w:szCs w:val="28"/>
          <w:highlight w:val="none"/>
          <w:lang w:eastAsia="zh-CN"/>
        </w:rPr>
      </w:pPr>
      <w:r>
        <w:rPr>
          <w:rFonts w:hint="default" w:ascii="Times New Roman" w:hAnsi="Times New Roman" w:eastAsia="仿宋" w:cs="Times New Roman"/>
          <w:color w:val="auto"/>
          <w:sz w:val="28"/>
          <w:szCs w:val="28"/>
          <w:highlight w:val="none"/>
          <w:lang w:eastAsia="zh-CN"/>
        </w:rPr>
        <w:t>A级信用企业：企业综合得分在70分（含）以上；</w:t>
      </w:r>
    </w:p>
    <w:p w14:paraId="7470DF8A">
      <w:pPr>
        <w:keepNext w:val="0"/>
        <w:keepLines w:val="0"/>
        <w:pageBreakBefore w:val="0"/>
        <w:widowControl/>
        <w:kinsoku/>
        <w:wordWrap/>
        <w:overflowPunct/>
        <w:topLinePunct w:val="0"/>
        <w:autoSpaceDE/>
        <w:autoSpaceDN/>
        <w:bidi w:val="0"/>
        <w:adjustRightInd/>
        <w:snapToGrid/>
        <w:spacing w:line="360" w:lineRule="auto"/>
        <w:ind w:firstLine="560" w:firstLineChars="200"/>
        <w:textAlignment w:val="auto"/>
        <w:rPr>
          <w:rFonts w:hint="default" w:ascii="Times New Roman" w:hAnsi="Times New Roman" w:eastAsia="仿宋" w:cs="Times New Roman"/>
          <w:color w:val="auto"/>
          <w:sz w:val="28"/>
          <w:szCs w:val="28"/>
          <w:highlight w:val="none"/>
          <w:lang w:eastAsia="zh-CN"/>
        </w:rPr>
      </w:pPr>
      <w:r>
        <w:rPr>
          <w:rFonts w:hint="default" w:ascii="Times New Roman" w:hAnsi="Times New Roman" w:eastAsia="仿宋" w:cs="Times New Roman"/>
          <w:color w:val="auto"/>
          <w:sz w:val="28"/>
          <w:szCs w:val="28"/>
          <w:highlight w:val="none"/>
          <w:lang w:eastAsia="zh-CN"/>
        </w:rPr>
        <w:t>B级信用企业：企业综合得分在60分（含）以上；</w:t>
      </w:r>
    </w:p>
    <w:p w14:paraId="293CAF50">
      <w:pPr>
        <w:keepNext w:val="0"/>
        <w:keepLines w:val="0"/>
        <w:pageBreakBefore w:val="0"/>
        <w:widowControl/>
        <w:kinsoku/>
        <w:wordWrap/>
        <w:overflowPunct/>
        <w:topLinePunct w:val="0"/>
        <w:autoSpaceDE/>
        <w:autoSpaceDN/>
        <w:bidi w:val="0"/>
        <w:adjustRightInd/>
        <w:snapToGrid/>
        <w:spacing w:line="360" w:lineRule="auto"/>
        <w:ind w:firstLine="560" w:firstLineChars="200"/>
        <w:textAlignment w:val="auto"/>
        <w:rPr>
          <w:rFonts w:hint="default" w:ascii="Times New Roman" w:hAnsi="Times New Roman" w:eastAsia="仿宋" w:cs="Times New Roman"/>
          <w:color w:val="auto"/>
          <w:sz w:val="28"/>
          <w:szCs w:val="28"/>
          <w:highlight w:val="none"/>
          <w:lang w:eastAsia="zh-CN"/>
        </w:rPr>
      </w:pPr>
      <w:r>
        <w:rPr>
          <w:rFonts w:hint="default" w:ascii="Times New Roman" w:hAnsi="Times New Roman" w:eastAsia="仿宋" w:cs="Times New Roman"/>
          <w:color w:val="auto"/>
          <w:sz w:val="28"/>
          <w:szCs w:val="28"/>
          <w:highlight w:val="none"/>
          <w:lang w:eastAsia="zh-CN"/>
        </w:rPr>
        <w:t>C级信用企业：企业综合得分</w:t>
      </w:r>
      <w:r>
        <w:rPr>
          <w:rFonts w:hint="eastAsia" w:ascii="Times New Roman" w:hAnsi="Times New Roman" w:eastAsia="仿宋" w:cs="Times New Roman"/>
          <w:color w:val="auto"/>
          <w:sz w:val="28"/>
          <w:szCs w:val="28"/>
          <w:highlight w:val="none"/>
          <w:lang w:val="en-US" w:eastAsia="zh-CN"/>
        </w:rPr>
        <w:t>在50-</w:t>
      </w:r>
      <w:r>
        <w:rPr>
          <w:rFonts w:hint="default" w:ascii="Times New Roman" w:hAnsi="Times New Roman" w:eastAsia="仿宋" w:cs="Times New Roman"/>
          <w:color w:val="auto"/>
          <w:sz w:val="28"/>
          <w:szCs w:val="28"/>
          <w:highlight w:val="none"/>
          <w:lang w:eastAsia="zh-CN"/>
        </w:rPr>
        <w:t>60分。</w:t>
      </w:r>
    </w:p>
    <w:p w14:paraId="5BD89E34">
      <w:pPr>
        <w:keepNext w:val="0"/>
        <w:keepLines w:val="0"/>
        <w:pageBreakBefore w:val="0"/>
        <w:widowControl/>
        <w:kinsoku/>
        <w:wordWrap/>
        <w:overflowPunct/>
        <w:topLinePunct w:val="0"/>
        <w:autoSpaceDE/>
        <w:autoSpaceDN/>
        <w:bidi w:val="0"/>
        <w:adjustRightInd/>
        <w:snapToGrid/>
        <w:spacing w:line="360" w:lineRule="auto"/>
        <w:ind w:firstLine="560" w:firstLineChars="200"/>
        <w:textAlignment w:val="auto"/>
        <w:rPr>
          <w:rFonts w:hint="default" w:ascii="Times New Roman" w:hAnsi="Times New Roman" w:eastAsia="仿宋" w:cs="Times New Roman"/>
          <w:color w:val="auto"/>
          <w:sz w:val="28"/>
          <w:szCs w:val="28"/>
          <w:highlight w:val="none"/>
          <w:lang w:eastAsia="zh-CN"/>
        </w:rPr>
      </w:pPr>
      <w:r>
        <w:rPr>
          <w:rFonts w:hint="default" w:ascii="Times New Roman" w:hAnsi="Times New Roman" w:eastAsia="仿宋" w:cs="Times New Roman"/>
          <w:color w:val="auto"/>
          <w:sz w:val="28"/>
          <w:szCs w:val="28"/>
          <w:highlight w:val="none"/>
          <w:lang w:eastAsia="zh-CN"/>
        </w:rPr>
        <w:t>根据不同类型企业、不同资质等级企业，信用等级评价实行分级分类评价，具体评价内容分为：</w:t>
      </w:r>
    </w:p>
    <w:p w14:paraId="15E3D1FD">
      <w:pPr>
        <w:keepNext w:val="0"/>
        <w:keepLines w:val="0"/>
        <w:pageBreakBefore w:val="0"/>
        <w:widowControl/>
        <w:kinsoku/>
        <w:wordWrap/>
        <w:overflowPunct/>
        <w:topLinePunct w:val="0"/>
        <w:autoSpaceDE/>
        <w:autoSpaceDN/>
        <w:bidi w:val="0"/>
        <w:adjustRightInd/>
        <w:snapToGrid/>
        <w:spacing w:line="360" w:lineRule="auto"/>
        <w:ind w:firstLine="560" w:firstLineChars="200"/>
        <w:textAlignment w:val="auto"/>
        <w:rPr>
          <w:rFonts w:hint="default" w:ascii="Times New Roman" w:hAnsi="Times New Roman" w:eastAsia="仿宋" w:cs="Times New Roman"/>
          <w:color w:val="auto"/>
          <w:sz w:val="28"/>
          <w:szCs w:val="28"/>
          <w:highlight w:val="none"/>
          <w:lang w:eastAsia="zh-CN"/>
        </w:rPr>
      </w:pPr>
      <w:r>
        <w:rPr>
          <w:rFonts w:hint="default" w:ascii="Times New Roman" w:hAnsi="Times New Roman" w:eastAsia="仿宋" w:cs="Times New Roman"/>
          <w:color w:val="auto"/>
          <w:sz w:val="28"/>
          <w:szCs w:val="28"/>
          <w:highlight w:val="none"/>
          <w:lang w:eastAsia="zh-CN"/>
        </w:rPr>
        <w:t>－施工企业评价内容见附录表A.1;</w:t>
      </w:r>
    </w:p>
    <w:p w14:paraId="5FFB8597">
      <w:pPr>
        <w:keepNext w:val="0"/>
        <w:keepLines w:val="0"/>
        <w:pageBreakBefore w:val="0"/>
        <w:widowControl/>
        <w:kinsoku/>
        <w:wordWrap/>
        <w:overflowPunct/>
        <w:topLinePunct w:val="0"/>
        <w:autoSpaceDE/>
        <w:autoSpaceDN/>
        <w:bidi w:val="0"/>
        <w:adjustRightInd/>
        <w:snapToGrid/>
        <w:spacing w:line="360" w:lineRule="auto"/>
        <w:ind w:firstLine="560" w:firstLineChars="200"/>
        <w:textAlignment w:val="auto"/>
        <w:rPr>
          <w:rFonts w:hint="default" w:ascii="Times New Roman" w:hAnsi="Times New Roman" w:eastAsia="仿宋" w:cs="Times New Roman"/>
          <w:color w:val="auto"/>
          <w:sz w:val="28"/>
          <w:szCs w:val="28"/>
          <w:highlight w:val="none"/>
          <w:lang w:eastAsia="zh-CN"/>
        </w:rPr>
      </w:pPr>
      <w:r>
        <w:rPr>
          <w:rFonts w:hint="default" w:ascii="Times New Roman" w:hAnsi="Times New Roman" w:eastAsia="仿宋" w:cs="Times New Roman"/>
          <w:color w:val="auto"/>
          <w:sz w:val="28"/>
          <w:szCs w:val="28"/>
          <w:highlight w:val="none"/>
          <w:lang w:eastAsia="zh-CN"/>
        </w:rPr>
        <w:t>－勘察设计企业评价内容见附录表A.2;</w:t>
      </w:r>
    </w:p>
    <w:p w14:paraId="3B5DA018">
      <w:pPr>
        <w:keepNext w:val="0"/>
        <w:keepLines w:val="0"/>
        <w:pageBreakBefore w:val="0"/>
        <w:widowControl/>
        <w:kinsoku/>
        <w:wordWrap/>
        <w:overflowPunct/>
        <w:topLinePunct w:val="0"/>
        <w:autoSpaceDE/>
        <w:autoSpaceDN/>
        <w:bidi w:val="0"/>
        <w:adjustRightInd/>
        <w:snapToGrid/>
        <w:spacing w:line="360" w:lineRule="auto"/>
        <w:ind w:firstLine="560" w:firstLineChars="200"/>
        <w:textAlignment w:val="auto"/>
        <w:rPr>
          <w:rFonts w:hint="default" w:ascii="Times New Roman" w:hAnsi="Times New Roman" w:eastAsia="仿宋" w:cs="Times New Roman"/>
          <w:color w:val="auto"/>
          <w:sz w:val="28"/>
          <w:szCs w:val="28"/>
          <w:highlight w:val="none"/>
          <w:lang w:eastAsia="zh-CN"/>
        </w:rPr>
      </w:pPr>
      <w:r>
        <w:rPr>
          <w:rFonts w:hint="default" w:ascii="Times New Roman" w:hAnsi="Times New Roman" w:eastAsia="仿宋" w:cs="Times New Roman"/>
          <w:color w:val="auto"/>
          <w:sz w:val="28"/>
          <w:szCs w:val="28"/>
          <w:highlight w:val="none"/>
          <w:lang w:eastAsia="zh-CN"/>
        </w:rPr>
        <w:t>－监理及其他企业评价内容见附录表A.3；</w:t>
      </w:r>
    </w:p>
    <w:p w14:paraId="440F2634">
      <w:pPr>
        <w:keepNext w:val="0"/>
        <w:keepLines w:val="0"/>
        <w:pageBreakBefore w:val="0"/>
        <w:widowControl/>
        <w:kinsoku/>
        <w:wordWrap/>
        <w:overflowPunct/>
        <w:topLinePunct w:val="0"/>
        <w:autoSpaceDE/>
        <w:autoSpaceDN/>
        <w:bidi w:val="0"/>
        <w:adjustRightInd/>
        <w:snapToGrid/>
        <w:spacing w:line="360" w:lineRule="auto"/>
        <w:ind w:firstLine="560" w:firstLineChars="200"/>
        <w:textAlignment w:val="auto"/>
        <w:rPr>
          <w:rFonts w:hint="default" w:ascii="Times New Roman" w:hAnsi="Times New Roman" w:eastAsia="仿宋" w:cs="Times New Roman"/>
          <w:color w:val="auto"/>
          <w:sz w:val="28"/>
          <w:szCs w:val="28"/>
          <w:highlight w:val="none"/>
          <w:lang w:eastAsia="zh-CN"/>
        </w:rPr>
      </w:pPr>
      <w:r>
        <w:rPr>
          <w:rFonts w:hint="default" w:ascii="Times New Roman" w:hAnsi="Times New Roman" w:eastAsia="仿宋" w:cs="Times New Roman"/>
          <w:color w:val="auto"/>
          <w:sz w:val="28"/>
          <w:szCs w:val="28"/>
          <w:highlight w:val="none"/>
          <w:lang w:eastAsia="zh-CN"/>
        </w:rPr>
        <w:t>工程建设企业信用等级评价评分实行百分制，满分为100分。</w:t>
      </w:r>
    </w:p>
    <w:p w14:paraId="55676D55">
      <w:pPr>
        <w:pStyle w:val="90"/>
        <w:shd w:val="clear" w:color="FFFFFF" w:fill="FFFFFF"/>
        <w:bidi w:val="0"/>
        <w:rPr>
          <w:rFonts w:hint="default" w:ascii="Times New Roman" w:hAnsi="Times New Roman" w:cs="Times New Roman"/>
          <w:lang w:val="en-US" w:eastAsia="zh-CN"/>
        </w:rPr>
      </w:pPr>
      <w:bookmarkStart w:id="32" w:name="_Toc3354"/>
      <w:r>
        <w:rPr>
          <w:rFonts w:hint="default" w:ascii="Times New Roman" w:hAnsi="Times New Roman" w:cs="Times New Roman"/>
          <w:lang w:val="en-US" w:eastAsia="zh-CN"/>
        </w:rPr>
        <w:t>7 评价机构的组织和职责</w:t>
      </w:r>
      <w:bookmarkEnd w:id="32"/>
    </w:p>
    <w:p w14:paraId="7BDA41EC">
      <w:pPr>
        <w:keepNext w:val="0"/>
        <w:keepLines w:val="0"/>
        <w:pageBreakBefore w:val="0"/>
        <w:widowControl/>
        <w:kinsoku/>
        <w:wordWrap/>
        <w:overflowPunct/>
        <w:topLinePunct w:val="0"/>
        <w:autoSpaceDE/>
        <w:autoSpaceDN/>
        <w:bidi w:val="0"/>
        <w:adjustRightInd/>
        <w:snapToGrid/>
        <w:spacing w:line="360" w:lineRule="auto"/>
        <w:textAlignment w:val="auto"/>
        <w:rPr>
          <w:rFonts w:hint="default" w:ascii="Times New Roman" w:hAnsi="Times New Roman" w:eastAsia="仿宋" w:cs="Times New Roman"/>
          <w:color w:val="auto"/>
          <w:sz w:val="28"/>
          <w:szCs w:val="28"/>
          <w:highlight w:val="none"/>
          <w:lang w:eastAsia="zh-CN"/>
        </w:rPr>
      </w:pPr>
      <w:r>
        <w:rPr>
          <w:rFonts w:hint="default" w:ascii="Times New Roman" w:hAnsi="Times New Roman" w:eastAsia="仿宋" w:cs="Times New Roman"/>
          <w:color w:val="auto"/>
          <w:sz w:val="28"/>
          <w:szCs w:val="28"/>
          <w:highlight w:val="none"/>
          <w:lang w:eastAsia="zh-CN"/>
        </w:rPr>
        <w:t>7.1 组织</w:t>
      </w:r>
    </w:p>
    <w:p w14:paraId="7F1FF816">
      <w:pPr>
        <w:keepNext w:val="0"/>
        <w:keepLines w:val="0"/>
        <w:pageBreakBefore w:val="0"/>
        <w:widowControl/>
        <w:kinsoku/>
        <w:wordWrap/>
        <w:overflowPunct/>
        <w:topLinePunct w:val="0"/>
        <w:autoSpaceDE/>
        <w:autoSpaceDN/>
        <w:bidi w:val="0"/>
        <w:adjustRightInd/>
        <w:snapToGrid/>
        <w:spacing w:line="360" w:lineRule="auto"/>
        <w:ind w:firstLine="560" w:firstLineChars="200"/>
        <w:textAlignment w:val="auto"/>
        <w:rPr>
          <w:rFonts w:hint="default" w:ascii="Times New Roman" w:hAnsi="Times New Roman" w:eastAsia="仿宋" w:cs="Times New Roman"/>
          <w:color w:val="auto"/>
          <w:sz w:val="28"/>
          <w:szCs w:val="28"/>
          <w:highlight w:val="none"/>
          <w:lang w:eastAsia="zh-CN"/>
        </w:rPr>
      </w:pPr>
      <w:r>
        <w:rPr>
          <w:rFonts w:hint="default" w:ascii="Times New Roman" w:hAnsi="Times New Roman" w:eastAsia="仿宋" w:cs="Times New Roman"/>
          <w:color w:val="auto"/>
          <w:sz w:val="28"/>
          <w:szCs w:val="28"/>
          <w:highlight w:val="none"/>
          <w:lang w:eastAsia="zh-CN"/>
        </w:rPr>
        <w:t>评价机构为广州市建筑业联合会信用评价工作委员会（简称“信用委”），其内部组织包括专家委员会和信用委办公室。</w:t>
      </w:r>
    </w:p>
    <w:p w14:paraId="4DFD4DAD">
      <w:pPr>
        <w:keepNext w:val="0"/>
        <w:keepLines w:val="0"/>
        <w:pageBreakBefore w:val="0"/>
        <w:widowControl/>
        <w:kinsoku/>
        <w:wordWrap/>
        <w:overflowPunct/>
        <w:topLinePunct w:val="0"/>
        <w:autoSpaceDE/>
        <w:autoSpaceDN/>
        <w:bidi w:val="0"/>
        <w:adjustRightInd/>
        <w:snapToGrid/>
        <w:spacing w:line="360" w:lineRule="auto"/>
        <w:ind w:left="560" w:hanging="560" w:hangingChars="200"/>
        <w:textAlignment w:val="auto"/>
        <w:rPr>
          <w:rFonts w:hint="default" w:ascii="Times New Roman" w:hAnsi="Times New Roman" w:eastAsia="仿宋" w:cs="Times New Roman"/>
          <w:color w:val="auto"/>
          <w:sz w:val="28"/>
          <w:szCs w:val="28"/>
          <w:highlight w:val="none"/>
          <w:lang w:eastAsia="zh-CN"/>
        </w:rPr>
      </w:pPr>
      <w:r>
        <w:rPr>
          <w:rFonts w:hint="default" w:ascii="Times New Roman" w:hAnsi="Times New Roman" w:eastAsia="仿宋" w:cs="Times New Roman"/>
          <w:color w:val="auto"/>
          <w:sz w:val="28"/>
          <w:szCs w:val="28"/>
          <w:highlight w:val="none"/>
          <w:lang w:eastAsia="zh-CN"/>
        </w:rPr>
        <w:t>7.2 职责</w:t>
      </w:r>
    </w:p>
    <w:p w14:paraId="3E742C8F">
      <w:pPr>
        <w:keepNext w:val="0"/>
        <w:keepLines w:val="0"/>
        <w:pageBreakBefore w:val="0"/>
        <w:widowControl/>
        <w:kinsoku/>
        <w:wordWrap/>
        <w:overflowPunct/>
        <w:topLinePunct w:val="0"/>
        <w:autoSpaceDE/>
        <w:autoSpaceDN/>
        <w:bidi w:val="0"/>
        <w:adjustRightInd/>
        <w:snapToGrid/>
        <w:spacing w:line="360" w:lineRule="auto"/>
        <w:ind w:firstLine="560" w:firstLineChars="200"/>
        <w:textAlignment w:val="auto"/>
        <w:rPr>
          <w:rFonts w:hint="default" w:ascii="Times New Roman" w:hAnsi="Times New Roman" w:eastAsia="仿宋" w:cs="Times New Roman"/>
          <w:color w:val="auto"/>
          <w:sz w:val="28"/>
          <w:szCs w:val="28"/>
          <w:highlight w:val="none"/>
          <w:lang w:eastAsia="zh-CN"/>
        </w:rPr>
      </w:pPr>
      <w:r>
        <w:rPr>
          <w:rFonts w:hint="default" w:ascii="Times New Roman" w:hAnsi="Times New Roman" w:eastAsia="仿宋" w:cs="Times New Roman"/>
          <w:color w:val="auto"/>
          <w:sz w:val="28"/>
          <w:szCs w:val="28"/>
          <w:highlight w:val="none"/>
          <w:lang w:eastAsia="zh-CN"/>
        </w:rPr>
        <w:t>信用评价工作委员会职责包括贯彻执行国家信用体系建设工作的有关方针政策，制定行业信用评价体系建设发展规划，组织、指导全行业信用评价工作，对企业信用等级进行审定等。</w:t>
      </w:r>
    </w:p>
    <w:p w14:paraId="087D5FDA">
      <w:pPr>
        <w:keepNext w:val="0"/>
        <w:keepLines w:val="0"/>
        <w:pageBreakBefore w:val="0"/>
        <w:widowControl/>
        <w:kinsoku/>
        <w:wordWrap/>
        <w:overflowPunct/>
        <w:topLinePunct w:val="0"/>
        <w:autoSpaceDE/>
        <w:autoSpaceDN/>
        <w:bidi w:val="0"/>
        <w:adjustRightInd/>
        <w:snapToGrid/>
        <w:spacing w:line="360" w:lineRule="auto"/>
        <w:ind w:left="218" w:leftChars="104" w:firstLine="560" w:firstLineChars="200"/>
        <w:textAlignment w:val="auto"/>
        <w:rPr>
          <w:rFonts w:hint="default" w:ascii="Times New Roman" w:hAnsi="Times New Roman" w:eastAsia="仿宋" w:cs="Times New Roman"/>
          <w:color w:val="auto"/>
          <w:sz w:val="28"/>
          <w:szCs w:val="28"/>
          <w:highlight w:val="none"/>
          <w:lang w:eastAsia="zh-CN"/>
        </w:rPr>
      </w:pPr>
      <w:r>
        <w:rPr>
          <w:rFonts w:hint="default" w:ascii="Times New Roman" w:hAnsi="Times New Roman" w:eastAsia="仿宋" w:cs="Times New Roman"/>
          <w:color w:val="auto"/>
          <w:sz w:val="28"/>
          <w:szCs w:val="28"/>
          <w:highlight w:val="none"/>
          <w:lang w:eastAsia="zh-CN"/>
        </w:rPr>
        <w:t>专家委员会职责包括为企业信用体系建设和信用评价提供咨询，参与信用评价，撰写信用报告</w:t>
      </w:r>
      <w:r>
        <w:rPr>
          <w:rFonts w:hint="default" w:ascii="Times New Roman" w:hAnsi="Times New Roman" w:eastAsia="仿宋" w:cs="Times New Roman"/>
          <w:color w:val="auto"/>
          <w:sz w:val="28"/>
          <w:szCs w:val="28"/>
          <w:highlight w:val="none"/>
          <w:lang w:val="en-US" w:eastAsia="zh-CN"/>
        </w:rPr>
        <w:t>和</w:t>
      </w:r>
      <w:r>
        <w:rPr>
          <w:rFonts w:hint="default" w:ascii="Times New Roman" w:hAnsi="Times New Roman" w:eastAsia="仿宋" w:cs="Times New Roman"/>
          <w:color w:val="auto"/>
          <w:sz w:val="28"/>
          <w:szCs w:val="28"/>
          <w:highlight w:val="none"/>
          <w:lang w:eastAsia="zh-CN"/>
        </w:rPr>
        <w:t>提出信用等级建议等。</w:t>
      </w:r>
    </w:p>
    <w:p w14:paraId="56397E08">
      <w:pPr>
        <w:keepNext w:val="0"/>
        <w:keepLines w:val="0"/>
        <w:pageBreakBefore w:val="0"/>
        <w:widowControl/>
        <w:kinsoku/>
        <w:wordWrap/>
        <w:overflowPunct/>
        <w:topLinePunct w:val="0"/>
        <w:autoSpaceDE/>
        <w:autoSpaceDN/>
        <w:bidi w:val="0"/>
        <w:adjustRightInd/>
        <w:snapToGrid/>
        <w:spacing w:line="360" w:lineRule="auto"/>
        <w:ind w:left="218" w:leftChars="104" w:firstLine="560" w:firstLineChars="200"/>
        <w:textAlignment w:val="auto"/>
        <w:rPr>
          <w:rFonts w:hint="default" w:ascii="Times New Roman" w:hAnsi="Times New Roman" w:eastAsia="仿宋" w:cs="Times New Roman"/>
          <w:color w:val="auto"/>
          <w:sz w:val="28"/>
          <w:szCs w:val="28"/>
          <w:highlight w:val="none"/>
          <w:lang w:eastAsia="zh-CN"/>
        </w:rPr>
      </w:pPr>
      <w:r>
        <w:rPr>
          <w:rFonts w:hint="default" w:ascii="Times New Roman" w:hAnsi="Times New Roman" w:eastAsia="仿宋" w:cs="Times New Roman"/>
          <w:color w:val="auto"/>
          <w:sz w:val="28"/>
          <w:szCs w:val="28"/>
          <w:highlight w:val="none"/>
          <w:lang w:eastAsia="zh-CN"/>
        </w:rPr>
        <w:t>信用委办公室职责包括负责企业信用体系建设和信用评价的日常工作、组建专家组进行现场</w:t>
      </w:r>
      <w:r>
        <w:rPr>
          <w:rFonts w:hint="default" w:ascii="Times New Roman" w:hAnsi="Times New Roman" w:eastAsia="仿宋" w:cs="Times New Roman"/>
          <w:color w:val="auto"/>
          <w:sz w:val="28"/>
          <w:szCs w:val="28"/>
          <w:highlight w:val="none"/>
          <w:lang w:val="en-US" w:eastAsia="zh-CN"/>
        </w:rPr>
        <w:t>访谈、</w:t>
      </w:r>
      <w:r>
        <w:rPr>
          <w:rFonts w:hint="default" w:ascii="Times New Roman" w:hAnsi="Times New Roman" w:eastAsia="仿宋" w:cs="Times New Roman"/>
          <w:color w:val="auto"/>
          <w:sz w:val="28"/>
          <w:szCs w:val="28"/>
          <w:highlight w:val="none"/>
          <w:lang w:eastAsia="zh-CN"/>
        </w:rPr>
        <w:t>受理复审、受理申（投）诉、发布企业信用等级评价结果、颁发信用等级证书及</w:t>
      </w:r>
      <w:r>
        <w:rPr>
          <w:rFonts w:hint="default" w:ascii="Times New Roman" w:hAnsi="Times New Roman" w:eastAsia="仿宋" w:cs="Times New Roman"/>
          <w:color w:val="auto"/>
          <w:sz w:val="28"/>
          <w:szCs w:val="28"/>
          <w:highlight w:val="none"/>
          <w:lang w:val="en-US" w:eastAsia="zh-CN"/>
        </w:rPr>
        <w:t>牌匾</w:t>
      </w:r>
      <w:r>
        <w:rPr>
          <w:rFonts w:hint="default" w:ascii="Times New Roman" w:hAnsi="Times New Roman" w:eastAsia="仿宋" w:cs="Times New Roman"/>
          <w:color w:val="auto"/>
          <w:sz w:val="28"/>
          <w:szCs w:val="28"/>
          <w:highlight w:val="none"/>
          <w:lang w:eastAsia="zh-CN"/>
        </w:rPr>
        <w:t>等。</w:t>
      </w:r>
    </w:p>
    <w:p w14:paraId="2155446E">
      <w:pPr>
        <w:pStyle w:val="90"/>
        <w:shd w:val="clear" w:color="FFFFFF" w:fill="FFFFFF"/>
        <w:bidi w:val="0"/>
        <w:rPr>
          <w:rFonts w:hint="default" w:ascii="Times New Roman" w:hAnsi="Times New Roman" w:cs="Times New Roman"/>
          <w:lang w:val="en-US" w:eastAsia="zh-CN"/>
        </w:rPr>
      </w:pPr>
      <w:bookmarkStart w:id="33" w:name="_Toc19992"/>
      <w:r>
        <w:rPr>
          <w:rFonts w:hint="default" w:ascii="Times New Roman" w:hAnsi="Times New Roman" w:cs="Times New Roman"/>
          <w:lang w:val="en-US" w:eastAsia="zh-CN"/>
        </w:rPr>
        <w:t>8 评价程序</w:t>
      </w:r>
      <w:bookmarkEnd w:id="33"/>
    </w:p>
    <w:p w14:paraId="5F2EF186">
      <w:pPr>
        <w:keepNext w:val="0"/>
        <w:keepLines w:val="0"/>
        <w:pageBreakBefore w:val="0"/>
        <w:widowControl/>
        <w:kinsoku/>
        <w:wordWrap/>
        <w:overflowPunct/>
        <w:topLinePunct w:val="0"/>
        <w:autoSpaceDE/>
        <w:autoSpaceDN/>
        <w:bidi w:val="0"/>
        <w:adjustRightInd/>
        <w:snapToGrid/>
        <w:spacing w:line="360" w:lineRule="auto"/>
        <w:ind w:left="218" w:leftChars="104" w:firstLine="0" w:firstLineChars="0"/>
        <w:textAlignment w:val="auto"/>
        <w:rPr>
          <w:rFonts w:hint="default" w:ascii="Times New Roman" w:hAnsi="Times New Roman" w:eastAsia="仿宋" w:cs="Times New Roman"/>
          <w:color w:val="auto"/>
          <w:sz w:val="28"/>
          <w:szCs w:val="28"/>
          <w:highlight w:val="none"/>
          <w:lang w:eastAsia="zh-CN"/>
        </w:rPr>
      </w:pPr>
      <w:r>
        <w:rPr>
          <w:rFonts w:hint="default" w:ascii="Times New Roman" w:hAnsi="Times New Roman" w:eastAsia="仿宋" w:cs="Times New Roman"/>
          <w:color w:val="auto"/>
          <w:sz w:val="28"/>
          <w:szCs w:val="28"/>
          <w:highlight w:val="none"/>
          <w:lang w:eastAsia="zh-CN"/>
        </w:rPr>
        <w:t>8.1 申报与受理</w:t>
      </w:r>
    </w:p>
    <w:p w14:paraId="445F1AD7">
      <w:pPr>
        <w:keepNext w:val="0"/>
        <w:keepLines w:val="0"/>
        <w:pageBreakBefore w:val="0"/>
        <w:widowControl/>
        <w:kinsoku/>
        <w:wordWrap/>
        <w:overflowPunct/>
        <w:topLinePunct w:val="0"/>
        <w:autoSpaceDE/>
        <w:autoSpaceDN/>
        <w:bidi w:val="0"/>
        <w:adjustRightInd/>
        <w:snapToGrid/>
        <w:spacing w:line="360" w:lineRule="auto"/>
        <w:ind w:left="218" w:leftChars="104" w:firstLine="560" w:firstLineChars="200"/>
        <w:textAlignment w:val="auto"/>
        <w:rPr>
          <w:rFonts w:hint="default" w:ascii="Times New Roman" w:hAnsi="Times New Roman" w:eastAsia="仿宋" w:cs="Times New Roman"/>
          <w:color w:val="auto"/>
          <w:sz w:val="28"/>
          <w:szCs w:val="28"/>
          <w:highlight w:val="none"/>
          <w:lang w:eastAsia="zh-CN"/>
        </w:rPr>
      </w:pPr>
      <w:r>
        <w:rPr>
          <w:rFonts w:hint="default" w:ascii="Times New Roman" w:hAnsi="Times New Roman" w:eastAsia="仿宋" w:cs="Times New Roman"/>
          <w:color w:val="auto"/>
          <w:sz w:val="28"/>
          <w:szCs w:val="28"/>
          <w:highlight w:val="none"/>
          <w:lang w:eastAsia="zh-CN"/>
        </w:rPr>
        <w:t>工程建设企业按要求在</w:t>
      </w:r>
      <w:r>
        <w:rPr>
          <w:rFonts w:hint="default" w:ascii="Times New Roman" w:hAnsi="Times New Roman" w:eastAsia="仿宋" w:cs="Times New Roman"/>
          <w:color w:val="auto"/>
          <w:sz w:val="28"/>
          <w:szCs w:val="28"/>
          <w:highlight w:val="none"/>
          <w:lang w:val="en-US" w:eastAsia="zh-CN"/>
        </w:rPr>
        <w:t>广州市</w:t>
      </w:r>
      <w:r>
        <w:rPr>
          <w:rFonts w:hint="default" w:ascii="Times New Roman" w:hAnsi="Times New Roman" w:eastAsia="仿宋" w:cs="Times New Roman"/>
          <w:color w:val="auto"/>
          <w:sz w:val="28"/>
          <w:szCs w:val="28"/>
          <w:highlight w:val="none"/>
          <w:lang w:eastAsia="zh-CN"/>
        </w:rPr>
        <w:t>工程建设行业信用体系建设平台提交信用评价申报材料。</w:t>
      </w:r>
    </w:p>
    <w:p w14:paraId="0BD49342">
      <w:pPr>
        <w:keepNext w:val="0"/>
        <w:keepLines w:val="0"/>
        <w:pageBreakBefore w:val="0"/>
        <w:widowControl/>
        <w:kinsoku/>
        <w:wordWrap/>
        <w:overflowPunct/>
        <w:topLinePunct w:val="0"/>
        <w:autoSpaceDE/>
        <w:autoSpaceDN/>
        <w:bidi w:val="0"/>
        <w:adjustRightInd/>
        <w:snapToGrid/>
        <w:spacing w:line="360" w:lineRule="auto"/>
        <w:ind w:left="218" w:leftChars="104" w:firstLine="560" w:firstLineChars="200"/>
        <w:textAlignment w:val="auto"/>
        <w:rPr>
          <w:rFonts w:hint="default" w:ascii="Times New Roman" w:hAnsi="Times New Roman" w:eastAsia="仿宋" w:cs="Times New Roman"/>
          <w:color w:val="auto"/>
          <w:sz w:val="28"/>
          <w:szCs w:val="28"/>
          <w:highlight w:val="none"/>
          <w:lang w:eastAsia="zh-CN"/>
        </w:rPr>
      </w:pPr>
      <w:r>
        <w:rPr>
          <w:rFonts w:hint="default" w:ascii="Times New Roman" w:hAnsi="Times New Roman" w:eastAsia="仿宋" w:cs="Times New Roman"/>
          <w:color w:val="auto"/>
          <w:sz w:val="28"/>
          <w:szCs w:val="28"/>
          <w:highlight w:val="none"/>
          <w:lang w:eastAsia="zh-CN"/>
        </w:rPr>
        <w:t>信用委办公室在收到企业申报材料后作出回复，内容包括是否受理申报、申报材料是否完整和是否需要补充材料等。</w:t>
      </w:r>
    </w:p>
    <w:p w14:paraId="752212E8">
      <w:pPr>
        <w:keepNext w:val="0"/>
        <w:keepLines w:val="0"/>
        <w:pageBreakBefore w:val="0"/>
        <w:widowControl/>
        <w:kinsoku/>
        <w:wordWrap/>
        <w:overflowPunct/>
        <w:topLinePunct w:val="0"/>
        <w:autoSpaceDE/>
        <w:autoSpaceDN/>
        <w:bidi w:val="0"/>
        <w:adjustRightInd/>
        <w:snapToGrid/>
        <w:spacing w:line="360" w:lineRule="auto"/>
        <w:ind w:left="218" w:leftChars="104" w:firstLine="0" w:firstLineChars="0"/>
        <w:textAlignment w:val="auto"/>
        <w:rPr>
          <w:rFonts w:hint="default" w:ascii="Times New Roman" w:hAnsi="Times New Roman" w:eastAsia="仿宋" w:cs="Times New Roman"/>
          <w:color w:val="auto"/>
          <w:sz w:val="28"/>
          <w:szCs w:val="28"/>
          <w:highlight w:val="none"/>
          <w:lang w:eastAsia="zh-CN"/>
        </w:rPr>
      </w:pPr>
      <w:r>
        <w:rPr>
          <w:rFonts w:hint="default" w:ascii="Times New Roman" w:hAnsi="Times New Roman" w:eastAsia="仿宋" w:cs="Times New Roman"/>
          <w:color w:val="auto"/>
          <w:sz w:val="28"/>
          <w:szCs w:val="28"/>
          <w:highlight w:val="none"/>
          <w:lang w:eastAsia="zh-CN"/>
        </w:rPr>
        <w:t>被司法机构列入失信被执行人，被住建、工商、税务、</w:t>
      </w:r>
      <w:r>
        <w:rPr>
          <w:rFonts w:hint="default" w:ascii="Times New Roman" w:hAnsi="Times New Roman" w:eastAsia="仿宋" w:cs="Times New Roman"/>
          <w:color w:val="auto"/>
          <w:sz w:val="28"/>
          <w:szCs w:val="28"/>
          <w:highlight w:val="none"/>
          <w:lang w:val="en-US" w:eastAsia="zh-CN"/>
        </w:rPr>
        <w:t>环保</w:t>
      </w:r>
      <w:r>
        <w:rPr>
          <w:rFonts w:hint="default" w:ascii="Times New Roman" w:hAnsi="Times New Roman" w:eastAsia="仿宋" w:cs="Times New Roman"/>
          <w:color w:val="auto"/>
          <w:sz w:val="28"/>
          <w:szCs w:val="28"/>
          <w:highlight w:val="none"/>
          <w:lang w:eastAsia="zh-CN"/>
        </w:rPr>
        <w:t>、海关、人社、金融等部门列入失信惩戒名单，出现重大违法违规事件和严重失信行为的企业完成信用修复后方可申报。</w:t>
      </w:r>
    </w:p>
    <w:p w14:paraId="373C3682">
      <w:pPr>
        <w:keepNext w:val="0"/>
        <w:keepLines w:val="0"/>
        <w:pageBreakBefore w:val="0"/>
        <w:widowControl/>
        <w:kinsoku/>
        <w:wordWrap/>
        <w:overflowPunct/>
        <w:topLinePunct w:val="0"/>
        <w:autoSpaceDE/>
        <w:autoSpaceDN/>
        <w:bidi w:val="0"/>
        <w:adjustRightInd/>
        <w:snapToGrid/>
        <w:spacing w:line="360" w:lineRule="auto"/>
        <w:ind w:left="218" w:leftChars="104" w:firstLine="0" w:firstLineChars="0"/>
        <w:textAlignment w:val="auto"/>
        <w:rPr>
          <w:rFonts w:hint="default" w:ascii="Times New Roman" w:hAnsi="Times New Roman" w:eastAsia="仿宋" w:cs="Times New Roman"/>
          <w:color w:val="auto"/>
          <w:sz w:val="28"/>
          <w:szCs w:val="28"/>
          <w:highlight w:val="none"/>
          <w:lang w:eastAsia="zh-CN"/>
        </w:rPr>
      </w:pPr>
      <w:r>
        <w:rPr>
          <w:rFonts w:hint="default" w:ascii="Times New Roman" w:hAnsi="Times New Roman" w:eastAsia="仿宋" w:cs="Times New Roman"/>
          <w:color w:val="auto"/>
          <w:sz w:val="28"/>
          <w:szCs w:val="28"/>
          <w:highlight w:val="none"/>
          <w:lang w:eastAsia="zh-CN"/>
        </w:rPr>
        <w:t>8.2 成立专家组</w:t>
      </w:r>
    </w:p>
    <w:p w14:paraId="0F437907">
      <w:pPr>
        <w:keepNext w:val="0"/>
        <w:keepLines w:val="0"/>
        <w:pageBreakBefore w:val="0"/>
        <w:widowControl/>
        <w:kinsoku/>
        <w:wordWrap/>
        <w:overflowPunct/>
        <w:topLinePunct w:val="0"/>
        <w:autoSpaceDE/>
        <w:autoSpaceDN/>
        <w:bidi w:val="0"/>
        <w:adjustRightInd/>
        <w:snapToGrid/>
        <w:spacing w:line="360" w:lineRule="auto"/>
        <w:ind w:left="218" w:leftChars="104" w:firstLine="560" w:firstLineChars="200"/>
        <w:textAlignment w:val="auto"/>
        <w:rPr>
          <w:rFonts w:hint="default" w:ascii="Times New Roman" w:hAnsi="Times New Roman" w:eastAsia="仿宋" w:cs="Times New Roman"/>
          <w:color w:val="auto"/>
          <w:sz w:val="28"/>
          <w:szCs w:val="28"/>
          <w:highlight w:val="none"/>
          <w:lang w:eastAsia="zh-CN"/>
        </w:rPr>
      </w:pPr>
      <w:r>
        <w:rPr>
          <w:rFonts w:hint="default" w:ascii="Times New Roman" w:hAnsi="Times New Roman" w:eastAsia="仿宋" w:cs="Times New Roman"/>
          <w:color w:val="auto"/>
          <w:sz w:val="28"/>
          <w:szCs w:val="28"/>
          <w:highlight w:val="none"/>
          <w:lang w:eastAsia="zh-CN"/>
        </w:rPr>
        <w:t>信用委与受评企业签订协议，根据受评企业所处的行业特点、企业规模及企业机构的复杂程度组建专家组，专家组成员从专家委员会中选出。</w:t>
      </w:r>
    </w:p>
    <w:p w14:paraId="2A86BCAA">
      <w:pPr>
        <w:keepNext w:val="0"/>
        <w:keepLines w:val="0"/>
        <w:pageBreakBefore w:val="0"/>
        <w:widowControl/>
        <w:kinsoku/>
        <w:wordWrap/>
        <w:overflowPunct/>
        <w:topLinePunct w:val="0"/>
        <w:autoSpaceDE/>
        <w:autoSpaceDN/>
        <w:bidi w:val="0"/>
        <w:adjustRightInd/>
        <w:snapToGrid/>
        <w:spacing w:line="360" w:lineRule="auto"/>
        <w:ind w:left="218" w:leftChars="104" w:firstLine="0" w:firstLineChars="0"/>
        <w:textAlignment w:val="auto"/>
        <w:rPr>
          <w:rFonts w:hint="default" w:ascii="Times New Roman" w:hAnsi="Times New Roman" w:eastAsia="仿宋" w:cs="Times New Roman"/>
          <w:color w:val="auto"/>
          <w:sz w:val="28"/>
          <w:szCs w:val="28"/>
          <w:highlight w:val="none"/>
          <w:lang w:eastAsia="zh-CN"/>
        </w:rPr>
      </w:pPr>
      <w:r>
        <w:rPr>
          <w:rFonts w:hint="default" w:ascii="Times New Roman" w:hAnsi="Times New Roman" w:eastAsia="仿宋" w:cs="Times New Roman"/>
          <w:color w:val="auto"/>
          <w:sz w:val="28"/>
          <w:szCs w:val="28"/>
          <w:highlight w:val="none"/>
          <w:lang w:eastAsia="zh-CN"/>
        </w:rPr>
        <w:t>8.3 专家访谈</w:t>
      </w:r>
    </w:p>
    <w:p w14:paraId="0E0090CD">
      <w:pPr>
        <w:keepNext w:val="0"/>
        <w:keepLines w:val="0"/>
        <w:pageBreakBefore w:val="0"/>
        <w:widowControl/>
        <w:kinsoku/>
        <w:wordWrap/>
        <w:overflowPunct/>
        <w:topLinePunct w:val="0"/>
        <w:autoSpaceDE/>
        <w:autoSpaceDN/>
        <w:bidi w:val="0"/>
        <w:adjustRightInd/>
        <w:snapToGrid/>
        <w:spacing w:line="360" w:lineRule="auto"/>
        <w:ind w:left="218" w:leftChars="104" w:firstLine="560" w:firstLineChars="200"/>
        <w:textAlignment w:val="auto"/>
        <w:rPr>
          <w:rFonts w:hint="default" w:ascii="Times New Roman" w:hAnsi="Times New Roman" w:eastAsia="仿宋" w:cs="Times New Roman"/>
          <w:color w:val="auto"/>
          <w:sz w:val="28"/>
          <w:szCs w:val="28"/>
          <w:highlight w:val="none"/>
          <w:lang w:eastAsia="zh-CN"/>
        </w:rPr>
      </w:pPr>
      <w:r>
        <w:rPr>
          <w:rFonts w:hint="default" w:ascii="Times New Roman" w:hAnsi="Times New Roman" w:eastAsia="仿宋" w:cs="Times New Roman"/>
          <w:color w:val="auto"/>
          <w:sz w:val="28"/>
          <w:szCs w:val="28"/>
          <w:highlight w:val="none"/>
          <w:lang w:eastAsia="zh-CN"/>
        </w:rPr>
        <w:t>信用委办公室制定专家访谈计划和安排，</w:t>
      </w:r>
      <w:r>
        <w:rPr>
          <w:rFonts w:hint="default" w:ascii="Times New Roman" w:hAnsi="Times New Roman" w:eastAsia="仿宋" w:cs="Times New Roman"/>
          <w:color w:val="auto"/>
          <w:sz w:val="28"/>
          <w:szCs w:val="28"/>
          <w:highlight w:val="none"/>
          <w:lang w:val="en-US" w:eastAsia="zh-CN"/>
        </w:rPr>
        <w:t>向参评企业</w:t>
      </w:r>
      <w:r>
        <w:rPr>
          <w:rFonts w:hint="default" w:ascii="Times New Roman" w:hAnsi="Times New Roman" w:eastAsia="仿宋" w:cs="Times New Roman"/>
          <w:color w:val="auto"/>
          <w:sz w:val="28"/>
          <w:szCs w:val="28"/>
          <w:highlight w:val="none"/>
          <w:lang w:eastAsia="zh-CN"/>
        </w:rPr>
        <w:t>发送访谈通知书，根据实际情况采取线上访谈或实地访谈。专家组依据评价指标和评价要点，根据申报材料，按照既定程序实施访谈，重点核查资料、总结企业管理特色、提出咨询建议等。</w:t>
      </w:r>
    </w:p>
    <w:p w14:paraId="46BFCBCC">
      <w:pPr>
        <w:keepNext w:val="0"/>
        <w:keepLines w:val="0"/>
        <w:pageBreakBefore w:val="0"/>
        <w:widowControl/>
        <w:kinsoku/>
        <w:wordWrap/>
        <w:overflowPunct/>
        <w:topLinePunct w:val="0"/>
        <w:autoSpaceDE/>
        <w:autoSpaceDN/>
        <w:bidi w:val="0"/>
        <w:adjustRightInd/>
        <w:snapToGrid/>
        <w:spacing w:line="360" w:lineRule="auto"/>
        <w:ind w:left="218" w:leftChars="104" w:firstLine="0" w:firstLineChars="0"/>
        <w:textAlignment w:val="auto"/>
        <w:rPr>
          <w:rFonts w:hint="default" w:ascii="Times New Roman" w:hAnsi="Times New Roman" w:eastAsia="仿宋" w:cs="Times New Roman"/>
          <w:color w:val="auto"/>
          <w:sz w:val="28"/>
          <w:szCs w:val="28"/>
          <w:highlight w:val="none"/>
          <w:lang w:eastAsia="zh-CN"/>
        </w:rPr>
      </w:pPr>
      <w:r>
        <w:rPr>
          <w:rFonts w:hint="default" w:ascii="Times New Roman" w:hAnsi="Times New Roman" w:eastAsia="仿宋" w:cs="Times New Roman"/>
          <w:color w:val="auto"/>
          <w:sz w:val="28"/>
          <w:szCs w:val="28"/>
          <w:highlight w:val="none"/>
          <w:lang w:eastAsia="zh-CN"/>
        </w:rPr>
        <w:t>8.4 撰写报告</w:t>
      </w:r>
    </w:p>
    <w:p w14:paraId="46FA1F99">
      <w:pPr>
        <w:keepNext w:val="0"/>
        <w:keepLines w:val="0"/>
        <w:pageBreakBefore w:val="0"/>
        <w:widowControl/>
        <w:kinsoku/>
        <w:wordWrap/>
        <w:overflowPunct/>
        <w:topLinePunct w:val="0"/>
        <w:autoSpaceDE/>
        <w:autoSpaceDN/>
        <w:bidi w:val="0"/>
        <w:adjustRightInd/>
        <w:snapToGrid/>
        <w:spacing w:line="360" w:lineRule="auto"/>
        <w:ind w:firstLine="560" w:firstLineChars="200"/>
        <w:textAlignment w:val="auto"/>
        <w:rPr>
          <w:rFonts w:hint="default" w:ascii="Times New Roman" w:hAnsi="Times New Roman" w:eastAsia="仿宋" w:cs="Times New Roman"/>
          <w:color w:val="auto"/>
          <w:sz w:val="28"/>
          <w:szCs w:val="28"/>
          <w:highlight w:val="none"/>
          <w:lang w:eastAsia="zh-CN"/>
        </w:rPr>
      </w:pPr>
      <w:r>
        <w:rPr>
          <w:rFonts w:hint="default" w:ascii="Times New Roman" w:hAnsi="Times New Roman" w:eastAsia="仿宋" w:cs="Times New Roman"/>
          <w:color w:val="auto"/>
          <w:sz w:val="28"/>
          <w:szCs w:val="28"/>
          <w:highlight w:val="none"/>
          <w:lang w:eastAsia="zh-CN"/>
        </w:rPr>
        <w:t>专家组现场访谈结束后，专家组成员对收集到的各项资料进行分析整理，并形成报告。信用评价报告按照既定模板撰写，包括概述、正文、附件三部分。</w:t>
      </w:r>
    </w:p>
    <w:p w14:paraId="049B0182">
      <w:pPr>
        <w:keepNext w:val="0"/>
        <w:keepLines w:val="0"/>
        <w:pageBreakBefore w:val="0"/>
        <w:widowControl/>
        <w:kinsoku/>
        <w:wordWrap/>
        <w:overflowPunct/>
        <w:topLinePunct w:val="0"/>
        <w:autoSpaceDE/>
        <w:autoSpaceDN/>
        <w:bidi w:val="0"/>
        <w:adjustRightInd/>
        <w:snapToGrid/>
        <w:spacing w:line="360" w:lineRule="auto"/>
        <w:ind w:firstLine="560" w:firstLineChars="200"/>
        <w:textAlignment w:val="auto"/>
        <w:rPr>
          <w:rFonts w:hint="default" w:ascii="Times New Roman" w:hAnsi="Times New Roman" w:eastAsia="仿宋" w:cs="Times New Roman"/>
          <w:color w:val="auto"/>
          <w:sz w:val="28"/>
          <w:szCs w:val="28"/>
          <w:highlight w:val="none"/>
          <w:lang w:eastAsia="zh-CN"/>
        </w:rPr>
      </w:pPr>
      <w:r>
        <w:rPr>
          <w:rFonts w:hint="default" w:ascii="Times New Roman" w:hAnsi="Times New Roman" w:eastAsia="仿宋" w:cs="Times New Roman"/>
          <w:color w:val="auto"/>
          <w:sz w:val="28"/>
          <w:szCs w:val="28"/>
          <w:highlight w:val="none"/>
          <w:lang w:eastAsia="zh-CN"/>
        </w:rPr>
        <w:t>专家组向信用委办公室提交信用评价报告及工作底稿，信用委办公室进行审核。对在审核中发现的问题，专家组应及时修正。</w:t>
      </w:r>
    </w:p>
    <w:p w14:paraId="6302C936">
      <w:pPr>
        <w:keepNext w:val="0"/>
        <w:keepLines w:val="0"/>
        <w:pageBreakBefore w:val="0"/>
        <w:widowControl/>
        <w:kinsoku/>
        <w:wordWrap/>
        <w:overflowPunct/>
        <w:topLinePunct w:val="0"/>
        <w:autoSpaceDE/>
        <w:autoSpaceDN/>
        <w:bidi w:val="0"/>
        <w:adjustRightInd/>
        <w:snapToGrid/>
        <w:spacing w:line="360" w:lineRule="auto"/>
        <w:ind w:firstLine="560" w:firstLineChars="200"/>
        <w:textAlignment w:val="auto"/>
        <w:rPr>
          <w:rFonts w:hint="default" w:ascii="Times New Roman" w:hAnsi="Times New Roman" w:eastAsia="仿宋" w:cs="Times New Roman"/>
          <w:color w:val="auto"/>
          <w:sz w:val="28"/>
          <w:szCs w:val="28"/>
          <w:highlight w:val="none"/>
          <w:lang w:eastAsia="zh-CN"/>
        </w:rPr>
      </w:pPr>
      <w:r>
        <w:rPr>
          <w:rFonts w:hint="default" w:ascii="Times New Roman" w:hAnsi="Times New Roman" w:eastAsia="仿宋" w:cs="Times New Roman"/>
          <w:color w:val="auto"/>
          <w:sz w:val="28"/>
          <w:szCs w:val="28"/>
          <w:highlight w:val="none"/>
          <w:lang w:eastAsia="zh-CN"/>
        </w:rPr>
        <w:t>信用委办公室汇总当期受评企业的分值及等级意见、报告初稿和审核意见，报信用评价工作委员会审定。</w:t>
      </w:r>
    </w:p>
    <w:p w14:paraId="38CBB1A1">
      <w:pPr>
        <w:keepNext w:val="0"/>
        <w:keepLines w:val="0"/>
        <w:pageBreakBefore w:val="0"/>
        <w:widowControl/>
        <w:kinsoku/>
        <w:wordWrap/>
        <w:overflowPunct/>
        <w:topLinePunct w:val="0"/>
        <w:autoSpaceDE/>
        <w:autoSpaceDN/>
        <w:bidi w:val="0"/>
        <w:adjustRightInd/>
        <w:snapToGrid/>
        <w:spacing w:line="360" w:lineRule="auto"/>
        <w:textAlignment w:val="auto"/>
        <w:rPr>
          <w:rFonts w:hint="default" w:ascii="Times New Roman" w:hAnsi="Times New Roman" w:eastAsia="仿宋" w:cs="Times New Roman"/>
          <w:color w:val="auto"/>
          <w:sz w:val="28"/>
          <w:szCs w:val="28"/>
          <w:highlight w:val="none"/>
          <w:lang w:eastAsia="zh-CN"/>
        </w:rPr>
      </w:pPr>
      <w:r>
        <w:rPr>
          <w:rFonts w:hint="default" w:ascii="Times New Roman" w:hAnsi="Times New Roman" w:eastAsia="仿宋" w:cs="Times New Roman"/>
          <w:color w:val="auto"/>
          <w:sz w:val="28"/>
          <w:szCs w:val="28"/>
          <w:highlight w:val="none"/>
          <w:lang w:eastAsia="zh-CN"/>
        </w:rPr>
        <w:t>8.5</w:t>
      </w:r>
      <w:r>
        <w:rPr>
          <w:rFonts w:hint="default" w:ascii="Times New Roman" w:hAnsi="Times New Roman" w:eastAsia="仿宋" w:cs="Times New Roman"/>
          <w:color w:val="auto"/>
          <w:sz w:val="28"/>
          <w:szCs w:val="28"/>
          <w:highlight w:val="none"/>
          <w:lang w:val="en-US" w:eastAsia="zh-CN"/>
        </w:rPr>
        <w:t xml:space="preserve"> </w:t>
      </w:r>
      <w:r>
        <w:rPr>
          <w:rFonts w:hint="default" w:ascii="Times New Roman" w:hAnsi="Times New Roman" w:eastAsia="仿宋" w:cs="Times New Roman"/>
          <w:color w:val="auto"/>
          <w:sz w:val="28"/>
          <w:szCs w:val="28"/>
          <w:highlight w:val="none"/>
          <w:lang w:eastAsia="zh-CN"/>
        </w:rPr>
        <w:t>结果公示</w:t>
      </w:r>
    </w:p>
    <w:p w14:paraId="7EA0C347">
      <w:pPr>
        <w:keepNext w:val="0"/>
        <w:keepLines w:val="0"/>
        <w:pageBreakBefore w:val="0"/>
        <w:widowControl/>
        <w:kinsoku/>
        <w:wordWrap/>
        <w:overflowPunct/>
        <w:topLinePunct w:val="0"/>
        <w:autoSpaceDE/>
        <w:autoSpaceDN/>
        <w:bidi w:val="0"/>
        <w:adjustRightInd/>
        <w:snapToGrid/>
        <w:spacing w:line="360" w:lineRule="auto"/>
        <w:ind w:firstLine="560" w:firstLineChars="200"/>
        <w:textAlignment w:val="auto"/>
        <w:rPr>
          <w:rFonts w:hint="default" w:ascii="Times New Roman" w:hAnsi="Times New Roman" w:eastAsia="仿宋" w:cs="Times New Roman"/>
          <w:color w:val="auto"/>
          <w:sz w:val="28"/>
          <w:szCs w:val="28"/>
          <w:highlight w:val="none"/>
          <w:lang w:eastAsia="zh-CN"/>
        </w:rPr>
      </w:pPr>
      <w:r>
        <w:rPr>
          <w:rFonts w:hint="default" w:ascii="Times New Roman" w:hAnsi="Times New Roman" w:eastAsia="仿宋" w:cs="Times New Roman"/>
          <w:color w:val="auto"/>
          <w:sz w:val="28"/>
          <w:szCs w:val="28"/>
          <w:highlight w:val="none"/>
          <w:lang w:eastAsia="zh-CN"/>
        </w:rPr>
        <w:t>信用委将审定结果在广州市建筑业联合会官方网站以及指定的公共媒体对外公示七天。在公示期间，受评企业或公众对评价结果没有异议，则评价结果为首次评价的最终信用等级。受评企业或公众对评价结果有异议，且在公示期间内向信用委提出申诉或投诉申请的，应提供相关材料，由信用委酌情处置或组织复审。</w:t>
      </w:r>
    </w:p>
    <w:p w14:paraId="78707273">
      <w:pPr>
        <w:keepNext w:val="0"/>
        <w:keepLines w:val="0"/>
        <w:pageBreakBefore w:val="0"/>
        <w:widowControl/>
        <w:kinsoku/>
        <w:wordWrap/>
        <w:overflowPunct/>
        <w:topLinePunct w:val="0"/>
        <w:autoSpaceDE/>
        <w:autoSpaceDN/>
        <w:bidi w:val="0"/>
        <w:adjustRightInd/>
        <w:snapToGrid/>
        <w:spacing w:line="360" w:lineRule="auto"/>
        <w:ind w:firstLine="560" w:firstLineChars="200"/>
        <w:textAlignment w:val="auto"/>
        <w:rPr>
          <w:rFonts w:hint="default" w:ascii="Times New Roman" w:hAnsi="Times New Roman" w:eastAsia="仿宋" w:cs="Times New Roman"/>
          <w:color w:val="auto"/>
          <w:sz w:val="28"/>
          <w:szCs w:val="28"/>
          <w:highlight w:val="none"/>
          <w:lang w:eastAsia="zh-CN"/>
        </w:rPr>
      </w:pPr>
      <w:r>
        <w:rPr>
          <w:rFonts w:hint="default" w:ascii="Times New Roman" w:hAnsi="Times New Roman" w:eastAsia="仿宋" w:cs="Times New Roman"/>
          <w:color w:val="auto"/>
          <w:sz w:val="28"/>
          <w:szCs w:val="28"/>
          <w:highlight w:val="none"/>
          <w:lang w:eastAsia="zh-CN"/>
        </w:rPr>
        <w:t>信用委受理复审后，专家组根据补充的材料，按照本文件重新评价。复审结果为首次评价的最终信用等级，复审仅限一次。</w:t>
      </w:r>
    </w:p>
    <w:p w14:paraId="0CE3A921">
      <w:pPr>
        <w:keepNext w:val="0"/>
        <w:keepLines w:val="0"/>
        <w:pageBreakBefore w:val="0"/>
        <w:widowControl/>
        <w:kinsoku/>
        <w:wordWrap/>
        <w:overflowPunct/>
        <w:topLinePunct w:val="0"/>
        <w:autoSpaceDE/>
        <w:autoSpaceDN/>
        <w:bidi w:val="0"/>
        <w:adjustRightInd/>
        <w:snapToGrid/>
        <w:spacing w:line="360" w:lineRule="auto"/>
        <w:textAlignment w:val="auto"/>
        <w:rPr>
          <w:rFonts w:hint="default" w:ascii="Times New Roman" w:hAnsi="Times New Roman" w:eastAsia="仿宋" w:cs="Times New Roman"/>
          <w:color w:val="auto"/>
          <w:sz w:val="28"/>
          <w:szCs w:val="28"/>
          <w:highlight w:val="none"/>
          <w:lang w:eastAsia="zh-CN"/>
        </w:rPr>
      </w:pPr>
      <w:r>
        <w:rPr>
          <w:rFonts w:hint="default" w:ascii="Times New Roman" w:hAnsi="Times New Roman" w:eastAsia="仿宋" w:cs="Times New Roman"/>
          <w:color w:val="auto"/>
          <w:sz w:val="28"/>
          <w:szCs w:val="28"/>
          <w:highlight w:val="none"/>
          <w:lang w:eastAsia="zh-CN"/>
        </w:rPr>
        <w:t>8.6 结果发布与公示</w:t>
      </w:r>
    </w:p>
    <w:p w14:paraId="04BA90E8">
      <w:pPr>
        <w:keepNext w:val="0"/>
        <w:keepLines w:val="0"/>
        <w:pageBreakBefore w:val="0"/>
        <w:widowControl/>
        <w:kinsoku/>
        <w:wordWrap/>
        <w:overflowPunct/>
        <w:topLinePunct w:val="0"/>
        <w:autoSpaceDE/>
        <w:autoSpaceDN/>
        <w:bidi w:val="0"/>
        <w:adjustRightInd/>
        <w:snapToGrid/>
        <w:spacing w:line="360" w:lineRule="auto"/>
        <w:ind w:firstLine="560" w:firstLineChars="200"/>
        <w:textAlignment w:val="auto"/>
        <w:rPr>
          <w:rFonts w:hint="default" w:ascii="Times New Roman" w:hAnsi="Times New Roman" w:eastAsia="仿宋" w:cs="Times New Roman"/>
          <w:color w:val="auto"/>
          <w:sz w:val="28"/>
          <w:szCs w:val="28"/>
          <w:highlight w:val="none"/>
          <w:lang w:eastAsia="zh-CN"/>
        </w:rPr>
      </w:pPr>
      <w:r>
        <w:rPr>
          <w:rFonts w:hint="default" w:ascii="Times New Roman" w:hAnsi="Times New Roman" w:eastAsia="仿宋" w:cs="Times New Roman"/>
          <w:color w:val="auto"/>
          <w:sz w:val="28"/>
          <w:szCs w:val="28"/>
          <w:highlight w:val="none"/>
          <w:lang w:eastAsia="zh-CN"/>
        </w:rPr>
        <w:t>信用等级最终确认后，信用委应依据国家有关法律法规的规定，将评价结果在广州市建筑业联合会网站以及指定的公共媒体上对外发布，内容包括受评企业名称、信用等级、有效期（生效日期和截止日期）、评价机构名称等，并向受评企业颁发</w:t>
      </w:r>
      <w:r>
        <w:rPr>
          <w:rFonts w:hint="default" w:ascii="Times New Roman" w:hAnsi="Times New Roman" w:eastAsia="仿宋" w:cs="Times New Roman"/>
          <w:color w:val="auto"/>
          <w:sz w:val="28"/>
          <w:szCs w:val="28"/>
          <w:highlight w:val="none"/>
          <w:lang w:val="en-US" w:eastAsia="zh-CN"/>
        </w:rPr>
        <w:t>牌匾</w:t>
      </w:r>
      <w:r>
        <w:rPr>
          <w:rFonts w:hint="default" w:ascii="Times New Roman" w:hAnsi="Times New Roman" w:eastAsia="仿宋" w:cs="Times New Roman"/>
          <w:color w:val="auto"/>
          <w:sz w:val="28"/>
          <w:szCs w:val="28"/>
          <w:highlight w:val="none"/>
          <w:lang w:eastAsia="zh-CN"/>
        </w:rPr>
        <w:t>和信用等级证书。</w:t>
      </w:r>
    </w:p>
    <w:p w14:paraId="3CDA16C5">
      <w:pPr>
        <w:keepNext w:val="0"/>
        <w:keepLines w:val="0"/>
        <w:pageBreakBefore w:val="0"/>
        <w:widowControl/>
        <w:kinsoku/>
        <w:wordWrap/>
        <w:overflowPunct/>
        <w:topLinePunct w:val="0"/>
        <w:autoSpaceDE/>
        <w:autoSpaceDN/>
        <w:bidi w:val="0"/>
        <w:adjustRightInd/>
        <w:snapToGrid/>
        <w:spacing w:line="360" w:lineRule="auto"/>
        <w:ind w:firstLine="560" w:firstLineChars="200"/>
        <w:textAlignment w:val="auto"/>
        <w:rPr>
          <w:rFonts w:hint="default" w:ascii="Times New Roman" w:hAnsi="Times New Roman" w:eastAsia="仿宋" w:cs="Times New Roman"/>
          <w:color w:val="auto"/>
          <w:sz w:val="28"/>
          <w:szCs w:val="28"/>
          <w:highlight w:val="none"/>
          <w:lang w:eastAsia="zh-CN"/>
        </w:rPr>
      </w:pPr>
      <w:r>
        <w:rPr>
          <w:rFonts w:hint="default" w:ascii="Times New Roman" w:hAnsi="Times New Roman" w:eastAsia="仿宋" w:cs="Times New Roman"/>
          <w:color w:val="auto"/>
          <w:sz w:val="28"/>
          <w:szCs w:val="28"/>
          <w:highlight w:val="none"/>
          <w:lang w:eastAsia="zh-CN"/>
        </w:rPr>
        <w:t>评价信息将存档管理。信用委办公室对受评企业的原始资料、评价过程中的文字资料进行分类整理，作为企业信用档案存储，并按照国家有关要求，对可公示信息进行发布展示。</w:t>
      </w:r>
    </w:p>
    <w:p w14:paraId="020AEAB6">
      <w:pPr>
        <w:keepNext w:val="0"/>
        <w:keepLines w:val="0"/>
        <w:pageBreakBefore w:val="0"/>
        <w:widowControl/>
        <w:kinsoku/>
        <w:wordWrap/>
        <w:overflowPunct/>
        <w:topLinePunct w:val="0"/>
        <w:autoSpaceDE/>
        <w:autoSpaceDN/>
        <w:bidi w:val="0"/>
        <w:adjustRightInd/>
        <w:snapToGrid/>
        <w:spacing w:line="360" w:lineRule="auto"/>
        <w:textAlignment w:val="auto"/>
        <w:rPr>
          <w:rFonts w:hint="default" w:ascii="Times New Roman" w:hAnsi="Times New Roman" w:eastAsia="仿宋" w:cs="Times New Roman"/>
          <w:color w:val="auto"/>
          <w:sz w:val="28"/>
          <w:szCs w:val="28"/>
          <w:highlight w:val="none"/>
          <w:lang w:eastAsia="zh-CN"/>
        </w:rPr>
      </w:pPr>
      <w:r>
        <w:rPr>
          <w:rFonts w:hint="default" w:ascii="Times New Roman" w:hAnsi="Times New Roman" w:eastAsia="仿宋" w:cs="Times New Roman"/>
          <w:color w:val="auto"/>
          <w:sz w:val="28"/>
          <w:szCs w:val="28"/>
          <w:highlight w:val="none"/>
          <w:lang w:eastAsia="zh-CN"/>
        </w:rPr>
        <w:t>8.7 动态管理</w:t>
      </w:r>
    </w:p>
    <w:p w14:paraId="77DAF3A6">
      <w:pPr>
        <w:keepNext w:val="0"/>
        <w:keepLines w:val="0"/>
        <w:pageBreakBefore w:val="0"/>
        <w:widowControl/>
        <w:kinsoku/>
        <w:wordWrap/>
        <w:overflowPunct/>
        <w:topLinePunct w:val="0"/>
        <w:autoSpaceDE/>
        <w:autoSpaceDN/>
        <w:bidi w:val="0"/>
        <w:adjustRightInd/>
        <w:snapToGrid/>
        <w:spacing w:line="360" w:lineRule="auto"/>
        <w:textAlignment w:val="auto"/>
        <w:rPr>
          <w:rFonts w:hint="default" w:ascii="Times New Roman" w:hAnsi="Times New Roman" w:eastAsia="仿宋" w:cs="Times New Roman"/>
          <w:color w:val="auto"/>
          <w:sz w:val="28"/>
          <w:szCs w:val="28"/>
          <w:highlight w:val="none"/>
          <w:lang w:eastAsia="zh-CN"/>
        </w:rPr>
      </w:pPr>
      <w:r>
        <w:rPr>
          <w:rFonts w:hint="default" w:ascii="Times New Roman" w:hAnsi="Times New Roman" w:eastAsia="仿宋" w:cs="Times New Roman"/>
          <w:color w:val="auto"/>
          <w:sz w:val="28"/>
          <w:szCs w:val="28"/>
          <w:highlight w:val="none"/>
          <w:lang w:eastAsia="zh-CN"/>
        </w:rPr>
        <w:t>8.7.</w:t>
      </w:r>
      <w:r>
        <w:rPr>
          <w:rFonts w:hint="default" w:ascii="Times New Roman" w:hAnsi="Times New Roman" w:eastAsia="仿宋" w:cs="Times New Roman"/>
          <w:color w:val="auto"/>
          <w:sz w:val="28"/>
          <w:szCs w:val="28"/>
          <w:highlight w:val="none"/>
          <w:lang w:val="en-US" w:eastAsia="zh-CN"/>
        </w:rPr>
        <w:t>1</w:t>
      </w:r>
      <w:r>
        <w:rPr>
          <w:rFonts w:hint="default" w:ascii="Times New Roman" w:hAnsi="Times New Roman" w:eastAsia="仿宋" w:cs="Times New Roman"/>
          <w:color w:val="auto"/>
          <w:sz w:val="28"/>
          <w:szCs w:val="28"/>
          <w:highlight w:val="none"/>
          <w:lang w:eastAsia="zh-CN"/>
        </w:rPr>
        <w:t xml:space="preserve"> 复评</w:t>
      </w:r>
    </w:p>
    <w:p w14:paraId="202CE9D9">
      <w:pPr>
        <w:keepNext w:val="0"/>
        <w:keepLines w:val="0"/>
        <w:pageBreakBefore w:val="0"/>
        <w:widowControl/>
        <w:kinsoku/>
        <w:wordWrap/>
        <w:overflowPunct/>
        <w:topLinePunct w:val="0"/>
        <w:autoSpaceDE/>
        <w:autoSpaceDN/>
        <w:bidi w:val="0"/>
        <w:adjustRightInd/>
        <w:snapToGrid/>
        <w:spacing w:line="360" w:lineRule="auto"/>
        <w:ind w:firstLine="560" w:firstLineChars="200"/>
        <w:textAlignment w:val="auto"/>
        <w:rPr>
          <w:rFonts w:hint="default" w:ascii="Times New Roman" w:hAnsi="Times New Roman" w:eastAsia="仿宋" w:cs="Times New Roman"/>
          <w:color w:val="auto"/>
          <w:sz w:val="28"/>
          <w:szCs w:val="28"/>
          <w:highlight w:val="none"/>
          <w:lang w:eastAsia="zh-CN"/>
        </w:rPr>
      </w:pPr>
      <w:r>
        <w:rPr>
          <w:rFonts w:hint="default" w:ascii="Times New Roman" w:hAnsi="Times New Roman" w:eastAsia="仿宋" w:cs="Times New Roman"/>
          <w:color w:val="auto"/>
          <w:sz w:val="28"/>
          <w:szCs w:val="28"/>
          <w:highlight w:val="none"/>
          <w:lang w:eastAsia="zh-CN"/>
        </w:rPr>
        <w:t>企业取得信用评价满三年需要复评。复评时间为有效期满前的三个月之内。企业因为改制、并购、重组等重大原因须延缓复评的，应向信用委提出书面申请，经同意后可适当延迟参与信用复评，原则上不得超过一年。信用委在受评企业信用等级有效期满前，应发出复评通知，并提供信用评价复评资料清单，复评资料清单根据实际情况确定。复评工作采取“非现场评价+现场抽检”的方式进行，坚持公平、公正、公开的原则。</w:t>
      </w:r>
    </w:p>
    <w:p w14:paraId="6D15B536">
      <w:pPr>
        <w:keepNext w:val="0"/>
        <w:keepLines w:val="0"/>
        <w:pageBreakBefore w:val="0"/>
        <w:widowControl/>
        <w:kinsoku/>
        <w:wordWrap/>
        <w:overflowPunct/>
        <w:topLinePunct w:val="0"/>
        <w:autoSpaceDE/>
        <w:autoSpaceDN/>
        <w:bidi w:val="0"/>
        <w:adjustRightInd/>
        <w:snapToGrid/>
        <w:spacing w:line="360" w:lineRule="auto"/>
        <w:ind w:firstLine="560" w:firstLineChars="200"/>
        <w:textAlignment w:val="auto"/>
        <w:rPr>
          <w:rFonts w:hint="default" w:ascii="Times New Roman" w:hAnsi="Times New Roman" w:eastAsia="仿宋" w:cs="Times New Roman"/>
          <w:color w:val="auto"/>
          <w:sz w:val="28"/>
          <w:szCs w:val="28"/>
          <w:highlight w:val="none"/>
          <w:lang w:eastAsia="zh-CN"/>
        </w:rPr>
      </w:pPr>
      <w:r>
        <w:rPr>
          <w:rFonts w:hint="default" w:ascii="Times New Roman" w:hAnsi="Times New Roman" w:eastAsia="仿宋" w:cs="Times New Roman"/>
          <w:color w:val="auto"/>
          <w:sz w:val="28"/>
          <w:szCs w:val="28"/>
          <w:highlight w:val="none"/>
          <w:lang w:eastAsia="zh-CN"/>
        </w:rPr>
        <w:t>复评企业在规定时限内无故拒绝参加复评的，其前次已获信用等级有效期满后等级自动失效。</w:t>
      </w:r>
    </w:p>
    <w:p w14:paraId="5EE2B944">
      <w:pPr>
        <w:keepNext w:val="0"/>
        <w:keepLines w:val="0"/>
        <w:pageBreakBefore w:val="0"/>
        <w:widowControl/>
        <w:kinsoku/>
        <w:wordWrap/>
        <w:overflowPunct/>
        <w:topLinePunct w:val="0"/>
        <w:autoSpaceDE/>
        <w:autoSpaceDN/>
        <w:bidi w:val="0"/>
        <w:adjustRightInd/>
        <w:snapToGrid/>
        <w:spacing w:line="360" w:lineRule="auto"/>
        <w:ind w:firstLine="560" w:firstLineChars="200"/>
        <w:textAlignment w:val="auto"/>
        <w:rPr>
          <w:rFonts w:hint="default" w:ascii="Times New Roman" w:hAnsi="Times New Roman" w:eastAsia="仿宋" w:cs="Times New Roman"/>
          <w:color w:val="auto"/>
          <w:sz w:val="28"/>
          <w:szCs w:val="28"/>
          <w:highlight w:val="none"/>
          <w:lang w:eastAsia="zh-CN"/>
        </w:rPr>
      </w:pPr>
      <w:r>
        <w:rPr>
          <w:rFonts w:hint="default" w:ascii="Times New Roman" w:hAnsi="Times New Roman" w:eastAsia="仿宋" w:cs="Times New Roman"/>
          <w:color w:val="auto"/>
          <w:sz w:val="28"/>
          <w:szCs w:val="28"/>
          <w:highlight w:val="none"/>
          <w:lang w:eastAsia="zh-CN"/>
        </w:rPr>
        <w:t>再次申请信用评价时，按照首次参加信用评价办法及流程进行。</w:t>
      </w:r>
    </w:p>
    <w:p w14:paraId="40462BF4">
      <w:pPr>
        <w:rPr>
          <w:rFonts w:hint="default" w:ascii="Times New Roman" w:hAnsi="Times New Roman" w:eastAsia="仿宋" w:cs="Times New Roman"/>
          <w:color w:val="auto"/>
          <w:sz w:val="28"/>
          <w:szCs w:val="28"/>
          <w:highlight w:val="none"/>
          <w:lang w:eastAsia="zh-CN"/>
        </w:rPr>
        <w:sectPr>
          <w:headerReference r:id="rId17" w:type="default"/>
          <w:footerReference r:id="rId19" w:type="default"/>
          <w:headerReference r:id="rId18" w:type="even"/>
          <w:footerReference r:id="rId20" w:type="even"/>
          <w:pgSz w:w="11906" w:h="16838"/>
          <w:pgMar w:top="2410" w:right="1134" w:bottom="1134" w:left="1134" w:header="1418" w:footer="1134" w:gutter="284"/>
          <w:pgBorders>
            <w:top w:val="none" w:sz="0" w:space="0"/>
            <w:left w:val="none" w:sz="0" w:space="0"/>
            <w:bottom w:val="none" w:sz="0" w:space="0"/>
            <w:right w:val="none" w:sz="0" w:space="0"/>
          </w:pgBorders>
          <w:pgNumType w:fmt="decimal" w:start="1"/>
          <w:cols w:space="425" w:num="1"/>
          <w:formProt w:val="0"/>
          <w:docGrid w:linePitch="312" w:charSpace="0"/>
        </w:sectPr>
      </w:pPr>
      <w:r>
        <w:rPr>
          <w:rFonts w:hint="default" w:ascii="Times New Roman" w:hAnsi="Times New Roman" w:eastAsia="仿宋" w:cs="Times New Roman"/>
          <w:color w:val="auto"/>
          <w:sz w:val="28"/>
          <w:szCs w:val="28"/>
          <w:highlight w:val="none"/>
          <w:lang w:eastAsia="zh-CN"/>
        </w:rPr>
        <w:br w:type="page"/>
      </w:r>
    </w:p>
    <w:p w14:paraId="2AF5DA43">
      <w:pPr>
        <w:keepNext w:val="0"/>
        <w:keepLines w:val="0"/>
        <w:pageBreakBefore w:val="0"/>
        <w:widowControl w:val="0"/>
        <w:kinsoku/>
        <w:wordWrap/>
        <w:overflowPunct/>
        <w:topLinePunct w:val="0"/>
        <w:autoSpaceDE/>
        <w:autoSpaceDN/>
        <w:bidi w:val="0"/>
        <w:adjustRightInd w:val="0"/>
        <w:snapToGrid/>
        <w:spacing w:line="576" w:lineRule="exact"/>
        <w:ind w:firstLine="720"/>
        <w:jc w:val="center"/>
        <w:textAlignment w:val="auto"/>
        <w:rPr>
          <w:rFonts w:hint="default" w:ascii="Times New Roman" w:hAnsi="Times New Roman" w:eastAsia="方正公文小标宋" w:cs="Times New Roman"/>
          <w:b w:val="0"/>
          <w:bCs w:val="0"/>
          <w:color w:val="auto"/>
          <w:sz w:val="44"/>
          <w:szCs w:val="44"/>
          <w:highlight w:val="none"/>
          <w:lang w:val="en-US" w:eastAsia="zh-CN"/>
        </w:rPr>
      </w:pPr>
      <w:r>
        <w:rPr>
          <w:rFonts w:hint="default" w:ascii="Times New Roman" w:hAnsi="Times New Roman" w:eastAsia="方正公文小标宋" w:cs="Times New Roman"/>
          <w:b w:val="0"/>
          <w:bCs w:val="0"/>
          <w:color w:val="auto"/>
          <w:sz w:val="44"/>
          <w:szCs w:val="44"/>
          <w:highlight w:val="none"/>
          <w:lang w:val="en-US" w:eastAsia="zh-CN"/>
        </w:rPr>
        <w:t>附录A</w:t>
      </w:r>
    </w:p>
    <w:p w14:paraId="372DDF9B">
      <w:pPr>
        <w:keepNext w:val="0"/>
        <w:keepLines w:val="0"/>
        <w:pageBreakBefore w:val="0"/>
        <w:widowControl w:val="0"/>
        <w:kinsoku/>
        <w:wordWrap/>
        <w:overflowPunct/>
        <w:topLinePunct w:val="0"/>
        <w:autoSpaceDE/>
        <w:autoSpaceDN/>
        <w:bidi w:val="0"/>
        <w:adjustRightInd w:val="0"/>
        <w:snapToGrid/>
        <w:spacing w:line="576" w:lineRule="exact"/>
        <w:ind w:firstLine="720"/>
        <w:jc w:val="center"/>
        <w:textAlignment w:val="auto"/>
        <w:rPr>
          <w:rFonts w:hint="default" w:ascii="Times New Roman" w:hAnsi="Times New Roman" w:eastAsia="方正公文小标宋" w:cs="Times New Roman"/>
          <w:b w:val="0"/>
          <w:bCs w:val="0"/>
          <w:color w:val="auto"/>
          <w:sz w:val="44"/>
          <w:szCs w:val="44"/>
          <w:highlight w:val="none"/>
        </w:rPr>
      </w:pPr>
      <w:r>
        <w:rPr>
          <w:rFonts w:hint="default" w:ascii="Times New Roman" w:hAnsi="Times New Roman" w:eastAsia="方正公文小标宋" w:cs="Times New Roman"/>
          <w:b w:val="0"/>
          <w:bCs w:val="0"/>
          <w:color w:val="auto"/>
          <w:sz w:val="44"/>
          <w:szCs w:val="44"/>
          <w:highlight w:val="none"/>
        </w:rPr>
        <w:t>广州市工程建设企业信用等级评价指标（</w:t>
      </w:r>
      <w:r>
        <w:rPr>
          <w:rFonts w:hint="default" w:ascii="Times New Roman" w:hAnsi="Times New Roman" w:eastAsia="方正公文小标宋" w:cs="Times New Roman"/>
          <w:b w:val="0"/>
          <w:bCs w:val="0"/>
          <w:color w:val="auto"/>
          <w:sz w:val="44"/>
          <w:szCs w:val="44"/>
          <w:highlight w:val="none"/>
          <w:lang w:val="en-US" w:eastAsia="zh-CN"/>
        </w:rPr>
        <w:t>施工企业</w:t>
      </w:r>
      <w:r>
        <w:rPr>
          <w:rFonts w:hint="default" w:ascii="Times New Roman" w:hAnsi="Times New Roman" w:eastAsia="方正公文小标宋" w:cs="Times New Roman"/>
          <w:b w:val="0"/>
          <w:bCs w:val="0"/>
          <w:color w:val="auto"/>
          <w:sz w:val="44"/>
          <w:szCs w:val="44"/>
          <w:highlight w:val="none"/>
        </w:rPr>
        <w:t>）</w:t>
      </w:r>
    </w:p>
    <w:tbl>
      <w:tblPr>
        <w:tblStyle w:val="27"/>
        <w:tblW w:w="13915"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1559"/>
        <w:gridCol w:w="2127"/>
        <w:gridCol w:w="3446"/>
        <w:gridCol w:w="850"/>
        <w:gridCol w:w="879"/>
        <w:gridCol w:w="5054"/>
      </w:tblGrid>
      <w:tr w14:paraId="5D7DB2B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134" w:hRule="exact"/>
          <w:jc w:val="center"/>
        </w:trPr>
        <w:tc>
          <w:tcPr>
            <w:tcW w:w="1559" w:type="dxa"/>
            <w:noWrap w:val="0"/>
            <w:vAlign w:val="center"/>
          </w:tcPr>
          <w:p w14:paraId="374DF5D2">
            <w:pPr>
              <w:spacing w:line="400" w:lineRule="exact"/>
              <w:ind w:firstLine="0" w:firstLineChars="0"/>
              <w:jc w:val="center"/>
              <w:rPr>
                <w:rFonts w:hint="default" w:ascii="Times New Roman" w:hAnsi="Times New Roman" w:eastAsia="宋体" w:cs="Times New Roman"/>
                <w:b/>
                <w:color w:val="auto"/>
                <w:sz w:val="24"/>
                <w:highlight w:val="none"/>
              </w:rPr>
            </w:pPr>
            <w:r>
              <w:rPr>
                <w:rFonts w:hint="default" w:ascii="Times New Roman" w:hAnsi="Times New Roman" w:eastAsia="宋体" w:cs="Times New Roman"/>
                <w:b/>
                <w:color w:val="auto"/>
                <w:sz w:val="24"/>
                <w:highlight w:val="none"/>
              </w:rPr>
              <w:t>评价内容</w:t>
            </w:r>
          </w:p>
        </w:tc>
        <w:tc>
          <w:tcPr>
            <w:tcW w:w="2127" w:type="dxa"/>
            <w:noWrap w:val="0"/>
            <w:vAlign w:val="center"/>
          </w:tcPr>
          <w:p w14:paraId="5B67DF2D">
            <w:pPr>
              <w:spacing w:line="400" w:lineRule="exact"/>
              <w:ind w:firstLine="0" w:firstLineChars="0"/>
              <w:jc w:val="center"/>
              <w:rPr>
                <w:rFonts w:hint="default" w:ascii="Times New Roman" w:hAnsi="Times New Roman" w:eastAsia="宋体" w:cs="Times New Roman"/>
                <w:b/>
                <w:color w:val="auto"/>
                <w:sz w:val="24"/>
                <w:highlight w:val="none"/>
              </w:rPr>
            </w:pPr>
            <w:r>
              <w:rPr>
                <w:rFonts w:hint="default" w:ascii="Times New Roman" w:hAnsi="Times New Roman" w:eastAsia="宋体" w:cs="Times New Roman"/>
                <w:b/>
                <w:color w:val="auto"/>
                <w:sz w:val="24"/>
                <w:highlight w:val="none"/>
              </w:rPr>
              <w:t>主要评价指标</w:t>
            </w:r>
          </w:p>
        </w:tc>
        <w:tc>
          <w:tcPr>
            <w:tcW w:w="3446" w:type="dxa"/>
            <w:noWrap w:val="0"/>
            <w:vAlign w:val="center"/>
          </w:tcPr>
          <w:p w14:paraId="63AA3682">
            <w:pPr>
              <w:tabs>
                <w:tab w:val="left" w:pos="1602"/>
              </w:tabs>
              <w:spacing w:line="400" w:lineRule="exact"/>
              <w:ind w:firstLine="198" w:firstLineChars="82"/>
              <w:jc w:val="center"/>
              <w:rPr>
                <w:rFonts w:hint="default" w:ascii="Times New Roman" w:hAnsi="Times New Roman" w:eastAsia="宋体" w:cs="Times New Roman"/>
                <w:b/>
                <w:color w:val="auto"/>
                <w:sz w:val="24"/>
                <w:highlight w:val="none"/>
              </w:rPr>
            </w:pPr>
            <w:r>
              <w:rPr>
                <w:rFonts w:hint="default" w:ascii="Times New Roman" w:hAnsi="Times New Roman" w:eastAsia="宋体" w:cs="Times New Roman"/>
                <w:b/>
                <w:color w:val="auto"/>
                <w:sz w:val="24"/>
                <w:highlight w:val="none"/>
              </w:rPr>
              <w:t>标准内容</w:t>
            </w:r>
          </w:p>
        </w:tc>
        <w:tc>
          <w:tcPr>
            <w:tcW w:w="850" w:type="dxa"/>
            <w:noWrap w:val="0"/>
            <w:vAlign w:val="center"/>
          </w:tcPr>
          <w:p w14:paraId="482477A6">
            <w:pPr>
              <w:spacing w:line="400" w:lineRule="exact"/>
              <w:ind w:firstLine="0" w:firstLineChars="0"/>
              <w:jc w:val="center"/>
              <w:rPr>
                <w:rFonts w:hint="default" w:ascii="Times New Roman" w:hAnsi="Times New Roman" w:eastAsia="宋体" w:cs="Times New Roman"/>
                <w:b/>
                <w:color w:val="auto"/>
                <w:sz w:val="24"/>
                <w:highlight w:val="none"/>
              </w:rPr>
            </w:pPr>
            <w:r>
              <w:rPr>
                <w:rFonts w:hint="default" w:ascii="Times New Roman" w:hAnsi="Times New Roman" w:eastAsia="宋体" w:cs="Times New Roman"/>
                <w:b/>
                <w:color w:val="auto"/>
                <w:sz w:val="24"/>
                <w:highlight w:val="none"/>
              </w:rPr>
              <w:t>标准</w:t>
            </w:r>
          </w:p>
          <w:p w14:paraId="7DFD9864">
            <w:pPr>
              <w:spacing w:line="400" w:lineRule="exact"/>
              <w:ind w:firstLine="0" w:firstLineChars="0"/>
              <w:jc w:val="center"/>
              <w:rPr>
                <w:rFonts w:hint="default" w:ascii="Times New Roman" w:hAnsi="Times New Roman" w:eastAsia="宋体" w:cs="Times New Roman"/>
                <w:b/>
                <w:color w:val="auto"/>
                <w:sz w:val="24"/>
                <w:highlight w:val="none"/>
              </w:rPr>
            </w:pPr>
            <w:r>
              <w:rPr>
                <w:rFonts w:hint="default" w:ascii="Times New Roman" w:hAnsi="Times New Roman" w:eastAsia="宋体" w:cs="Times New Roman"/>
                <w:b/>
                <w:color w:val="auto"/>
                <w:sz w:val="24"/>
                <w:highlight w:val="none"/>
              </w:rPr>
              <w:t>分数</w:t>
            </w:r>
          </w:p>
        </w:tc>
        <w:tc>
          <w:tcPr>
            <w:tcW w:w="879" w:type="dxa"/>
            <w:noWrap w:val="0"/>
            <w:vAlign w:val="center"/>
          </w:tcPr>
          <w:p w14:paraId="24CB3F7B">
            <w:pPr>
              <w:spacing w:line="400" w:lineRule="exact"/>
              <w:ind w:firstLine="0" w:firstLineChars="0"/>
              <w:jc w:val="center"/>
              <w:rPr>
                <w:rFonts w:hint="default" w:ascii="Times New Roman" w:hAnsi="Times New Roman" w:eastAsia="宋体" w:cs="Times New Roman"/>
                <w:b/>
                <w:color w:val="auto"/>
                <w:sz w:val="24"/>
                <w:highlight w:val="none"/>
              </w:rPr>
            </w:pPr>
            <w:r>
              <w:rPr>
                <w:rFonts w:hint="default" w:ascii="Times New Roman" w:hAnsi="Times New Roman" w:eastAsia="宋体" w:cs="Times New Roman"/>
                <w:b/>
                <w:color w:val="auto"/>
                <w:sz w:val="24"/>
                <w:highlight w:val="none"/>
              </w:rPr>
              <w:t>自评</w:t>
            </w:r>
          </w:p>
          <w:p w14:paraId="64CF2346">
            <w:pPr>
              <w:spacing w:line="400" w:lineRule="exact"/>
              <w:ind w:firstLine="0" w:firstLineChars="0"/>
              <w:jc w:val="center"/>
              <w:rPr>
                <w:rFonts w:hint="default" w:ascii="Times New Roman" w:hAnsi="Times New Roman" w:eastAsia="宋体" w:cs="Times New Roman"/>
                <w:b/>
                <w:color w:val="auto"/>
                <w:sz w:val="24"/>
                <w:highlight w:val="none"/>
              </w:rPr>
            </w:pPr>
            <w:r>
              <w:rPr>
                <w:rFonts w:hint="default" w:ascii="Times New Roman" w:hAnsi="Times New Roman" w:eastAsia="宋体" w:cs="Times New Roman"/>
                <w:b/>
                <w:color w:val="auto"/>
                <w:sz w:val="24"/>
                <w:highlight w:val="none"/>
              </w:rPr>
              <w:t>分数</w:t>
            </w:r>
          </w:p>
        </w:tc>
        <w:tc>
          <w:tcPr>
            <w:tcW w:w="5054" w:type="dxa"/>
            <w:noWrap w:val="0"/>
            <w:vAlign w:val="center"/>
          </w:tcPr>
          <w:p w14:paraId="114F11A0">
            <w:pPr>
              <w:spacing w:line="400" w:lineRule="exact"/>
              <w:ind w:firstLine="482"/>
              <w:jc w:val="center"/>
              <w:rPr>
                <w:rFonts w:hint="default" w:ascii="Times New Roman" w:hAnsi="Times New Roman" w:eastAsia="宋体" w:cs="Times New Roman"/>
                <w:b/>
                <w:color w:val="auto"/>
                <w:sz w:val="24"/>
                <w:highlight w:val="none"/>
              </w:rPr>
            </w:pPr>
            <w:r>
              <w:rPr>
                <w:rFonts w:hint="default" w:ascii="Times New Roman" w:hAnsi="Times New Roman" w:eastAsia="宋体" w:cs="Times New Roman"/>
                <w:b/>
                <w:color w:val="auto"/>
                <w:sz w:val="24"/>
                <w:highlight w:val="none"/>
              </w:rPr>
              <w:t>评分办法</w:t>
            </w:r>
          </w:p>
        </w:tc>
      </w:tr>
      <w:tr w14:paraId="3DBD9C5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1559" w:type="dxa"/>
            <w:vMerge w:val="restart"/>
            <w:noWrap w:val="0"/>
            <w:vAlign w:val="center"/>
          </w:tcPr>
          <w:p w14:paraId="6A40F54F">
            <w:pPr>
              <w:spacing w:line="520" w:lineRule="exact"/>
              <w:ind w:left="354" w:right="-31" w:rightChars="-15" w:hanging="354" w:hangingChars="147"/>
              <w:jc w:val="left"/>
              <w:rPr>
                <w:rFonts w:hint="default" w:ascii="Times New Roman" w:hAnsi="Times New Roman" w:eastAsia="宋体" w:cs="Times New Roman"/>
                <w:b/>
                <w:color w:val="auto"/>
                <w:sz w:val="24"/>
                <w:highlight w:val="none"/>
              </w:rPr>
            </w:pPr>
            <w:r>
              <w:rPr>
                <w:rFonts w:hint="default" w:ascii="Times New Roman" w:hAnsi="Times New Roman" w:eastAsia="宋体" w:cs="Times New Roman"/>
                <w:b/>
                <w:color w:val="auto"/>
                <w:sz w:val="24"/>
                <w:highlight w:val="none"/>
              </w:rPr>
              <w:t>一、基本要素</w:t>
            </w:r>
            <w:r>
              <w:rPr>
                <w:rFonts w:hint="default" w:ascii="Times New Roman" w:hAnsi="Times New Roman" w:eastAsia="宋体" w:cs="Times New Roman"/>
                <w:b/>
                <w:color w:val="auto"/>
                <w:sz w:val="24"/>
                <w:highlight w:val="none"/>
                <w:lang w:val="en-US" w:eastAsia="zh-CN"/>
              </w:rPr>
              <w:t>20</w:t>
            </w:r>
            <w:r>
              <w:rPr>
                <w:rFonts w:hint="default" w:ascii="Times New Roman" w:hAnsi="Times New Roman" w:eastAsia="宋体" w:cs="Times New Roman"/>
                <w:b/>
                <w:color w:val="auto"/>
                <w:sz w:val="24"/>
                <w:highlight w:val="none"/>
              </w:rPr>
              <w:t>分</w:t>
            </w:r>
          </w:p>
        </w:tc>
        <w:tc>
          <w:tcPr>
            <w:tcW w:w="2127" w:type="dxa"/>
            <w:noWrap w:val="0"/>
            <w:vAlign w:val="center"/>
          </w:tcPr>
          <w:p w14:paraId="377962BC">
            <w:pPr>
              <w:snapToGrid w:val="0"/>
              <w:spacing w:line="360" w:lineRule="exact"/>
              <w:ind w:firstLine="0" w:firstLineChars="0"/>
              <w:rPr>
                <w:rFonts w:hint="default" w:ascii="Times New Roman" w:hAnsi="Times New Roman" w:eastAsia="宋体" w:cs="Times New Roman"/>
                <w:b w:val="0"/>
                <w:bCs w:val="0"/>
                <w:color w:val="auto"/>
                <w:sz w:val="24"/>
                <w:highlight w:val="none"/>
                <w:lang w:val="en-US" w:eastAsia="zh-CN"/>
              </w:rPr>
            </w:pPr>
            <w:r>
              <w:rPr>
                <w:rFonts w:hint="default" w:ascii="Times New Roman" w:hAnsi="Times New Roman" w:eastAsia="宋体" w:cs="Times New Roman"/>
                <w:b w:val="0"/>
                <w:bCs w:val="0"/>
                <w:color w:val="auto"/>
                <w:sz w:val="24"/>
                <w:highlight w:val="none"/>
              </w:rPr>
              <w:t>1、党</w:t>
            </w:r>
            <w:r>
              <w:rPr>
                <w:rFonts w:hint="default" w:ascii="Times New Roman" w:hAnsi="Times New Roman" w:eastAsia="宋体" w:cs="Times New Roman"/>
                <w:b w:val="0"/>
                <w:bCs w:val="0"/>
                <w:color w:val="auto"/>
                <w:sz w:val="24"/>
                <w:highlight w:val="none"/>
                <w:lang w:val="en-US" w:eastAsia="zh-CN"/>
              </w:rPr>
              <w:t>的建设</w:t>
            </w:r>
          </w:p>
        </w:tc>
        <w:tc>
          <w:tcPr>
            <w:tcW w:w="3446" w:type="dxa"/>
            <w:noWrap w:val="0"/>
            <w:vAlign w:val="center"/>
          </w:tcPr>
          <w:p w14:paraId="25B21741">
            <w:pPr>
              <w:snapToGrid w:val="0"/>
              <w:spacing w:line="360" w:lineRule="exact"/>
              <w:ind w:firstLine="0" w:firstLineChars="0"/>
              <w:rPr>
                <w:rFonts w:hint="default" w:ascii="Times New Roman" w:hAnsi="Times New Roman" w:eastAsia="宋体" w:cs="Times New Roman"/>
                <w:b w:val="0"/>
                <w:bCs w:val="0"/>
                <w:color w:val="auto"/>
                <w:sz w:val="24"/>
                <w:highlight w:val="none"/>
              </w:rPr>
            </w:pPr>
            <w:r>
              <w:rPr>
                <w:rFonts w:hint="default" w:ascii="Times New Roman" w:hAnsi="Times New Roman" w:eastAsia="宋体" w:cs="Times New Roman"/>
                <w:b w:val="0"/>
                <w:bCs w:val="0"/>
                <w:color w:val="auto"/>
                <w:sz w:val="24"/>
                <w:highlight w:val="none"/>
              </w:rPr>
              <w:t>企业</w:t>
            </w:r>
            <w:r>
              <w:rPr>
                <w:rFonts w:hint="default" w:ascii="Times New Roman" w:hAnsi="Times New Roman" w:eastAsia="宋体" w:cs="Times New Roman"/>
                <w:b w:val="0"/>
                <w:bCs w:val="0"/>
                <w:color w:val="auto"/>
                <w:sz w:val="24"/>
                <w:highlight w:val="none"/>
                <w:lang w:eastAsia="zh-CN"/>
              </w:rPr>
              <w:t>党的</w:t>
            </w:r>
            <w:r>
              <w:rPr>
                <w:rFonts w:hint="default" w:ascii="Times New Roman" w:hAnsi="Times New Roman" w:eastAsia="宋体" w:cs="Times New Roman"/>
                <w:b w:val="0"/>
                <w:bCs w:val="0"/>
                <w:color w:val="auto"/>
                <w:sz w:val="24"/>
                <w:highlight w:val="none"/>
              </w:rPr>
              <w:t xml:space="preserve">组织体系建设情况 </w:t>
            </w:r>
          </w:p>
        </w:tc>
        <w:tc>
          <w:tcPr>
            <w:tcW w:w="850" w:type="dxa"/>
            <w:noWrap w:val="0"/>
            <w:vAlign w:val="center"/>
          </w:tcPr>
          <w:p w14:paraId="34C0FF32">
            <w:pPr>
              <w:snapToGrid w:val="0"/>
              <w:spacing w:line="360" w:lineRule="exact"/>
              <w:ind w:firstLine="0" w:firstLineChars="0"/>
              <w:jc w:val="center"/>
              <w:rPr>
                <w:rFonts w:hint="default" w:ascii="Times New Roman" w:hAnsi="Times New Roman" w:eastAsia="宋体" w:cs="Times New Roman"/>
                <w:b w:val="0"/>
                <w:bCs w:val="0"/>
                <w:color w:val="auto"/>
                <w:sz w:val="24"/>
                <w:highlight w:val="none"/>
              </w:rPr>
            </w:pPr>
            <w:r>
              <w:rPr>
                <w:rFonts w:hint="default" w:ascii="Times New Roman" w:hAnsi="Times New Roman" w:eastAsia="宋体" w:cs="Times New Roman"/>
                <w:b w:val="0"/>
                <w:bCs w:val="0"/>
                <w:color w:val="auto"/>
                <w:sz w:val="24"/>
                <w:highlight w:val="none"/>
              </w:rPr>
              <w:t>2分</w:t>
            </w:r>
          </w:p>
        </w:tc>
        <w:tc>
          <w:tcPr>
            <w:tcW w:w="879" w:type="dxa"/>
            <w:noWrap w:val="0"/>
            <w:vAlign w:val="center"/>
          </w:tcPr>
          <w:p w14:paraId="77A75856">
            <w:pPr>
              <w:snapToGrid w:val="0"/>
              <w:spacing w:line="360" w:lineRule="exact"/>
              <w:ind w:firstLine="480"/>
              <w:jc w:val="center"/>
              <w:rPr>
                <w:rFonts w:hint="default" w:ascii="Times New Roman" w:hAnsi="Times New Roman" w:eastAsia="宋体" w:cs="Times New Roman"/>
                <w:b w:val="0"/>
                <w:bCs w:val="0"/>
                <w:color w:val="auto"/>
                <w:sz w:val="24"/>
                <w:highlight w:val="none"/>
              </w:rPr>
            </w:pPr>
          </w:p>
        </w:tc>
        <w:tc>
          <w:tcPr>
            <w:tcW w:w="5054" w:type="dxa"/>
            <w:noWrap w:val="0"/>
            <w:tcMar>
              <w:top w:w="85" w:type="dxa"/>
              <w:bottom w:w="85" w:type="dxa"/>
            </w:tcMar>
            <w:vAlign w:val="center"/>
          </w:tcPr>
          <w:p w14:paraId="525E3BA6">
            <w:pPr>
              <w:snapToGrid w:val="0"/>
              <w:spacing w:line="360" w:lineRule="exact"/>
              <w:ind w:firstLine="440"/>
              <w:rPr>
                <w:rFonts w:hint="default" w:ascii="Times New Roman" w:hAnsi="Times New Roman" w:eastAsia="宋体" w:cs="Times New Roman"/>
                <w:b w:val="0"/>
                <w:bCs w:val="0"/>
                <w:color w:val="auto"/>
                <w:sz w:val="22"/>
                <w:szCs w:val="22"/>
                <w:highlight w:val="none"/>
              </w:rPr>
            </w:pPr>
            <w:r>
              <w:rPr>
                <w:rFonts w:hint="default" w:ascii="Times New Roman" w:hAnsi="Times New Roman" w:eastAsia="宋体" w:cs="Times New Roman"/>
                <w:b w:val="0"/>
                <w:bCs w:val="0"/>
                <w:color w:val="auto"/>
                <w:sz w:val="22"/>
                <w:szCs w:val="22"/>
                <w:highlight w:val="none"/>
                <w:lang w:val="en-US" w:eastAsia="zh-CN"/>
              </w:rPr>
              <w:t>设置基层组织，有组织架构、党员名册、定期开展的党员活动，有进行思想政治建设、有设立作风建设、廉洁建设相关规定和记录。</w:t>
            </w:r>
          </w:p>
        </w:tc>
      </w:tr>
      <w:tr w14:paraId="5D9C896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1559" w:type="dxa"/>
            <w:vMerge w:val="continue"/>
            <w:noWrap w:val="0"/>
            <w:vAlign w:val="center"/>
          </w:tcPr>
          <w:p w14:paraId="1D7C1731">
            <w:pPr>
              <w:spacing w:line="520" w:lineRule="exact"/>
              <w:ind w:left="354" w:right="-31" w:rightChars="-15" w:hanging="354" w:hangingChars="147"/>
              <w:rPr>
                <w:rFonts w:hint="default" w:ascii="Times New Roman" w:hAnsi="Times New Roman" w:eastAsia="宋体" w:cs="Times New Roman"/>
                <w:b/>
                <w:color w:val="auto"/>
                <w:sz w:val="24"/>
                <w:highlight w:val="none"/>
              </w:rPr>
            </w:pPr>
          </w:p>
        </w:tc>
        <w:tc>
          <w:tcPr>
            <w:tcW w:w="2127" w:type="dxa"/>
            <w:noWrap w:val="0"/>
            <w:vAlign w:val="center"/>
          </w:tcPr>
          <w:p w14:paraId="7016060D">
            <w:pPr>
              <w:snapToGrid w:val="0"/>
              <w:spacing w:line="360" w:lineRule="exact"/>
              <w:ind w:firstLine="0" w:firstLineChars="0"/>
              <w:rPr>
                <w:rFonts w:hint="default" w:ascii="Times New Roman" w:hAnsi="Times New Roman" w:eastAsia="宋体" w:cs="Times New Roman"/>
                <w:b w:val="0"/>
                <w:bCs w:val="0"/>
                <w:color w:val="auto"/>
                <w:sz w:val="24"/>
                <w:highlight w:val="none"/>
              </w:rPr>
            </w:pPr>
            <w:r>
              <w:rPr>
                <w:rFonts w:hint="default" w:ascii="Times New Roman" w:hAnsi="Times New Roman" w:eastAsia="宋体" w:cs="Times New Roman"/>
                <w:b w:val="0"/>
                <w:bCs w:val="0"/>
                <w:color w:val="auto"/>
                <w:sz w:val="24"/>
                <w:highlight w:val="none"/>
              </w:rPr>
              <w:t>2、企业资质等</w:t>
            </w:r>
          </w:p>
        </w:tc>
        <w:tc>
          <w:tcPr>
            <w:tcW w:w="3446" w:type="dxa"/>
            <w:noWrap w:val="0"/>
            <w:vAlign w:val="center"/>
          </w:tcPr>
          <w:p w14:paraId="1C4CB6B0">
            <w:pPr>
              <w:snapToGrid w:val="0"/>
              <w:spacing w:line="360" w:lineRule="exact"/>
              <w:ind w:firstLine="0" w:firstLineChars="0"/>
              <w:rPr>
                <w:rFonts w:hint="default" w:ascii="Times New Roman" w:hAnsi="Times New Roman" w:eastAsia="宋体" w:cs="Times New Roman"/>
                <w:b w:val="0"/>
                <w:bCs w:val="0"/>
                <w:color w:val="auto"/>
                <w:sz w:val="24"/>
                <w:highlight w:val="none"/>
              </w:rPr>
            </w:pPr>
            <w:r>
              <w:rPr>
                <w:rFonts w:hint="default" w:ascii="Times New Roman" w:hAnsi="Times New Roman" w:eastAsia="宋体" w:cs="Times New Roman"/>
                <w:b w:val="0"/>
                <w:bCs w:val="0"/>
                <w:color w:val="auto"/>
                <w:sz w:val="24"/>
                <w:highlight w:val="none"/>
              </w:rPr>
              <w:t>取得营业执照、资质证书、安全生产许可证等且在有效期内</w:t>
            </w:r>
          </w:p>
        </w:tc>
        <w:tc>
          <w:tcPr>
            <w:tcW w:w="850" w:type="dxa"/>
            <w:noWrap w:val="0"/>
            <w:vAlign w:val="center"/>
          </w:tcPr>
          <w:p w14:paraId="10211295">
            <w:pPr>
              <w:snapToGrid w:val="0"/>
              <w:spacing w:line="360" w:lineRule="exact"/>
              <w:ind w:firstLine="0" w:firstLineChars="0"/>
              <w:jc w:val="center"/>
              <w:rPr>
                <w:rFonts w:hint="default" w:ascii="Times New Roman" w:hAnsi="Times New Roman" w:eastAsia="宋体" w:cs="Times New Roman"/>
                <w:b w:val="0"/>
                <w:bCs w:val="0"/>
                <w:color w:val="auto"/>
                <w:sz w:val="24"/>
                <w:highlight w:val="none"/>
              </w:rPr>
            </w:pPr>
            <w:r>
              <w:rPr>
                <w:rFonts w:hint="default" w:ascii="Times New Roman" w:hAnsi="Times New Roman" w:eastAsia="宋体" w:cs="Times New Roman"/>
                <w:b w:val="0"/>
                <w:bCs w:val="0"/>
                <w:color w:val="auto"/>
                <w:sz w:val="24"/>
                <w:highlight w:val="none"/>
              </w:rPr>
              <w:t>3分</w:t>
            </w:r>
          </w:p>
        </w:tc>
        <w:tc>
          <w:tcPr>
            <w:tcW w:w="879" w:type="dxa"/>
            <w:noWrap w:val="0"/>
            <w:vAlign w:val="center"/>
          </w:tcPr>
          <w:p w14:paraId="6DA25C67">
            <w:pPr>
              <w:snapToGrid w:val="0"/>
              <w:spacing w:line="360" w:lineRule="exact"/>
              <w:ind w:firstLine="480"/>
              <w:jc w:val="center"/>
              <w:rPr>
                <w:rFonts w:hint="default" w:ascii="Times New Roman" w:hAnsi="Times New Roman" w:eastAsia="宋体" w:cs="Times New Roman"/>
                <w:b w:val="0"/>
                <w:bCs w:val="0"/>
                <w:color w:val="auto"/>
                <w:sz w:val="24"/>
                <w:highlight w:val="none"/>
              </w:rPr>
            </w:pPr>
          </w:p>
        </w:tc>
        <w:tc>
          <w:tcPr>
            <w:tcW w:w="5054" w:type="dxa"/>
            <w:noWrap w:val="0"/>
            <w:tcMar>
              <w:top w:w="85" w:type="dxa"/>
              <w:bottom w:w="85" w:type="dxa"/>
            </w:tcMar>
            <w:vAlign w:val="center"/>
          </w:tcPr>
          <w:p w14:paraId="4E416CF0">
            <w:pPr>
              <w:snapToGrid w:val="0"/>
              <w:spacing w:line="360" w:lineRule="exact"/>
              <w:ind w:firstLine="440"/>
              <w:rPr>
                <w:rFonts w:hint="default" w:ascii="Times New Roman" w:hAnsi="Times New Roman" w:eastAsia="宋体" w:cs="Times New Roman"/>
                <w:b w:val="0"/>
                <w:bCs w:val="0"/>
                <w:color w:val="auto"/>
                <w:sz w:val="22"/>
                <w:szCs w:val="22"/>
                <w:highlight w:val="none"/>
              </w:rPr>
            </w:pPr>
            <w:r>
              <w:rPr>
                <w:rFonts w:hint="default" w:ascii="Times New Roman" w:hAnsi="Times New Roman" w:eastAsia="宋体" w:cs="Times New Roman"/>
                <w:b w:val="0"/>
                <w:bCs w:val="0"/>
                <w:color w:val="auto"/>
                <w:sz w:val="22"/>
                <w:szCs w:val="22"/>
                <w:highlight w:val="none"/>
                <w:lang w:val="en-US" w:eastAsia="zh-CN"/>
              </w:rPr>
              <w:t>提供各项证照（营业执照、资质证书、安全生产许可证等）原件备查，</w:t>
            </w:r>
            <w:r>
              <w:rPr>
                <w:rFonts w:hint="default" w:ascii="Times New Roman" w:hAnsi="Times New Roman" w:eastAsia="宋体" w:cs="Times New Roman"/>
                <w:b w:val="0"/>
                <w:bCs w:val="0"/>
                <w:color w:val="auto"/>
                <w:sz w:val="22"/>
                <w:szCs w:val="22"/>
                <w:highlight w:val="none"/>
              </w:rPr>
              <w:t>取得相应证书且在有效期内者得</w:t>
            </w:r>
            <w:r>
              <w:rPr>
                <w:rFonts w:hint="default" w:ascii="Times New Roman" w:hAnsi="Times New Roman" w:eastAsia="宋体" w:cs="Times New Roman"/>
                <w:b w:val="0"/>
                <w:bCs w:val="0"/>
                <w:color w:val="auto"/>
                <w:sz w:val="24"/>
                <w:highlight w:val="none"/>
              </w:rPr>
              <w:t>3分</w:t>
            </w:r>
            <w:r>
              <w:rPr>
                <w:rFonts w:hint="default" w:ascii="Times New Roman" w:hAnsi="Times New Roman" w:eastAsia="宋体" w:cs="Times New Roman"/>
                <w:b w:val="0"/>
                <w:bCs w:val="0"/>
                <w:color w:val="auto"/>
                <w:sz w:val="22"/>
                <w:szCs w:val="22"/>
                <w:highlight w:val="none"/>
              </w:rPr>
              <w:t>，缺一项不得分。</w:t>
            </w:r>
          </w:p>
        </w:tc>
      </w:tr>
      <w:tr w14:paraId="76282F0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1559" w:type="dxa"/>
            <w:vMerge w:val="continue"/>
            <w:noWrap w:val="0"/>
            <w:vAlign w:val="center"/>
          </w:tcPr>
          <w:p w14:paraId="1079CFC2">
            <w:pPr>
              <w:spacing w:line="520" w:lineRule="exact"/>
              <w:ind w:left="354" w:right="-31" w:rightChars="-15" w:hanging="354" w:hangingChars="147"/>
              <w:rPr>
                <w:rFonts w:hint="default" w:ascii="Times New Roman" w:hAnsi="Times New Roman" w:eastAsia="宋体" w:cs="Times New Roman"/>
                <w:b/>
                <w:color w:val="auto"/>
                <w:sz w:val="24"/>
                <w:highlight w:val="none"/>
              </w:rPr>
            </w:pPr>
          </w:p>
        </w:tc>
        <w:tc>
          <w:tcPr>
            <w:tcW w:w="2127" w:type="dxa"/>
            <w:noWrap w:val="0"/>
            <w:vAlign w:val="center"/>
          </w:tcPr>
          <w:p w14:paraId="6687344D">
            <w:pPr>
              <w:snapToGrid w:val="0"/>
              <w:spacing w:line="360" w:lineRule="exact"/>
              <w:ind w:firstLine="0" w:firstLineChars="0"/>
              <w:rPr>
                <w:rFonts w:hint="default" w:ascii="Times New Roman" w:hAnsi="Times New Roman" w:eastAsia="宋体" w:cs="Times New Roman"/>
                <w:b w:val="0"/>
                <w:bCs w:val="0"/>
                <w:color w:val="auto"/>
                <w:sz w:val="24"/>
                <w:highlight w:val="none"/>
              </w:rPr>
            </w:pPr>
            <w:r>
              <w:rPr>
                <w:rFonts w:hint="default" w:ascii="Times New Roman" w:hAnsi="Times New Roman" w:eastAsia="宋体" w:cs="Times New Roman"/>
                <w:b w:val="0"/>
                <w:bCs w:val="0"/>
                <w:color w:val="auto"/>
                <w:sz w:val="24"/>
                <w:highlight w:val="none"/>
              </w:rPr>
              <w:t>3、组织机构及各项规章制度建设</w:t>
            </w:r>
          </w:p>
        </w:tc>
        <w:tc>
          <w:tcPr>
            <w:tcW w:w="3446" w:type="dxa"/>
            <w:noWrap w:val="0"/>
            <w:vAlign w:val="center"/>
          </w:tcPr>
          <w:p w14:paraId="6D1EF991">
            <w:pPr>
              <w:snapToGrid w:val="0"/>
              <w:spacing w:line="360" w:lineRule="exact"/>
              <w:ind w:firstLine="0" w:firstLineChars="0"/>
              <w:rPr>
                <w:rFonts w:hint="default" w:ascii="Times New Roman" w:hAnsi="Times New Roman" w:eastAsia="宋体" w:cs="Times New Roman"/>
                <w:b w:val="0"/>
                <w:bCs w:val="0"/>
                <w:color w:val="auto"/>
                <w:sz w:val="24"/>
                <w:highlight w:val="none"/>
              </w:rPr>
            </w:pPr>
            <w:r>
              <w:rPr>
                <w:rFonts w:hint="default" w:ascii="Times New Roman" w:hAnsi="Times New Roman" w:eastAsia="宋体" w:cs="Times New Roman"/>
                <w:b w:val="0"/>
                <w:bCs w:val="0"/>
                <w:color w:val="auto"/>
                <w:sz w:val="24"/>
                <w:highlight w:val="none"/>
              </w:rPr>
              <w:t>组织机构健全、合理；</w:t>
            </w:r>
          </w:p>
          <w:p w14:paraId="119B241C">
            <w:pPr>
              <w:snapToGrid w:val="0"/>
              <w:spacing w:line="360" w:lineRule="exact"/>
              <w:ind w:firstLine="0" w:firstLineChars="0"/>
              <w:rPr>
                <w:rFonts w:hint="default" w:ascii="Times New Roman" w:hAnsi="Times New Roman" w:eastAsia="宋体" w:cs="Times New Roman"/>
                <w:b w:val="0"/>
                <w:bCs w:val="0"/>
                <w:color w:val="auto"/>
                <w:sz w:val="24"/>
                <w:highlight w:val="none"/>
              </w:rPr>
            </w:pPr>
            <w:r>
              <w:rPr>
                <w:rFonts w:hint="default" w:ascii="Times New Roman" w:hAnsi="Times New Roman" w:eastAsia="宋体" w:cs="Times New Roman"/>
                <w:b w:val="0"/>
                <w:bCs w:val="0"/>
                <w:color w:val="auto"/>
                <w:sz w:val="24"/>
                <w:highlight w:val="none"/>
              </w:rPr>
              <w:t>规章制度完备，运行有效</w:t>
            </w:r>
          </w:p>
        </w:tc>
        <w:tc>
          <w:tcPr>
            <w:tcW w:w="850" w:type="dxa"/>
            <w:noWrap w:val="0"/>
            <w:vAlign w:val="center"/>
          </w:tcPr>
          <w:p w14:paraId="1B8A34F6">
            <w:pPr>
              <w:snapToGrid w:val="0"/>
              <w:spacing w:line="360" w:lineRule="exact"/>
              <w:ind w:firstLine="0" w:firstLineChars="0"/>
              <w:jc w:val="center"/>
              <w:rPr>
                <w:rFonts w:hint="default" w:ascii="Times New Roman" w:hAnsi="Times New Roman" w:eastAsia="宋体" w:cs="Times New Roman"/>
                <w:b w:val="0"/>
                <w:bCs w:val="0"/>
                <w:color w:val="auto"/>
                <w:sz w:val="24"/>
                <w:highlight w:val="none"/>
              </w:rPr>
            </w:pPr>
            <w:r>
              <w:rPr>
                <w:rFonts w:hint="default" w:ascii="Times New Roman" w:hAnsi="Times New Roman" w:eastAsia="宋体" w:cs="Times New Roman"/>
                <w:b w:val="0"/>
                <w:bCs w:val="0"/>
                <w:color w:val="auto"/>
                <w:sz w:val="24"/>
                <w:highlight w:val="none"/>
              </w:rPr>
              <w:t>3分</w:t>
            </w:r>
          </w:p>
        </w:tc>
        <w:tc>
          <w:tcPr>
            <w:tcW w:w="879" w:type="dxa"/>
            <w:noWrap w:val="0"/>
            <w:vAlign w:val="center"/>
          </w:tcPr>
          <w:p w14:paraId="22FE4CA5">
            <w:pPr>
              <w:snapToGrid w:val="0"/>
              <w:spacing w:line="360" w:lineRule="exact"/>
              <w:ind w:firstLine="480"/>
              <w:jc w:val="center"/>
              <w:rPr>
                <w:rFonts w:hint="default" w:ascii="Times New Roman" w:hAnsi="Times New Roman" w:eastAsia="宋体" w:cs="Times New Roman"/>
                <w:b w:val="0"/>
                <w:bCs w:val="0"/>
                <w:color w:val="auto"/>
                <w:sz w:val="24"/>
                <w:highlight w:val="none"/>
              </w:rPr>
            </w:pPr>
          </w:p>
        </w:tc>
        <w:tc>
          <w:tcPr>
            <w:tcW w:w="5054" w:type="dxa"/>
            <w:noWrap w:val="0"/>
            <w:tcMar>
              <w:top w:w="85" w:type="dxa"/>
              <w:bottom w:w="85" w:type="dxa"/>
            </w:tcMar>
            <w:vAlign w:val="center"/>
          </w:tcPr>
          <w:p w14:paraId="288C0088">
            <w:pPr>
              <w:spacing w:line="340" w:lineRule="exact"/>
              <w:ind w:firstLine="440"/>
              <w:rPr>
                <w:rFonts w:hint="default" w:ascii="Times New Roman" w:hAnsi="Times New Roman" w:eastAsia="宋体" w:cs="Times New Roman"/>
                <w:b w:val="0"/>
                <w:bCs w:val="0"/>
                <w:color w:val="auto"/>
                <w:sz w:val="22"/>
                <w:szCs w:val="22"/>
                <w:highlight w:val="none"/>
              </w:rPr>
            </w:pPr>
            <w:r>
              <w:rPr>
                <w:rFonts w:hint="default" w:ascii="Times New Roman" w:hAnsi="Times New Roman" w:eastAsia="宋体" w:cs="Times New Roman"/>
                <w:b w:val="0"/>
                <w:bCs w:val="0"/>
                <w:color w:val="auto"/>
                <w:sz w:val="22"/>
                <w:szCs w:val="22"/>
                <w:highlight w:val="none"/>
              </w:rPr>
              <w:t>组织机构健全、合理，职责明确；各项规章制度严谨、健全，并能持续改进者得3分。质量、安全、合同、设备、材料采购、劳资等管理制度，每缺少一项减1分，减完为止。</w:t>
            </w:r>
          </w:p>
        </w:tc>
      </w:tr>
      <w:tr w14:paraId="2734DAF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1418" w:hRule="atLeast"/>
          <w:jc w:val="center"/>
        </w:trPr>
        <w:tc>
          <w:tcPr>
            <w:tcW w:w="1559" w:type="dxa"/>
            <w:vMerge w:val="continue"/>
            <w:noWrap w:val="0"/>
            <w:vAlign w:val="center"/>
          </w:tcPr>
          <w:p w14:paraId="7370C7B6">
            <w:pPr>
              <w:spacing w:line="520" w:lineRule="exact"/>
              <w:ind w:left="354" w:right="-31" w:rightChars="-15" w:hanging="354" w:hangingChars="147"/>
              <w:rPr>
                <w:rFonts w:hint="default" w:ascii="Times New Roman" w:hAnsi="Times New Roman" w:eastAsia="宋体" w:cs="Times New Roman"/>
                <w:b/>
                <w:color w:val="auto"/>
                <w:sz w:val="24"/>
                <w:highlight w:val="none"/>
              </w:rPr>
            </w:pPr>
          </w:p>
        </w:tc>
        <w:tc>
          <w:tcPr>
            <w:tcW w:w="2127" w:type="dxa"/>
            <w:noWrap w:val="0"/>
            <w:vAlign w:val="center"/>
          </w:tcPr>
          <w:p w14:paraId="4C377F81">
            <w:pPr>
              <w:snapToGrid w:val="0"/>
              <w:spacing w:line="360" w:lineRule="exact"/>
              <w:ind w:firstLine="0" w:firstLineChars="0"/>
              <w:rPr>
                <w:rFonts w:hint="default" w:ascii="Times New Roman" w:hAnsi="Times New Roman" w:eastAsia="宋体" w:cs="Times New Roman"/>
                <w:b w:val="0"/>
                <w:bCs w:val="0"/>
                <w:color w:val="auto"/>
                <w:sz w:val="24"/>
                <w:highlight w:val="none"/>
              </w:rPr>
            </w:pPr>
            <w:r>
              <w:rPr>
                <w:rFonts w:hint="default" w:ascii="Times New Roman" w:hAnsi="Times New Roman" w:eastAsia="宋体" w:cs="Times New Roman"/>
                <w:b w:val="0"/>
                <w:bCs w:val="0"/>
                <w:color w:val="auto"/>
                <w:sz w:val="24"/>
                <w:highlight w:val="none"/>
              </w:rPr>
              <w:t>4、管理体系建立</w:t>
            </w:r>
          </w:p>
        </w:tc>
        <w:tc>
          <w:tcPr>
            <w:tcW w:w="3446" w:type="dxa"/>
            <w:noWrap w:val="0"/>
            <w:vAlign w:val="center"/>
          </w:tcPr>
          <w:p w14:paraId="6E7E4B1E">
            <w:pPr>
              <w:snapToGrid w:val="0"/>
              <w:spacing w:line="360" w:lineRule="exact"/>
              <w:ind w:firstLine="0" w:firstLineChars="0"/>
              <w:rPr>
                <w:rFonts w:hint="default" w:ascii="Times New Roman" w:hAnsi="Times New Roman" w:eastAsia="宋体" w:cs="Times New Roman"/>
                <w:b w:val="0"/>
                <w:bCs w:val="0"/>
                <w:color w:val="auto"/>
                <w:sz w:val="24"/>
                <w:highlight w:val="none"/>
              </w:rPr>
            </w:pPr>
            <w:r>
              <w:rPr>
                <w:rFonts w:hint="default" w:ascii="Times New Roman" w:hAnsi="Times New Roman" w:eastAsia="宋体" w:cs="Times New Roman"/>
                <w:b w:val="0"/>
                <w:bCs w:val="0"/>
                <w:color w:val="auto"/>
                <w:sz w:val="24"/>
                <w:highlight w:val="none"/>
              </w:rPr>
              <w:t>质量管理体系、环境管理体系、职业健康安全管理体系、知识产权管理体系认证或卓越质效管理认证体系认证</w:t>
            </w:r>
          </w:p>
        </w:tc>
        <w:tc>
          <w:tcPr>
            <w:tcW w:w="850" w:type="dxa"/>
            <w:noWrap w:val="0"/>
            <w:vAlign w:val="center"/>
          </w:tcPr>
          <w:p w14:paraId="361373DC">
            <w:pPr>
              <w:snapToGrid w:val="0"/>
              <w:spacing w:line="360" w:lineRule="exact"/>
              <w:ind w:firstLine="0" w:firstLineChars="0"/>
              <w:jc w:val="center"/>
              <w:rPr>
                <w:rFonts w:hint="default" w:ascii="Times New Roman" w:hAnsi="Times New Roman" w:eastAsia="宋体" w:cs="Times New Roman"/>
                <w:b w:val="0"/>
                <w:bCs w:val="0"/>
                <w:color w:val="auto"/>
                <w:sz w:val="24"/>
                <w:highlight w:val="none"/>
              </w:rPr>
            </w:pPr>
            <w:r>
              <w:rPr>
                <w:rFonts w:hint="default" w:ascii="Times New Roman" w:hAnsi="Times New Roman" w:eastAsia="宋体" w:cs="Times New Roman"/>
                <w:b w:val="0"/>
                <w:bCs w:val="0"/>
                <w:color w:val="auto"/>
                <w:sz w:val="24"/>
                <w:highlight w:val="none"/>
              </w:rPr>
              <w:t>2分</w:t>
            </w:r>
          </w:p>
        </w:tc>
        <w:tc>
          <w:tcPr>
            <w:tcW w:w="879" w:type="dxa"/>
            <w:noWrap w:val="0"/>
            <w:vAlign w:val="center"/>
          </w:tcPr>
          <w:p w14:paraId="690356E9">
            <w:pPr>
              <w:snapToGrid w:val="0"/>
              <w:spacing w:line="360" w:lineRule="exact"/>
              <w:ind w:firstLine="480"/>
              <w:jc w:val="center"/>
              <w:rPr>
                <w:rFonts w:hint="default" w:ascii="Times New Roman" w:hAnsi="Times New Roman" w:eastAsia="宋体" w:cs="Times New Roman"/>
                <w:b w:val="0"/>
                <w:bCs w:val="0"/>
                <w:color w:val="auto"/>
                <w:sz w:val="24"/>
                <w:highlight w:val="none"/>
              </w:rPr>
            </w:pPr>
          </w:p>
        </w:tc>
        <w:tc>
          <w:tcPr>
            <w:tcW w:w="5054" w:type="dxa"/>
            <w:noWrap w:val="0"/>
            <w:tcMar>
              <w:top w:w="85" w:type="dxa"/>
              <w:bottom w:w="85" w:type="dxa"/>
            </w:tcMar>
            <w:vAlign w:val="center"/>
          </w:tcPr>
          <w:p w14:paraId="421967C1">
            <w:pPr>
              <w:snapToGrid w:val="0"/>
              <w:spacing w:line="360" w:lineRule="exact"/>
              <w:ind w:firstLine="440" w:firstLineChars="200"/>
              <w:rPr>
                <w:rFonts w:hint="default" w:ascii="Times New Roman" w:hAnsi="Times New Roman" w:eastAsia="宋体" w:cs="Times New Roman"/>
                <w:b w:val="0"/>
                <w:bCs w:val="0"/>
                <w:color w:val="auto"/>
                <w:sz w:val="22"/>
                <w:szCs w:val="22"/>
                <w:highlight w:val="none"/>
              </w:rPr>
            </w:pPr>
            <w:r>
              <w:rPr>
                <w:rFonts w:hint="default" w:ascii="Times New Roman" w:hAnsi="Times New Roman" w:eastAsia="宋体" w:cs="Times New Roman"/>
                <w:b w:val="0"/>
                <w:bCs w:val="0"/>
                <w:color w:val="auto"/>
                <w:sz w:val="22"/>
                <w:szCs w:val="22"/>
                <w:highlight w:val="none"/>
              </w:rPr>
              <w:t>获得国家认可的认证证书，实施效果良好，能持续改进者得2分。缺少一个管理体系认证减1分，减完为止。</w:t>
            </w:r>
          </w:p>
        </w:tc>
      </w:tr>
      <w:tr w14:paraId="2893085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2018" w:hRule="atLeast"/>
          <w:jc w:val="center"/>
        </w:trPr>
        <w:tc>
          <w:tcPr>
            <w:tcW w:w="1559" w:type="dxa"/>
            <w:vMerge w:val="continue"/>
            <w:noWrap w:val="0"/>
            <w:vAlign w:val="center"/>
          </w:tcPr>
          <w:p w14:paraId="266D50C3">
            <w:pPr>
              <w:spacing w:line="520" w:lineRule="exact"/>
              <w:ind w:left="354" w:right="-31" w:rightChars="-15" w:hanging="354" w:hangingChars="147"/>
              <w:rPr>
                <w:rFonts w:hint="default" w:ascii="Times New Roman" w:hAnsi="Times New Roman" w:eastAsia="宋体" w:cs="Times New Roman"/>
                <w:b/>
                <w:color w:val="auto"/>
                <w:sz w:val="24"/>
                <w:highlight w:val="none"/>
              </w:rPr>
            </w:pPr>
          </w:p>
        </w:tc>
        <w:tc>
          <w:tcPr>
            <w:tcW w:w="2127" w:type="dxa"/>
            <w:noWrap w:val="0"/>
            <w:vAlign w:val="center"/>
          </w:tcPr>
          <w:p w14:paraId="04963951">
            <w:pPr>
              <w:snapToGrid w:val="0"/>
              <w:spacing w:line="360" w:lineRule="exact"/>
              <w:ind w:firstLine="0" w:firstLineChars="0"/>
              <w:rPr>
                <w:rFonts w:hint="default" w:ascii="Times New Roman" w:hAnsi="Times New Roman" w:eastAsia="宋体" w:cs="Times New Roman"/>
                <w:b w:val="0"/>
                <w:bCs w:val="0"/>
                <w:color w:val="auto"/>
                <w:sz w:val="24"/>
                <w:highlight w:val="none"/>
              </w:rPr>
            </w:pPr>
            <w:r>
              <w:rPr>
                <w:rFonts w:hint="default" w:ascii="Times New Roman" w:hAnsi="Times New Roman" w:eastAsia="宋体" w:cs="Times New Roman"/>
                <w:b w:val="0"/>
                <w:bCs w:val="0"/>
                <w:color w:val="auto"/>
                <w:sz w:val="24"/>
                <w:highlight w:val="none"/>
              </w:rPr>
              <w:t>5、信息化管理</w:t>
            </w:r>
          </w:p>
        </w:tc>
        <w:tc>
          <w:tcPr>
            <w:tcW w:w="3446" w:type="dxa"/>
            <w:noWrap w:val="0"/>
            <w:vAlign w:val="center"/>
          </w:tcPr>
          <w:p w14:paraId="770A3701">
            <w:pPr>
              <w:snapToGrid w:val="0"/>
              <w:spacing w:line="360" w:lineRule="exact"/>
              <w:ind w:firstLine="0" w:firstLineChars="0"/>
              <w:rPr>
                <w:rFonts w:hint="default" w:ascii="Times New Roman" w:hAnsi="Times New Roman" w:eastAsia="宋体" w:cs="Times New Roman"/>
                <w:b w:val="0"/>
                <w:bCs w:val="0"/>
                <w:color w:val="auto"/>
                <w:sz w:val="24"/>
                <w:highlight w:val="none"/>
              </w:rPr>
            </w:pPr>
            <w:r>
              <w:rPr>
                <w:rFonts w:hint="default" w:ascii="Times New Roman" w:hAnsi="Times New Roman" w:eastAsia="宋体" w:cs="Times New Roman"/>
                <w:b w:val="0"/>
                <w:bCs w:val="0"/>
                <w:color w:val="auto"/>
                <w:sz w:val="24"/>
                <w:highlight w:val="none"/>
              </w:rPr>
              <w:t>建立办公自动化系统及单位网站</w:t>
            </w:r>
          </w:p>
        </w:tc>
        <w:tc>
          <w:tcPr>
            <w:tcW w:w="850" w:type="dxa"/>
            <w:noWrap w:val="0"/>
            <w:vAlign w:val="center"/>
          </w:tcPr>
          <w:p w14:paraId="5E972B13">
            <w:pPr>
              <w:snapToGrid w:val="0"/>
              <w:spacing w:line="360" w:lineRule="exact"/>
              <w:ind w:firstLine="0" w:firstLineChars="0"/>
              <w:jc w:val="center"/>
              <w:rPr>
                <w:rFonts w:hint="default" w:ascii="Times New Roman" w:hAnsi="Times New Roman" w:eastAsia="宋体" w:cs="Times New Roman"/>
                <w:b w:val="0"/>
                <w:bCs w:val="0"/>
                <w:color w:val="auto"/>
                <w:sz w:val="24"/>
                <w:highlight w:val="none"/>
              </w:rPr>
            </w:pPr>
            <w:r>
              <w:rPr>
                <w:rFonts w:hint="default" w:ascii="Times New Roman" w:hAnsi="Times New Roman" w:eastAsia="宋体" w:cs="Times New Roman"/>
                <w:b w:val="0"/>
                <w:bCs w:val="0"/>
                <w:color w:val="auto"/>
                <w:sz w:val="24"/>
                <w:highlight w:val="none"/>
              </w:rPr>
              <w:t>2分</w:t>
            </w:r>
          </w:p>
        </w:tc>
        <w:tc>
          <w:tcPr>
            <w:tcW w:w="879" w:type="dxa"/>
            <w:noWrap w:val="0"/>
            <w:vAlign w:val="center"/>
          </w:tcPr>
          <w:p w14:paraId="03549174">
            <w:pPr>
              <w:snapToGrid w:val="0"/>
              <w:spacing w:line="360" w:lineRule="exact"/>
              <w:ind w:firstLine="480"/>
              <w:jc w:val="center"/>
              <w:rPr>
                <w:rFonts w:hint="default" w:ascii="Times New Roman" w:hAnsi="Times New Roman" w:eastAsia="宋体" w:cs="Times New Roman"/>
                <w:b w:val="0"/>
                <w:bCs w:val="0"/>
                <w:color w:val="auto"/>
                <w:sz w:val="24"/>
                <w:highlight w:val="none"/>
              </w:rPr>
            </w:pPr>
          </w:p>
        </w:tc>
        <w:tc>
          <w:tcPr>
            <w:tcW w:w="5054" w:type="dxa"/>
            <w:noWrap w:val="0"/>
            <w:tcMar>
              <w:top w:w="85" w:type="dxa"/>
              <w:bottom w:w="85" w:type="dxa"/>
            </w:tcMar>
            <w:vAlign w:val="center"/>
          </w:tcPr>
          <w:p w14:paraId="4EADAD4C">
            <w:pPr>
              <w:snapToGrid w:val="0"/>
              <w:spacing w:line="360" w:lineRule="exact"/>
              <w:ind w:firstLine="440"/>
              <w:rPr>
                <w:rFonts w:hint="default" w:ascii="Times New Roman" w:hAnsi="Times New Roman" w:eastAsia="宋体" w:cs="Times New Roman"/>
                <w:b w:val="0"/>
                <w:bCs w:val="0"/>
                <w:color w:val="auto"/>
                <w:sz w:val="22"/>
                <w:szCs w:val="22"/>
                <w:highlight w:val="none"/>
              </w:rPr>
            </w:pPr>
            <w:r>
              <w:rPr>
                <w:rFonts w:hint="default" w:ascii="Times New Roman" w:hAnsi="Times New Roman" w:eastAsia="宋体" w:cs="Times New Roman"/>
                <w:b w:val="0"/>
                <w:bCs w:val="0"/>
                <w:color w:val="auto"/>
                <w:sz w:val="22"/>
                <w:szCs w:val="22"/>
                <w:highlight w:val="none"/>
              </w:rPr>
              <w:t>建立办公自动化系统及单位网站，</w:t>
            </w:r>
            <w:r>
              <w:rPr>
                <w:rFonts w:hint="default" w:ascii="Times New Roman" w:hAnsi="Times New Roman" w:eastAsia="宋体" w:cs="Times New Roman"/>
                <w:b w:val="0"/>
                <w:bCs w:val="0"/>
                <w:color w:val="auto"/>
                <w:sz w:val="22"/>
                <w:szCs w:val="22"/>
                <w:highlight w:val="none"/>
                <w:lang w:val="en-US" w:eastAsia="zh-CN"/>
              </w:rPr>
              <w:t>有完善的信息化管理制度</w:t>
            </w:r>
            <w:r>
              <w:rPr>
                <w:rFonts w:hint="default" w:ascii="Times New Roman" w:hAnsi="Times New Roman" w:eastAsia="宋体" w:cs="Times New Roman"/>
                <w:b w:val="0"/>
                <w:bCs w:val="0"/>
                <w:color w:val="auto"/>
                <w:sz w:val="22"/>
                <w:szCs w:val="22"/>
                <w:highlight w:val="none"/>
                <w:lang w:eastAsia="zh-CN"/>
              </w:rPr>
              <w:t>，</w:t>
            </w:r>
            <w:r>
              <w:rPr>
                <w:rFonts w:hint="default" w:ascii="Times New Roman" w:hAnsi="Times New Roman" w:eastAsia="宋体" w:cs="Times New Roman"/>
                <w:b w:val="0"/>
                <w:bCs w:val="0"/>
                <w:color w:val="auto"/>
                <w:sz w:val="22"/>
                <w:szCs w:val="22"/>
                <w:highlight w:val="none"/>
              </w:rPr>
              <w:t>信息沟通渠道顺畅者得2分。缺少一项减1分，减完为止。</w:t>
            </w:r>
          </w:p>
        </w:tc>
      </w:tr>
      <w:tr w14:paraId="3176CED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1931" w:hRule="atLeast"/>
          <w:jc w:val="center"/>
        </w:trPr>
        <w:tc>
          <w:tcPr>
            <w:tcW w:w="1559" w:type="dxa"/>
            <w:vMerge w:val="continue"/>
            <w:noWrap w:val="0"/>
            <w:vAlign w:val="center"/>
          </w:tcPr>
          <w:p w14:paraId="26D5D490">
            <w:pPr>
              <w:spacing w:line="520" w:lineRule="exact"/>
              <w:ind w:left="354" w:right="-31" w:rightChars="-15" w:hanging="354" w:hangingChars="147"/>
              <w:rPr>
                <w:rFonts w:hint="default" w:ascii="Times New Roman" w:hAnsi="Times New Roman" w:eastAsia="宋体" w:cs="Times New Roman"/>
                <w:b/>
                <w:color w:val="auto"/>
                <w:sz w:val="24"/>
                <w:highlight w:val="none"/>
              </w:rPr>
            </w:pPr>
          </w:p>
        </w:tc>
        <w:tc>
          <w:tcPr>
            <w:tcW w:w="2127" w:type="dxa"/>
            <w:noWrap w:val="0"/>
            <w:vAlign w:val="center"/>
          </w:tcPr>
          <w:p w14:paraId="6F9FDBE8">
            <w:pPr>
              <w:snapToGrid w:val="0"/>
              <w:spacing w:line="360" w:lineRule="exact"/>
              <w:ind w:firstLine="0" w:firstLineChars="0"/>
              <w:rPr>
                <w:rFonts w:hint="default" w:ascii="Times New Roman" w:hAnsi="Times New Roman" w:eastAsia="宋体" w:cs="Times New Roman"/>
                <w:b w:val="0"/>
                <w:bCs w:val="0"/>
                <w:color w:val="auto"/>
                <w:sz w:val="24"/>
                <w:highlight w:val="none"/>
                <w:lang w:val="en-US" w:eastAsia="zh-CN"/>
              </w:rPr>
            </w:pPr>
            <w:r>
              <w:rPr>
                <w:rFonts w:hint="default" w:ascii="Times New Roman" w:hAnsi="Times New Roman" w:eastAsia="宋体" w:cs="Times New Roman"/>
                <w:b w:val="0"/>
                <w:bCs w:val="0"/>
                <w:color w:val="auto"/>
                <w:sz w:val="24"/>
                <w:highlight w:val="none"/>
                <w:lang w:val="en-US" w:eastAsia="zh-CN"/>
              </w:rPr>
              <w:t>6企业制度管理</w:t>
            </w:r>
          </w:p>
        </w:tc>
        <w:tc>
          <w:tcPr>
            <w:tcW w:w="3446" w:type="dxa"/>
            <w:noWrap w:val="0"/>
            <w:vAlign w:val="center"/>
          </w:tcPr>
          <w:p w14:paraId="73041256">
            <w:pPr>
              <w:snapToGrid w:val="0"/>
              <w:spacing w:line="360" w:lineRule="exact"/>
              <w:ind w:firstLine="0" w:firstLineChars="0"/>
              <w:rPr>
                <w:rFonts w:hint="default" w:ascii="Times New Roman" w:hAnsi="Times New Roman" w:eastAsia="宋体" w:cs="Times New Roman"/>
                <w:b w:val="0"/>
                <w:bCs w:val="0"/>
                <w:color w:val="auto"/>
                <w:sz w:val="24"/>
                <w:highlight w:val="none"/>
                <w:lang w:val="en-US" w:eastAsia="zh-CN"/>
              </w:rPr>
            </w:pPr>
            <w:r>
              <w:rPr>
                <w:rFonts w:hint="default" w:ascii="Times New Roman" w:hAnsi="Times New Roman" w:eastAsia="宋体" w:cs="Times New Roman"/>
                <w:b w:val="0"/>
                <w:bCs w:val="0"/>
                <w:color w:val="auto"/>
                <w:sz w:val="24"/>
                <w:highlight w:val="none"/>
                <w:lang w:val="en-US" w:eastAsia="zh-CN"/>
              </w:rPr>
              <w:t>建立健全企业的规章管理制度</w:t>
            </w:r>
          </w:p>
        </w:tc>
        <w:tc>
          <w:tcPr>
            <w:tcW w:w="850" w:type="dxa"/>
            <w:noWrap w:val="0"/>
            <w:vAlign w:val="center"/>
          </w:tcPr>
          <w:p w14:paraId="0A932DE9">
            <w:pPr>
              <w:snapToGrid w:val="0"/>
              <w:spacing w:line="360" w:lineRule="exact"/>
              <w:ind w:firstLine="0" w:firstLineChars="0"/>
              <w:jc w:val="center"/>
              <w:rPr>
                <w:rFonts w:hint="default" w:ascii="Times New Roman" w:hAnsi="Times New Roman" w:eastAsia="宋体" w:cs="Times New Roman"/>
                <w:b w:val="0"/>
                <w:bCs w:val="0"/>
                <w:color w:val="auto"/>
                <w:sz w:val="24"/>
                <w:highlight w:val="none"/>
              </w:rPr>
            </w:pPr>
            <w:r>
              <w:rPr>
                <w:rFonts w:hint="default" w:ascii="Times New Roman" w:hAnsi="Times New Roman" w:eastAsia="宋体" w:cs="Times New Roman"/>
                <w:b w:val="0"/>
                <w:bCs w:val="0"/>
                <w:color w:val="auto"/>
                <w:sz w:val="24"/>
                <w:highlight w:val="none"/>
                <w:lang w:val="en-US" w:eastAsia="zh-CN"/>
              </w:rPr>
              <w:t>5</w:t>
            </w:r>
          </w:p>
        </w:tc>
        <w:tc>
          <w:tcPr>
            <w:tcW w:w="879" w:type="dxa"/>
            <w:noWrap w:val="0"/>
            <w:vAlign w:val="center"/>
          </w:tcPr>
          <w:p w14:paraId="5EEDF3A8">
            <w:pPr>
              <w:snapToGrid w:val="0"/>
              <w:spacing w:line="360" w:lineRule="exact"/>
              <w:ind w:firstLine="480"/>
              <w:jc w:val="center"/>
              <w:rPr>
                <w:rFonts w:hint="default" w:ascii="Times New Roman" w:hAnsi="Times New Roman" w:eastAsia="宋体" w:cs="Times New Roman"/>
                <w:b w:val="0"/>
                <w:bCs w:val="0"/>
                <w:color w:val="auto"/>
                <w:sz w:val="24"/>
                <w:highlight w:val="none"/>
              </w:rPr>
            </w:pPr>
          </w:p>
        </w:tc>
        <w:tc>
          <w:tcPr>
            <w:tcW w:w="5054" w:type="dxa"/>
            <w:noWrap w:val="0"/>
            <w:tcMar>
              <w:top w:w="85" w:type="dxa"/>
              <w:bottom w:w="85" w:type="dxa"/>
            </w:tcMar>
            <w:vAlign w:val="center"/>
          </w:tcPr>
          <w:p w14:paraId="529E9EAE">
            <w:pPr>
              <w:snapToGrid w:val="0"/>
              <w:spacing w:line="360" w:lineRule="exact"/>
              <w:ind w:firstLine="440"/>
              <w:rPr>
                <w:rFonts w:hint="default" w:ascii="Times New Roman" w:hAnsi="Times New Roman" w:eastAsia="宋体" w:cs="Times New Roman"/>
                <w:b w:val="0"/>
                <w:bCs w:val="0"/>
                <w:color w:val="auto"/>
                <w:sz w:val="22"/>
                <w:szCs w:val="22"/>
                <w:highlight w:val="none"/>
                <w:lang w:val="en-US" w:eastAsia="zh-CN"/>
              </w:rPr>
            </w:pPr>
            <w:r>
              <w:rPr>
                <w:rFonts w:hint="default" w:ascii="Times New Roman" w:hAnsi="Times New Roman" w:eastAsia="宋体" w:cs="Times New Roman"/>
                <w:b w:val="0"/>
                <w:bCs w:val="0"/>
                <w:color w:val="auto"/>
                <w:sz w:val="22"/>
                <w:szCs w:val="22"/>
                <w:highlight w:val="none"/>
                <w:lang w:val="en-US" w:eastAsia="zh-CN"/>
              </w:rPr>
              <w:t>企业全部管理制度清单、经营合同管理、材料采购、财务、人力资源、工程管理等主要管理制度文本</w:t>
            </w:r>
            <w:r>
              <w:rPr>
                <w:rFonts w:hint="default" w:ascii="Times New Roman" w:hAnsi="Times New Roman" w:cs="Times New Roman"/>
                <w:b w:val="0"/>
                <w:bCs w:val="0"/>
                <w:color w:val="auto"/>
                <w:sz w:val="22"/>
                <w:szCs w:val="22"/>
                <w:highlight w:val="none"/>
                <w:lang w:val="en-US" w:eastAsia="zh-CN"/>
              </w:rPr>
              <w:t>。</w:t>
            </w:r>
          </w:p>
        </w:tc>
      </w:tr>
      <w:tr w14:paraId="49B7DF4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125" w:hRule="atLeast"/>
          <w:jc w:val="center"/>
        </w:trPr>
        <w:tc>
          <w:tcPr>
            <w:tcW w:w="1559" w:type="dxa"/>
            <w:vMerge w:val="continue"/>
            <w:noWrap w:val="0"/>
            <w:vAlign w:val="center"/>
          </w:tcPr>
          <w:p w14:paraId="0E27A7AD">
            <w:pPr>
              <w:spacing w:line="520" w:lineRule="exact"/>
              <w:ind w:left="354" w:right="-31" w:rightChars="-15" w:hanging="354" w:hangingChars="147"/>
              <w:rPr>
                <w:rFonts w:hint="default" w:ascii="Times New Roman" w:hAnsi="Times New Roman" w:eastAsia="宋体" w:cs="Times New Roman"/>
                <w:b/>
                <w:color w:val="auto"/>
                <w:sz w:val="24"/>
                <w:highlight w:val="none"/>
              </w:rPr>
            </w:pPr>
          </w:p>
        </w:tc>
        <w:tc>
          <w:tcPr>
            <w:tcW w:w="2127" w:type="dxa"/>
            <w:noWrap w:val="0"/>
            <w:vAlign w:val="center"/>
          </w:tcPr>
          <w:p w14:paraId="507FB873">
            <w:pPr>
              <w:snapToGrid w:val="0"/>
              <w:spacing w:line="360" w:lineRule="exact"/>
              <w:ind w:firstLine="0" w:firstLineChars="0"/>
              <w:rPr>
                <w:rFonts w:hint="default" w:ascii="Times New Roman" w:hAnsi="Times New Roman" w:eastAsia="宋体" w:cs="Times New Roman"/>
                <w:b w:val="0"/>
                <w:bCs w:val="0"/>
                <w:color w:val="auto"/>
                <w:sz w:val="24"/>
                <w:highlight w:val="none"/>
              </w:rPr>
            </w:pPr>
            <w:r>
              <w:rPr>
                <w:rFonts w:hint="default" w:ascii="Times New Roman" w:hAnsi="Times New Roman" w:eastAsia="宋体" w:cs="Times New Roman"/>
                <w:b w:val="0"/>
                <w:bCs w:val="0"/>
                <w:color w:val="auto"/>
                <w:sz w:val="24"/>
                <w:highlight w:val="none"/>
                <w:lang w:val="en-US" w:eastAsia="zh-CN"/>
              </w:rPr>
              <w:t>7</w:t>
            </w:r>
            <w:r>
              <w:rPr>
                <w:rFonts w:hint="default" w:ascii="Times New Roman" w:hAnsi="Times New Roman" w:eastAsia="宋体" w:cs="Times New Roman"/>
                <w:b w:val="0"/>
                <w:bCs w:val="0"/>
                <w:color w:val="auto"/>
                <w:sz w:val="24"/>
                <w:highlight w:val="none"/>
              </w:rPr>
              <w:t>、人力资源</w:t>
            </w:r>
          </w:p>
        </w:tc>
        <w:tc>
          <w:tcPr>
            <w:tcW w:w="3446" w:type="dxa"/>
            <w:noWrap w:val="0"/>
            <w:vAlign w:val="center"/>
          </w:tcPr>
          <w:p w14:paraId="20B34007">
            <w:pPr>
              <w:snapToGrid w:val="0"/>
              <w:spacing w:line="360" w:lineRule="exact"/>
              <w:ind w:firstLine="0" w:firstLineChars="0"/>
              <w:rPr>
                <w:rFonts w:hint="default" w:ascii="Times New Roman" w:hAnsi="Times New Roman" w:eastAsia="宋体" w:cs="Times New Roman"/>
                <w:b w:val="0"/>
                <w:bCs w:val="0"/>
                <w:color w:val="auto"/>
                <w:sz w:val="24"/>
                <w:highlight w:val="none"/>
                <w:lang w:val="en-US" w:eastAsia="zh-CN"/>
              </w:rPr>
            </w:pPr>
            <w:r>
              <w:rPr>
                <w:rFonts w:hint="default" w:ascii="Times New Roman" w:hAnsi="Times New Roman" w:eastAsia="宋体" w:cs="Times New Roman"/>
                <w:b w:val="0"/>
                <w:bCs w:val="0"/>
                <w:color w:val="auto"/>
                <w:sz w:val="24"/>
                <w:highlight w:val="none"/>
              </w:rPr>
              <w:t>企业主要管理人员和专业技术人员配备满足资质等级要求</w:t>
            </w:r>
            <w:r>
              <w:rPr>
                <w:rFonts w:hint="default" w:ascii="Times New Roman" w:hAnsi="Times New Roman" w:eastAsia="宋体" w:cs="Times New Roman"/>
                <w:b w:val="0"/>
                <w:bCs w:val="0"/>
                <w:color w:val="auto"/>
                <w:sz w:val="24"/>
                <w:highlight w:val="none"/>
                <w:lang w:eastAsia="zh-CN"/>
              </w:rPr>
              <w:t>。</w:t>
            </w:r>
            <w:r>
              <w:rPr>
                <w:rFonts w:hint="default" w:ascii="Times New Roman" w:hAnsi="Times New Roman" w:eastAsia="宋体" w:cs="Times New Roman"/>
                <w:b w:val="0"/>
                <w:bCs w:val="0"/>
                <w:color w:val="auto"/>
                <w:sz w:val="24"/>
                <w:highlight w:val="none"/>
                <w:lang w:val="en-US" w:eastAsia="zh-CN"/>
              </w:rPr>
              <w:t>依法与企业签订劳动合同、依法为员工缴纳社保、建立合理有效的绩效考核和激励制度；职工教育经费投入不低于计税工资的1.5%</w:t>
            </w:r>
          </w:p>
        </w:tc>
        <w:tc>
          <w:tcPr>
            <w:tcW w:w="850" w:type="dxa"/>
            <w:noWrap w:val="0"/>
            <w:vAlign w:val="center"/>
          </w:tcPr>
          <w:p w14:paraId="0BEBF8BC">
            <w:pPr>
              <w:snapToGrid w:val="0"/>
              <w:spacing w:line="360" w:lineRule="exact"/>
              <w:ind w:firstLine="0" w:firstLineChars="0"/>
              <w:jc w:val="center"/>
              <w:rPr>
                <w:rFonts w:hint="default" w:ascii="Times New Roman" w:hAnsi="Times New Roman" w:eastAsia="宋体" w:cs="Times New Roman"/>
                <w:b w:val="0"/>
                <w:bCs w:val="0"/>
                <w:color w:val="auto"/>
                <w:sz w:val="24"/>
                <w:highlight w:val="none"/>
              </w:rPr>
            </w:pPr>
            <w:r>
              <w:rPr>
                <w:rFonts w:hint="default" w:ascii="Times New Roman" w:hAnsi="Times New Roman" w:eastAsia="宋体" w:cs="Times New Roman"/>
                <w:b w:val="0"/>
                <w:bCs w:val="0"/>
                <w:color w:val="auto"/>
                <w:sz w:val="24"/>
                <w:highlight w:val="none"/>
              </w:rPr>
              <w:t>3分</w:t>
            </w:r>
          </w:p>
        </w:tc>
        <w:tc>
          <w:tcPr>
            <w:tcW w:w="879" w:type="dxa"/>
            <w:noWrap w:val="0"/>
            <w:vAlign w:val="center"/>
          </w:tcPr>
          <w:p w14:paraId="14734237">
            <w:pPr>
              <w:snapToGrid w:val="0"/>
              <w:spacing w:line="360" w:lineRule="exact"/>
              <w:ind w:firstLine="480"/>
              <w:jc w:val="center"/>
              <w:rPr>
                <w:rFonts w:hint="default" w:ascii="Times New Roman" w:hAnsi="Times New Roman" w:eastAsia="宋体" w:cs="Times New Roman"/>
                <w:b w:val="0"/>
                <w:bCs w:val="0"/>
                <w:color w:val="auto"/>
                <w:sz w:val="24"/>
                <w:highlight w:val="none"/>
              </w:rPr>
            </w:pPr>
          </w:p>
        </w:tc>
        <w:tc>
          <w:tcPr>
            <w:tcW w:w="5054" w:type="dxa"/>
            <w:noWrap w:val="0"/>
            <w:tcMar>
              <w:top w:w="85" w:type="dxa"/>
              <w:bottom w:w="85" w:type="dxa"/>
            </w:tcMar>
            <w:vAlign w:val="center"/>
          </w:tcPr>
          <w:p w14:paraId="3E61F180">
            <w:pPr>
              <w:snapToGrid w:val="0"/>
              <w:spacing w:line="360" w:lineRule="exact"/>
              <w:ind w:firstLine="440"/>
              <w:rPr>
                <w:rFonts w:hint="default" w:ascii="Times New Roman" w:hAnsi="Times New Roman" w:eastAsia="宋体" w:cs="Times New Roman"/>
                <w:b w:val="0"/>
                <w:bCs w:val="0"/>
                <w:color w:val="auto"/>
                <w:sz w:val="22"/>
                <w:szCs w:val="22"/>
                <w:highlight w:val="none"/>
                <w:lang w:eastAsia="zh-CN"/>
              </w:rPr>
            </w:pPr>
            <w:r>
              <w:rPr>
                <w:rFonts w:hint="default" w:ascii="Times New Roman" w:hAnsi="Times New Roman" w:eastAsia="宋体" w:cs="Times New Roman"/>
                <w:b w:val="0"/>
                <w:bCs w:val="0"/>
                <w:color w:val="auto"/>
                <w:sz w:val="22"/>
                <w:szCs w:val="22"/>
                <w:highlight w:val="none"/>
              </w:rPr>
              <w:t>企业主要管理人员、专业技术人员、注册建造师等人员达到相应资质标准的得3分，不符合者每项减1分，减完为止。</w:t>
            </w:r>
            <w:r>
              <w:rPr>
                <w:rFonts w:hint="default" w:ascii="Times New Roman" w:hAnsi="Times New Roman" w:eastAsia="宋体" w:cs="Times New Roman"/>
                <w:b w:val="0"/>
                <w:bCs w:val="0"/>
                <w:color w:val="auto"/>
                <w:sz w:val="22"/>
                <w:szCs w:val="22"/>
                <w:highlight w:val="none"/>
                <w:lang w:val="en-US" w:eastAsia="zh-CN"/>
              </w:rPr>
              <w:t>不符合主项资质的一票否决。未与员工签订劳动合同的，每一项扣0.5分，直至扣完为止</w:t>
            </w:r>
            <w:r>
              <w:rPr>
                <w:rFonts w:hint="default" w:ascii="Times New Roman" w:hAnsi="Times New Roman" w:cs="Times New Roman"/>
                <w:b w:val="0"/>
                <w:bCs w:val="0"/>
                <w:color w:val="auto"/>
                <w:sz w:val="22"/>
                <w:szCs w:val="22"/>
                <w:highlight w:val="none"/>
                <w:lang w:val="en-US" w:eastAsia="zh-CN"/>
              </w:rPr>
              <w:t>。</w:t>
            </w:r>
          </w:p>
        </w:tc>
      </w:tr>
      <w:tr w14:paraId="0659BE0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740" w:hRule="atLeast"/>
          <w:jc w:val="center"/>
        </w:trPr>
        <w:tc>
          <w:tcPr>
            <w:tcW w:w="1559" w:type="dxa"/>
            <w:vMerge w:val="restart"/>
            <w:noWrap w:val="0"/>
            <w:vAlign w:val="center"/>
          </w:tcPr>
          <w:p w14:paraId="067235F3">
            <w:pPr>
              <w:spacing w:line="520" w:lineRule="exact"/>
              <w:ind w:left="354" w:hanging="354" w:hangingChars="147"/>
              <w:rPr>
                <w:rFonts w:hint="default" w:ascii="Times New Roman" w:hAnsi="Times New Roman" w:eastAsia="宋体" w:cs="Times New Roman"/>
                <w:b/>
                <w:color w:val="auto"/>
                <w:sz w:val="21"/>
                <w:highlight w:val="none"/>
              </w:rPr>
            </w:pPr>
            <w:r>
              <w:rPr>
                <w:rFonts w:hint="default" w:ascii="Times New Roman" w:hAnsi="Times New Roman" w:eastAsia="宋体" w:cs="Times New Roman"/>
                <w:b/>
                <w:color w:val="auto"/>
                <w:sz w:val="24"/>
                <w:highlight w:val="none"/>
              </w:rPr>
              <w:t>二、</w:t>
            </w:r>
            <w:r>
              <w:rPr>
                <w:rFonts w:hint="default" w:ascii="Times New Roman" w:hAnsi="Times New Roman" w:eastAsia="宋体" w:cs="Times New Roman"/>
                <w:b/>
                <w:bCs w:val="0"/>
                <w:color w:val="auto"/>
                <w:sz w:val="24"/>
                <w:highlight w:val="none"/>
                <w:lang w:val="en-US" w:eastAsia="zh-CN"/>
              </w:rPr>
              <w:t>经营能力及财务指标</w:t>
            </w:r>
            <w:r>
              <w:rPr>
                <w:rFonts w:hint="default" w:ascii="Times New Roman" w:hAnsi="Times New Roman" w:eastAsia="宋体" w:cs="Times New Roman"/>
                <w:b/>
                <w:color w:val="auto"/>
                <w:sz w:val="24"/>
                <w:highlight w:val="none"/>
                <w:lang w:val="en-US" w:eastAsia="zh-CN"/>
              </w:rPr>
              <w:t>20</w:t>
            </w:r>
            <w:r>
              <w:rPr>
                <w:rFonts w:hint="default" w:ascii="Times New Roman" w:hAnsi="Times New Roman" w:eastAsia="宋体" w:cs="Times New Roman"/>
                <w:b/>
                <w:color w:val="auto"/>
                <w:sz w:val="24"/>
                <w:highlight w:val="none"/>
              </w:rPr>
              <w:t>分</w:t>
            </w:r>
          </w:p>
        </w:tc>
        <w:tc>
          <w:tcPr>
            <w:tcW w:w="2127" w:type="dxa"/>
            <w:noWrap w:val="0"/>
            <w:vAlign w:val="center"/>
          </w:tcPr>
          <w:p w14:paraId="1DAFD5E1">
            <w:pPr>
              <w:spacing w:line="320" w:lineRule="exact"/>
              <w:ind w:firstLine="0" w:firstLineChars="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1、企业产值</w:t>
            </w:r>
          </w:p>
        </w:tc>
        <w:tc>
          <w:tcPr>
            <w:tcW w:w="3446" w:type="dxa"/>
            <w:noWrap w:val="0"/>
            <w:vAlign w:val="center"/>
          </w:tcPr>
          <w:p w14:paraId="0E517B31">
            <w:pPr>
              <w:spacing w:line="320" w:lineRule="exact"/>
              <w:ind w:firstLine="0" w:firstLineChars="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符合相应的资质标准</w:t>
            </w:r>
          </w:p>
        </w:tc>
        <w:tc>
          <w:tcPr>
            <w:tcW w:w="850" w:type="dxa"/>
            <w:noWrap w:val="0"/>
            <w:vAlign w:val="center"/>
          </w:tcPr>
          <w:p w14:paraId="35BD7721">
            <w:pPr>
              <w:spacing w:line="320" w:lineRule="exact"/>
              <w:ind w:firstLine="0" w:firstLineChars="0"/>
              <w:jc w:val="center"/>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2分</w:t>
            </w:r>
          </w:p>
        </w:tc>
        <w:tc>
          <w:tcPr>
            <w:tcW w:w="879" w:type="dxa"/>
            <w:noWrap w:val="0"/>
            <w:vAlign w:val="center"/>
          </w:tcPr>
          <w:p w14:paraId="05D19C26">
            <w:pPr>
              <w:spacing w:line="320" w:lineRule="exact"/>
              <w:ind w:firstLine="480"/>
              <w:jc w:val="center"/>
              <w:rPr>
                <w:rFonts w:hint="default" w:ascii="Times New Roman" w:hAnsi="Times New Roman" w:eastAsia="宋体" w:cs="Times New Roman"/>
                <w:color w:val="auto"/>
                <w:sz w:val="24"/>
                <w:highlight w:val="none"/>
              </w:rPr>
            </w:pPr>
          </w:p>
        </w:tc>
        <w:tc>
          <w:tcPr>
            <w:tcW w:w="5054" w:type="dxa"/>
            <w:noWrap w:val="0"/>
            <w:tcMar>
              <w:top w:w="85" w:type="dxa"/>
              <w:bottom w:w="85" w:type="dxa"/>
            </w:tcMar>
            <w:vAlign w:val="center"/>
          </w:tcPr>
          <w:p w14:paraId="5FB16BBC">
            <w:pPr>
              <w:snapToGrid w:val="0"/>
              <w:spacing w:line="360" w:lineRule="exact"/>
              <w:ind w:firstLine="440"/>
              <w:rPr>
                <w:rFonts w:hint="default" w:ascii="Times New Roman" w:hAnsi="Times New Roman" w:eastAsia="宋体" w:cs="Times New Roman"/>
                <w:color w:val="auto"/>
                <w:sz w:val="22"/>
                <w:szCs w:val="22"/>
                <w:highlight w:val="none"/>
              </w:rPr>
            </w:pPr>
            <w:r>
              <w:rPr>
                <w:rFonts w:hint="default" w:ascii="Times New Roman" w:hAnsi="Times New Roman" w:eastAsia="宋体" w:cs="Times New Roman"/>
                <w:color w:val="auto"/>
                <w:sz w:val="22"/>
                <w:szCs w:val="22"/>
                <w:highlight w:val="none"/>
              </w:rPr>
              <w:t>达到相应的资质标准得2分，未达到相应资质标准的每降低5%减0.5分，减完为止。</w:t>
            </w:r>
          </w:p>
        </w:tc>
      </w:tr>
      <w:tr w14:paraId="2A57D89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1559" w:type="dxa"/>
            <w:vMerge w:val="continue"/>
            <w:noWrap w:val="0"/>
            <w:vAlign w:val="center"/>
          </w:tcPr>
          <w:p w14:paraId="56026EAF">
            <w:pPr>
              <w:spacing w:line="520" w:lineRule="exact"/>
              <w:ind w:left="354" w:hanging="354" w:hangingChars="147"/>
              <w:rPr>
                <w:rFonts w:hint="default" w:ascii="Times New Roman" w:hAnsi="Times New Roman" w:eastAsia="宋体" w:cs="Times New Roman"/>
                <w:b/>
                <w:color w:val="auto"/>
                <w:sz w:val="24"/>
                <w:highlight w:val="none"/>
              </w:rPr>
            </w:pPr>
          </w:p>
        </w:tc>
        <w:tc>
          <w:tcPr>
            <w:tcW w:w="2127" w:type="dxa"/>
            <w:noWrap w:val="0"/>
            <w:vAlign w:val="center"/>
          </w:tcPr>
          <w:p w14:paraId="52C0D3E0">
            <w:pPr>
              <w:spacing w:line="320" w:lineRule="exact"/>
              <w:ind w:firstLine="0" w:firstLineChars="0"/>
              <w:rPr>
                <w:rFonts w:hint="default" w:ascii="Times New Roman" w:hAnsi="Times New Roman" w:eastAsia="宋体" w:cs="Times New Roman"/>
                <w:b w:val="0"/>
                <w:bCs w:val="0"/>
                <w:color w:val="auto"/>
                <w:sz w:val="24"/>
                <w:highlight w:val="none"/>
                <w:lang w:val="en-US" w:eastAsia="zh-CN"/>
              </w:rPr>
            </w:pPr>
            <w:r>
              <w:rPr>
                <w:rFonts w:hint="default" w:ascii="Times New Roman" w:hAnsi="Times New Roman" w:cs="Times New Roman"/>
                <w:b w:val="0"/>
                <w:bCs w:val="0"/>
                <w:color w:val="auto"/>
                <w:sz w:val="24"/>
                <w:highlight w:val="none"/>
                <w:lang w:val="en-US" w:eastAsia="zh-CN"/>
              </w:rPr>
              <w:t>2、</w:t>
            </w:r>
            <w:r>
              <w:rPr>
                <w:rFonts w:hint="default" w:ascii="Times New Roman" w:hAnsi="Times New Roman" w:eastAsia="宋体" w:cs="Times New Roman"/>
                <w:b w:val="0"/>
                <w:bCs w:val="0"/>
                <w:color w:val="auto"/>
                <w:sz w:val="24"/>
                <w:highlight w:val="none"/>
                <w:lang w:val="en-US" w:eastAsia="zh-CN"/>
              </w:rPr>
              <w:t>承揽业务量</w:t>
            </w:r>
          </w:p>
        </w:tc>
        <w:tc>
          <w:tcPr>
            <w:tcW w:w="3446" w:type="dxa"/>
            <w:noWrap w:val="0"/>
            <w:vAlign w:val="center"/>
          </w:tcPr>
          <w:p w14:paraId="36C7829B">
            <w:pPr>
              <w:spacing w:line="320" w:lineRule="exact"/>
              <w:ind w:firstLine="0" w:firstLineChars="0"/>
              <w:rPr>
                <w:rFonts w:hint="default" w:ascii="Times New Roman" w:hAnsi="Times New Roman" w:eastAsia="宋体" w:cs="Times New Roman"/>
                <w:b w:val="0"/>
                <w:bCs w:val="0"/>
                <w:color w:val="auto"/>
                <w:sz w:val="24"/>
                <w:highlight w:val="none"/>
              </w:rPr>
            </w:pPr>
            <w:r>
              <w:rPr>
                <w:rFonts w:hint="default" w:ascii="Times New Roman" w:hAnsi="Times New Roman" w:eastAsia="宋体" w:cs="Times New Roman"/>
                <w:b w:val="0"/>
                <w:bCs w:val="0"/>
                <w:color w:val="auto"/>
                <w:sz w:val="24"/>
                <w:highlight w:val="none"/>
                <w:lang w:val="en-US" w:eastAsia="zh-CN"/>
              </w:rPr>
              <w:t>近三年业务量保持稳定，并有增长。</w:t>
            </w:r>
          </w:p>
        </w:tc>
        <w:tc>
          <w:tcPr>
            <w:tcW w:w="850" w:type="dxa"/>
            <w:noWrap w:val="0"/>
            <w:vAlign w:val="center"/>
          </w:tcPr>
          <w:p w14:paraId="62E8B5D6">
            <w:pPr>
              <w:spacing w:line="320" w:lineRule="exact"/>
              <w:ind w:firstLine="0" w:firstLineChars="0"/>
              <w:jc w:val="center"/>
              <w:rPr>
                <w:rFonts w:hint="default" w:ascii="Times New Roman" w:hAnsi="Times New Roman" w:eastAsia="宋体" w:cs="Times New Roman"/>
                <w:b w:val="0"/>
                <w:bCs w:val="0"/>
                <w:color w:val="auto"/>
                <w:sz w:val="24"/>
                <w:highlight w:val="none"/>
              </w:rPr>
            </w:pPr>
            <w:r>
              <w:rPr>
                <w:rFonts w:hint="default" w:ascii="Times New Roman" w:hAnsi="Times New Roman" w:eastAsia="宋体" w:cs="Times New Roman"/>
                <w:b w:val="0"/>
                <w:bCs w:val="0"/>
                <w:color w:val="auto"/>
                <w:sz w:val="24"/>
                <w:highlight w:val="none"/>
                <w:lang w:val="en-US" w:eastAsia="zh-CN"/>
              </w:rPr>
              <w:t>5分</w:t>
            </w:r>
          </w:p>
        </w:tc>
        <w:tc>
          <w:tcPr>
            <w:tcW w:w="879" w:type="dxa"/>
            <w:noWrap w:val="0"/>
            <w:vAlign w:val="center"/>
          </w:tcPr>
          <w:p w14:paraId="402D2D1D">
            <w:pPr>
              <w:spacing w:line="320" w:lineRule="exact"/>
              <w:ind w:firstLine="480"/>
              <w:jc w:val="center"/>
              <w:rPr>
                <w:rFonts w:hint="default" w:ascii="Times New Roman" w:hAnsi="Times New Roman" w:eastAsia="宋体" w:cs="Times New Roman"/>
                <w:b w:val="0"/>
                <w:bCs w:val="0"/>
                <w:color w:val="auto"/>
                <w:sz w:val="24"/>
                <w:highlight w:val="none"/>
              </w:rPr>
            </w:pPr>
          </w:p>
        </w:tc>
        <w:tc>
          <w:tcPr>
            <w:tcW w:w="5054" w:type="dxa"/>
            <w:noWrap w:val="0"/>
            <w:tcMar>
              <w:top w:w="85" w:type="dxa"/>
              <w:bottom w:w="85" w:type="dxa"/>
            </w:tcMar>
            <w:vAlign w:val="center"/>
          </w:tcPr>
          <w:p w14:paraId="78C0E19D">
            <w:pPr>
              <w:snapToGrid w:val="0"/>
              <w:spacing w:line="360" w:lineRule="exact"/>
              <w:ind w:firstLine="440"/>
              <w:rPr>
                <w:rFonts w:hint="default" w:ascii="Times New Roman" w:hAnsi="Times New Roman" w:eastAsia="宋体" w:cs="Times New Roman"/>
                <w:b w:val="0"/>
                <w:bCs w:val="0"/>
                <w:color w:val="auto"/>
                <w:sz w:val="22"/>
                <w:szCs w:val="22"/>
                <w:highlight w:val="none"/>
              </w:rPr>
            </w:pPr>
            <w:r>
              <w:rPr>
                <w:rFonts w:hint="default" w:ascii="Times New Roman" w:hAnsi="Times New Roman" w:eastAsia="宋体" w:cs="Times New Roman"/>
                <w:b w:val="0"/>
                <w:bCs w:val="0"/>
                <w:color w:val="auto"/>
                <w:sz w:val="22"/>
                <w:szCs w:val="22"/>
                <w:highlight w:val="none"/>
                <w:lang w:val="en-US" w:eastAsia="zh-CN"/>
              </w:rPr>
              <w:t>近三年的中标书、新签合同备案</w:t>
            </w:r>
            <w:r>
              <w:rPr>
                <w:rFonts w:hint="default" w:ascii="Times New Roman" w:hAnsi="Times New Roman" w:cs="Times New Roman"/>
                <w:b w:val="0"/>
                <w:bCs w:val="0"/>
                <w:color w:val="auto"/>
                <w:sz w:val="22"/>
                <w:szCs w:val="22"/>
                <w:highlight w:val="none"/>
                <w:lang w:val="en-US" w:eastAsia="zh-CN"/>
              </w:rPr>
              <w:t>。</w:t>
            </w:r>
          </w:p>
        </w:tc>
      </w:tr>
      <w:tr w14:paraId="3B09154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820" w:hRule="atLeast"/>
          <w:jc w:val="center"/>
        </w:trPr>
        <w:tc>
          <w:tcPr>
            <w:tcW w:w="1559" w:type="dxa"/>
            <w:vMerge w:val="continue"/>
            <w:noWrap w:val="0"/>
            <w:vAlign w:val="top"/>
          </w:tcPr>
          <w:p w14:paraId="778EBC84">
            <w:pPr>
              <w:spacing w:line="520" w:lineRule="exact"/>
              <w:ind w:firstLine="420"/>
              <w:rPr>
                <w:rFonts w:hint="default" w:ascii="Times New Roman" w:hAnsi="Times New Roman" w:eastAsia="宋体" w:cs="Times New Roman"/>
                <w:color w:val="auto"/>
                <w:sz w:val="21"/>
                <w:highlight w:val="none"/>
              </w:rPr>
            </w:pPr>
          </w:p>
        </w:tc>
        <w:tc>
          <w:tcPr>
            <w:tcW w:w="2127" w:type="dxa"/>
            <w:noWrap w:val="0"/>
            <w:vAlign w:val="center"/>
          </w:tcPr>
          <w:p w14:paraId="5D091750">
            <w:pPr>
              <w:spacing w:line="360" w:lineRule="exact"/>
              <w:ind w:firstLine="0" w:firstLineChars="0"/>
              <w:rPr>
                <w:rFonts w:hint="default" w:ascii="Times New Roman" w:hAnsi="Times New Roman" w:eastAsia="宋体" w:cs="Times New Roman"/>
                <w:color w:val="auto"/>
                <w:sz w:val="24"/>
                <w:highlight w:val="none"/>
              </w:rPr>
            </w:pPr>
            <w:r>
              <w:rPr>
                <w:rFonts w:hint="default" w:ascii="Times New Roman" w:hAnsi="Times New Roman" w:cs="Times New Roman"/>
                <w:color w:val="auto"/>
                <w:sz w:val="24"/>
                <w:highlight w:val="none"/>
                <w:lang w:val="en-US" w:eastAsia="zh-CN"/>
              </w:rPr>
              <w:t>3</w:t>
            </w:r>
            <w:r>
              <w:rPr>
                <w:rFonts w:hint="default" w:ascii="Times New Roman" w:hAnsi="Times New Roman" w:eastAsia="宋体" w:cs="Times New Roman"/>
                <w:color w:val="auto"/>
                <w:sz w:val="24"/>
                <w:highlight w:val="none"/>
              </w:rPr>
              <w:t>、纳税情况</w:t>
            </w:r>
          </w:p>
        </w:tc>
        <w:tc>
          <w:tcPr>
            <w:tcW w:w="3446" w:type="dxa"/>
            <w:noWrap w:val="0"/>
            <w:vAlign w:val="center"/>
          </w:tcPr>
          <w:p w14:paraId="3BE2898F">
            <w:pPr>
              <w:spacing w:line="320" w:lineRule="exact"/>
              <w:ind w:firstLine="0" w:firstLineChars="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无违规行为并符合相应的资质标准</w:t>
            </w:r>
          </w:p>
        </w:tc>
        <w:tc>
          <w:tcPr>
            <w:tcW w:w="850" w:type="dxa"/>
            <w:noWrap w:val="0"/>
            <w:vAlign w:val="center"/>
          </w:tcPr>
          <w:p w14:paraId="635B98BC">
            <w:pPr>
              <w:spacing w:line="320" w:lineRule="exact"/>
              <w:ind w:firstLine="0" w:firstLineChars="0"/>
              <w:jc w:val="center"/>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2分</w:t>
            </w:r>
          </w:p>
        </w:tc>
        <w:tc>
          <w:tcPr>
            <w:tcW w:w="879" w:type="dxa"/>
            <w:noWrap w:val="0"/>
            <w:vAlign w:val="center"/>
          </w:tcPr>
          <w:p w14:paraId="46250586">
            <w:pPr>
              <w:spacing w:line="320" w:lineRule="exact"/>
              <w:ind w:firstLine="480"/>
              <w:jc w:val="center"/>
              <w:rPr>
                <w:rFonts w:hint="default" w:ascii="Times New Roman" w:hAnsi="Times New Roman" w:eastAsia="宋体" w:cs="Times New Roman"/>
                <w:color w:val="auto"/>
                <w:sz w:val="24"/>
                <w:highlight w:val="none"/>
              </w:rPr>
            </w:pPr>
          </w:p>
        </w:tc>
        <w:tc>
          <w:tcPr>
            <w:tcW w:w="5054" w:type="dxa"/>
            <w:noWrap w:val="0"/>
            <w:tcMar>
              <w:top w:w="85" w:type="dxa"/>
              <w:bottom w:w="85" w:type="dxa"/>
            </w:tcMar>
            <w:vAlign w:val="center"/>
          </w:tcPr>
          <w:p w14:paraId="79A49EFD">
            <w:pPr>
              <w:snapToGrid w:val="0"/>
              <w:spacing w:line="360" w:lineRule="exact"/>
              <w:ind w:firstLine="440"/>
              <w:rPr>
                <w:rFonts w:hint="default" w:ascii="Times New Roman" w:hAnsi="Times New Roman" w:eastAsia="宋体" w:cs="Times New Roman"/>
                <w:color w:val="auto"/>
                <w:sz w:val="22"/>
                <w:szCs w:val="22"/>
                <w:highlight w:val="none"/>
                <w:lang w:eastAsia="zh-CN"/>
              </w:rPr>
            </w:pPr>
            <w:r>
              <w:rPr>
                <w:rFonts w:hint="default" w:ascii="Times New Roman" w:hAnsi="Times New Roman" w:eastAsia="宋体" w:cs="Times New Roman"/>
                <w:color w:val="auto"/>
                <w:sz w:val="22"/>
                <w:szCs w:val="22"/>
                <w:highlight w:val="none"/>
              </w:rPr>
              <w:t>企业依法按时、足额纳税的得2分，出现欠税、漏税行为及未达到相应资质标准的，每降低5%减0.5分，减完为止。</w:t>
            </w:r>
          </w:p>
        </w:tc>
      </w:tr>
      <w:tr w14:paraId="1B8AFD6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1254" w:hRule="atLeast"/>
          <w:jc w:val="center"/>
        </w:trPr>
        <w:tc>
          <w:tcPr>
            <w:tcW w:w="1559" w:type="dxa"/>
            <w:vMerge w:val="continue"/>
            <w:noWrap w:val="0"/>
            <w:vAlign w:val="top"/>
          </w:tcPr>
          <w:p w14:paraId="4616FB8F">
            <w:pPr>
              <w:spacing w:line="520" w:lineRule="exact"/>
              <w:ind w:firstLine="420"/>
              <w:rPr>
                <w:rFonts w:hint="default" w:ascii="Times New Roman" w:hAnsi="Times New Roman" w:eastAsia="宋体" w:cs="Times New Roman"/>
                <w:color w:val="auto"/>
                <w:sz w:val="21"/>
                <w:highlight w:val="none"/>
              </w:rPr>
            </w:pPr>
          </w:p>
        </w:tc>
        <w:tc>
          <w:tcPr>
            <w:tcW w:w="2127" w:type="dxa"/>
            <w:noWrap w:val="0"/>
            <w:vAlign w:val="center"/>
          </w:tcPr>
          <w:p w14:paraId="55873823">
            <w:pPr>
              <w:spacing w:line="320" w:lineRule="exact"/>
              <w:ind w:firstLine="0" w:firstLineChars="0"/>
              <w:rPr>
                <w:rFonts w:hint="default" w:ascii="Times New Roman" w:hAnsi="Times New Roman" w:eastAsia="宋体" w:cs="Times New Roman"/>
                <w:color w:val="auto"/>
                <w:sz w:val="24"/>
                <w:highlight w:val="none"/>
              </w:rPr>
            </w:pPr>
            <w:r>
              <w:rPr>
                <w:rFonts w:hint="default" w:ascii="Times New Roman" w:hAnsi="Times New Roman" w:cs="Times New Roman"/>
                <w:color w:val="auto"/>
                <w:sz w:val="24"/>
                <w:highlight w:val="none"/>
                <w:lang w:val="en-US" w:eastAsia="zh-CN"/>
              </w:rPr>
              <w:t>4</w:t>
            </w:r>
            <w:r>
              <w:rPr>
                <w:rFonts w:hint="default" w:ascii="Times New Roman" w:hAnsi="Times New Roman" w:eastAsia="宋体" w:cs="Times New Roman"/>
                <w:color w:val="auto"/>
                <w:sz w:val="24"/>
                <w:highlight w:val="none"/>
              </w:rPr>
              <w:t>、劳动生产率</w:t>
            </w:r>
          </w:p>
        </w:tc>
        <w:tc>
          <w:tcPr>
            <w:tcW w:w="3446" w:type="dxa"/>
            <w:noWrap w:val="0"/>
            <w:vAlign w:val="center"/>
          </w:tcPr>
          <w:p w14:paraId="0ABB9BCC">
            <w:pPr>
              <w:spacing w:line="320" w:lineRule="exact"/>
              <w:ind w:firstLine="0" w:firstLineChars="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2"/>
                <w:szCs w:val="22"/>
                <w:highlight w:val="none"/>
              </w:rPr>
              <w:t>按企业自有职工计算人均产值达到30</w:t>
            </w:r>
            <w:r>
              <w:rPr>
                <w:rFonts w:hint="default" w:ascii="Times New Roman" w:hAnsi="Times New Roman" w:eastAsia="宋体" w:cs="Times New Roman"/>
                <w:color w:val="auto"/>
                <w:sz w:val="22"/>
                <w:szCs w:val="22"/>
                <w:highlight w:val="none"/>
                <w:lang w:val="en-US" w:eastAsia="zh-CN"/>
              </w:rPr>
              <w:t>0</w:t>
            </w:r>
            <w:r>
              <w:rPr>
                <w:rFonts w:hint="default" w:ascii="Times New Roman" w:hAnsi="Times New Roman" w:eastAsia="宋体" w:cs="Times New Roman"/>
                <w:color w:val="auto"/>
                <w:sz w:val="22"/>
                <w:szCs w:val="22"/>
                <w:highlight w:val="none"/>
              </w:rPr>
              <w:t>万元人民币得2分，每降低5万减0.5分，减完为止。</w:t>
            </w:r>
          </w:p>
        </w:tc>
        <w:tc>
          <w:tcPr>
            <w:tcW w:w="850" w:type="dxa"/>
            <w:noWrap w:val="0"/>
            <w:vAlign w:val="center"/>
          </w:tcPr>
          <w:p w14:paraId="4732E961">
            <w:pPr>
              <w:spacing w:line="320" w:lineRule="exact"/>
              <w:ind w:firstLine="0" w:firstLineChars="0"/>
              <w:jc w:val="center"/>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2分</w:t>
            </w:r>
          </w:p>
        </w:tc>
        <w:tc>
          <w:tcPr>
            <w:tcW w:w="879" w:type="dxa"/>
            <w:noWrap w:val="0"/>
            <w:vAlign w:val="center"/>
          </w:tcPr>
          <w:p w14:paraId="0A831C97">
            <w:pPr>
              <w:spacing w:line="320" w:lineRule="exact"/>
              <w:ind w:firstLine="480"/>
              <w:jc w:val="center"/>
              <w:rPr>
                <w:rFonts w:hint="default" w:ascii="Times New Roman" w:hAnsi="Times New Roman" w:eastAsia="宋体" w:cs="Times New Roman"/>
                <w:color w:val="auto"/>
                <w:sz w:val="24"/>
                <w:highlight w:val="none"/>
              </w:rPr>
            </w:pPr>
          </w:p>
        </w:tc>
        <w:tc>
          <w:tcPr>
            <w:tcW w:w="5054" w:type="dxa"/>
            <w:noWrap w:val="0"/>
            <w:tcMar>
              <w:top w:w="85" w:type="dxa"/>
              <w:bottom w:w="85" w:type="dxa"/>
            </w:tcMar>
            <w:vAlign w:val="center"/>
          </w:tcPr>
          <w:p w14:paraId="0B114F4E">
            <w:pPr>
              <w:snapToGrid w:val="0"/>
              <w:spacing w:line="360" w:lineRule="exact"/>
              <w:ind w:firstLine="440"/>
              <w:rPr>
                <w:rFonts w:hint="default" w:ascii="Times New Roman" w:hAnsi="Times New Roman" w:eastAsia="宋体" w:cs="Times New Roman"/>
                <w:color w:val="auto"/>
                <w:sz w:val="22"/>
                <w:szCs w:val="22"/>
                <w:highlight w:val="none"/>
              </w:rPr>
            </w:pPr>
            <w:r>
              <w:rPr>
                <w:rFonts w:hint="default" w:ascii="Times New Roman" w:hAnsi="Times New Roman" w:eastAsia="宋体" w:cs="Times New Roman"/>
                <w:color w:val="auto"/>
                <w:sz w:val="22"/>
                <w:szCs w:val="22"/>
                <w:highlight w:val="none"/>
                <w:lang w:val="en-US" w:eastAsia="zh-CN"/>
              </w:rPr>
              <w:t>企业所有职工劳动生产的效率；提供员工花名册和营业收入账册</w:t>
            </w:r>
            <w:r>
              <w:rPr>
                <w:rFonts w:hint="default" w:ascii="Times New Roman" w:hAnsi="Times New Roman" w:cs="Times New Roman"/>
                <w:color w:val="auto"/>
                <w:sz w:val="22"/>
                <w:szCs w:val="22"/>
                <w:highlight w:val="none"/>
                <w:lang w:val="en-US" w:eastAsia="zh-CN"/>
              </w:rPr>
              <w:t>。</w:t>
            </w:r>
          </w:p>
        </w:tc>
      </w:tr>
      <w:tr w14:paraId="3A2B12A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969" w:hRule="atLeast"/>
          <w:jc w:val="center"/>
        </w:trPr>
        <w:tc>
          <w:tcPr>
            <w:tcW w:w="1559" w:type="dxa"/>
            <w:vMerge w:val="continue"/>
            <w:noWrap w:val="0"/>
            <w:vAlign w:val="top"/>
          </w:tcPr>
          <w:p w14:paraId="57C1ED00">
            <w:pPr>
              <w:spacing w:line="520" w:lineRule="exact"/>
              <w:ind w:firstLine="420"/>
              <w:rPr>
                <w:rFonts w:hint="default" w:ascii="Times New Roman" w:hAnsi="Times New Roman" w:eastAsia="宋体" w:cs="Times New Roman"/>
                <w:color w:val="auto"/>
                <w:sz w:val="21"/>
                <w:highlight w:val="none"/>
              </w:rPr>
            </w:pPr>
          </w:p>
        </w:tc>
        <w:tc>
          <w:tcPr>
            <w:tcW w:w="2127" w:type="dxa"/>
            <w:noWrap w:val="0"/>
            <w:vAlign w:val="center"/>
          </w:tcPr>
          <w:p w14:paraId="2ADC6FAF">
            <w:pPr>
              <w:spacing w:line="320" w:lineRule="exact"/>
              <w:ind w:firstLine="0" w:firstLineChars="0"/>
              <w:rPr>
                <w:rFonts w:hint="default" w:ascii="Times New Roman" w:hAnsi="Times New Roman" w:eastAsia="宋体" w:cs="Times New Roman"/>
                <w:color w:val="auto"/>
                <w:sz w:val="24"/>
                <w:highlight w:val="none"/>
              </w:rPr>
            </w:pPr>
            <w:r>
              <w:rPr>
                <w:rFonts w:hint="default" w:ascii="Times New Roman" w:hAnsi="Times New Roman" w:cs="Times New Roman"/>
                <w:color w:val="auto"/>
                <w:sz w:val="24"/>
                <w:highlight w:val="none"/>
                <w:lang w:val="en-US" w:eastAsia="zh-CN"/>
              </w:rPr>
              <w:t>5</w:t>
            </w:r>
            <w:r>
              <w:rPr>
                <w:rFonts w:hint="default" w:ascii="Times New Roman" w:hAnsi="Times New Roman" w:eastAsia="宋体" w:cs="Times New Roman"/>
                <w:color w:val="auto"/>
                <w:sz w:val="24"/>
                <w:highlight w:val="none"/>
              </w:rPr>
              <w:t>、净资产收益率</w:t>
            </w:r>
          </w:p>
        </w:tc>
        <w:tc>
          <w:tcPr>
            <w:tcW w:w="3446" w:type="dxa"/>
            <w:noWrap w:val="0"/>
            <w:vAlign w:val="center"/>
          </w:tcPr>
          <w:p w14:paraId="4BBE80CE">
            <w:pPr>
              <w:spacing w:line="320" w:lineRule="exact"/>
              <w:ind w:firstLine="0" w:firstLineChars="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大于5%</w:t>
            </w:r>
          </w:p>
        </w:tc>
        <w:tc>
          <w:tcPr>
            <w:tcW w:w="850" w:type="dxa"/>
            <w:noWrap w:val="0"/>
            <w:vAlign w:val="center"/>
          </w:tcPr>
          <w:p w14:paraId="0650084B">
            <w:pPr>
              <w:spacing w:line="320" w:lineRule="exact"/>
              <w:ind w:firstLine="0" w:firstLineChars="0"/>
              <w:jc w:val="center"/>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2分</w:t>
            </w:r>
          </w:p>
        </w:tc>
        <w:tc>
          <w:tcPr>
            <w:tcW w:w="879" w:type="dxa"/>
            <w:noWrap w:val="0"/>
            <w:vAlign w:val="center"/>
          </w:tcPr>
          <w:p w14:paraId="55297432">
            <w:pPr>
              <w:spacing w:line="320" w:lineRule="exact"/>
              <w:ind w:firstLine="480"/>
              <w:jc w:val="center"/>
              <w:rPr>
                <w:rFonts w:hint="default" w:ascii="Times New Roman" w:hAnsi="Times New Roman" w:eastAsia="宋体" w:cs="Times New Roman"/>
                <w:color w:val="auto"/>
                <w:sz w:val="24"/>
                <w:highlight w:val="none"/>
              </w:rPr>
            </w:pPr>
          </w:p>
        </w:tc>
        <w:tc>
          <w:tcPr>
            <w:tcW w:w="5054" w:type="dxa"/>
            <w:noWrap w:val="0"/>
            <w:tcMar>
              <w:top w:w="85" w:type="dxa"/>
              <w:bottom w:w="85" w:type="dxa"/>
            </w:tcMar>
            <w:vAlign w:val="center"/>
          </w:tcPr>
          <w:p w14:paraId="0818BEA7">
            <w:pPr>
              <w:snapToGrid w:val="0"/>
              <w:spacing w:line="360" w:lineRule="exact"/>
              <w:ind w:firstLine="440"/>
              <w:rPr>
                <w:rFonts w:hint="default" w:ascii="Times New Roman" w:hAnsi="Times New Roman" w:eastAsia="宋体" w:cs="Times New Roman"/>
                <w:color w:val="auto"/>
                <w:sz w:val="22"/>
                <w:szCs w:val="22"/>
                <w:highlight w:val="none"/>
              </w:rPr>
            </w:pPr>
            <w:r>
              <w:rPr>
                <w:rFonts w:hint="default" w:ascii="Times New Roman" w:hAnsi="Times New Roman" w:eastAsia="宋体" w:cs="Times New Roman"/>
                <w:color w:val="auto"/>
                <w:sz w:val="22"/>
                <w:szCs w:val="22"/>
                <w:highlight w:val="none"/>
              </w:rPr>
              <w:t>净资产收益率大于5%者得2分，每降低1%减0.5分，减完为止。</w:t>
            </w:r>
          </w:p>
        </w:tc>
      </w:tr>
      <w:tr w14:paraId="4541A4D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1559" w:type="dxa"/>
            <w:vMerge w:val="continue"/>
            <w:noWrap w:val="0"/>
            <w:vAlign w:val="top"/>
          </w:tcPr>
          <w:p w14:paraId="507F73C4">
            <w:pPr>
              <w:spacing w:line="520" w:lineRule="exact"/>
              <w:ind w:firstLine="420"/>
              <w:rPr>
                <w:rFonts w:hint="default" w:ascii="Times New Roman" w:hAnsi="Times New Roman" w:eastAsia="宋体" w:cs="Times New Roman"/>
                <w:color w:val="auto"/>
                <w:sz w:val="21"/>
                <w:highlight w:val="none"/>
              </w:rPr>
            </w:pPr>
          </w:p>
        </w:tc>
        <w:tc>
          <w:tcPr>
            <w:tcW w:w="2127" w:type="dxa"/>
            <w:noWrap w:val="0"/>
            <w:vAlign w:val="center"/>
          </w:tcPr>
          <w:p w14:paraId="6E2C4880">
            <w:pPr>
              <w:spacing w:line="320" w:lineRule="exact"/>
              <w:ind w:firstLine="0" w:firstLineChars="0"/>
              <w:rPr>
                <w:rFonts w:hint="default" w:ascii="Times New Roman" w:hAnsi="Times New Roman" w:eastAsia="宋体" w:cs="Times New Roman"/>
                <w:color w:val="auto"/>
                <w:sz w:val="24"/>
                <w:highlight w:val="none"/>
              </w:rPr>
            </w:pPr>
            <w:r>
              <w:rPr>
                <w:rFonts w:hint="default" w:ascii="Times New Roman" w:hAnsi="Times New Roman" w:cs="Times New Roman"/>
                <w:color w:val="auto"/>
                <w:sz w:val="24"/>
                <w:highlight w:val="none"/>
                <w:lang w:val="en-US" w:eastAsia="zh-CN"/>
              </w:rPr>
              <w:t>6</w:t>
            </w:r>
            <w:r>
              <w:rPr>
                <w:rFonts w:hint="default" w:ascii="Times New Roman" w:hAnsi="Times New Roman" w:eastAsia="宋体" w:cs="Times New Roman"/>
                <w:color w:val="auto"/>
                <w:sz w:val="24"/>
                <w:highlight w:val="none"/>
              </w:rPr>
              <w:t>、资产负债率</w:t>
            </w:r>
          </w:p>
        </w:tc>
        <w:tc>
          <w:tcPr>
            <w:tcW w:w="3446" w:type="dxa"/>
            <w:noWrap w:val="0"/>
            <w:vAlign w:val="center"/>
          </w:tcPr>
          <w:p w14:paraId="6EA6141A">
            <w:pPr>
              <w:spacing w:line="320" w:lineRule="exact"/>
              <w:ind w:firstLine="0" w:firstLineChars="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小于80%</w:t>
            </w:r>
          </w:p>
        </w:tc>
        <w:tc>
          <w:tcPr>
            <w:tcW w:w="850" w:type="dxa"/>
            <w:noWrap w:val="0"/>
            <w:vAlign w:val="center"/>
          </w:tcPr>
          <w:p w14:paraId="21EBA3D5">
            <w:pPr>
              <w:spacing w:line="320" w:lineRule="exact"/>
              <w:ind w:firstLine="0" w:firstLineChars="0"/>
              <w:jc w:val="center"/>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2分</w:t>
            </w:r>
          </w:p>
        </w:tc>
        <w:tc>
          <w:tcPr>
            <w:tcW w:w="879" w:type="dxa"/>
            <w:noWrap w:val="0"/>
            <w:vAlign w:val="center"/>
          </w:tcPr>
          <w:p w14:paraId="5788CE68">
            <w:pPr>
              <w:spacing w:line="320" w:lineRule="exact"/>
              <w:ind w:firstLine="480"/>
              <w:jc w:val="center"/>
              <w:rPr>
                <w:rFonts w:hint="default" w:ascii="Times New Roman" w:hAnsi="Times New Roman" w:eastAsia="宋体" w:cs="Times New Roman"/>
                <w:color w:val="auto"/>
                <w:sz w:val="24"/>
                <w:highlight w:val="none"/>
              </w:rPr>
            </w:pPr>
          </w:p>
        </w:tc>
        <w:tc>
          <w:tcPr>
            <w:tcW w:w="5054" w:type="dxa"/>
            <w:noWrap w:val="0"/>
            <w:tcMar>
              <w:top w:w="85" w:type="dxa"/>
              <w:bottom w:w="85" w:type="dxa"/>
            </w:tcMar>
            <w:vAlign w:val="center"/>
          </w:tcPr>
          <w:p w14:paraId="19572E8F">
            <w:pPr>
              <w:snapToGrid w:val="0"/>
              <w:spacing w:line="360" w:lineRule="exact"/>
              <w:ind w:firstLine="440"/>
              <w:rPr>
                <w:rFonts w:hint="default" w:ascii="Times New Roman" w:hAnsi="Times New Roman" w:eastAsia="宋体" w:cs="Times New Roman"/>
                <w:color w:val="auto"/>
                <w:sz w:val="22"/>
                <w:szCs w:val="22"/>
                <w:highlight w:val="none"/>
              </w:rPr>
            </w:pPr>
            <w:r>
              <w:rPr>
                <w:rFonts w:hint="default" w:ascii="Times New Roman" w:hAnsi="Times New Roman" w:eastAsia="宋体" w:cs="Times New Roman"/>
                <w:color w:val="auto"/>
                <w:sz w:val="22"/>
                <w:szCs w:val="22"/>
                <w:highlight w:val="none"/>
              </w:rPr>
              <w:t>资产负债率小于80%者得2分，每增加5%减1分，减完为止。</w:t>
            </w:r>
          </w:p>
        </w:tc>
      </w:tr>
      <w:tr w14:paraId="5152D28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911" w:hRule="atLeast"/>
          <w:jc w:val="center"/>
        </w:trPr>
        <w:tc>
          <w:tcPr>
            <w:tcW w:w="1559" w:type="dxa"/>
            <w:vMerge w:val="continue"/>
            <w:noWrap w:val="0"/>
            <w:vAlign w:val="top"/>
          </w:tcPr>
          <w:p w14:paraId="0B842279">
            <w:pPr>
              <w:spacing w:line="520" w:lineRule="exact"/>
              <w:ind w:firstLine="420"/>
              <w:rPr>
                <w:rFonts w:hint="default" w:ascii="Times New Roman" w:hAnsi="Times New Roman" w:eastAsia="宋体" w:cs="Times New Roman"/>
                <w:color w:val="auto"/>
                <w:sz w:val="21"/>
                <w:highlight w:val="none"/>
              </w:rPr>
            </w:pPr>
          </w:p>
        </w:tc>
        <w:tc>
          <w:tcPr>
            <w:tcW w:w="2127" w:type="dxa"/>
            <w:noWrap w:val="0"/>
            <w:vAlign w:val="center"/>
          </w:tcPr>
          <w:p w14:paraId="65784FCB">
            <w:pPr>
              <w:spacing w:line="320" w:lineRule="exact"/>
              <w:ind w:firstLine="0" w:firstLineChars="0"/>
              <w:rPr>
                <w:rFonts w:hint="default" w:ascii="Times New Roman" w:hAnsi="Times New Roman" w:eastAsia="宋体" w:cs="Times New Roman"/>
                <w:color w:val="auto"/>
                <w:sz w:val="24"/>
                <w:highlight w:val="none"/>
              </w:rPr>
            </w:pPr>
            <w:r>
              <w:rPr>
                <w:rFonts w:hint="default" w:ascii="Times New Roman" w:hAnsi="Times New Roman" w:cs="Times New Roman"/>
                <w:color w:val="auto"/>
                <w:sz w:val="24"/>
                <w:highlight w:val="none"/>
                <w:lang w:val="en-US" w:eastAsia="zh-CN"/>
              </w:rPr>
              <w:t>7</w:t>
            </w:r>
            <w:r>
              <w:rPr>
                <w:rFonts w:hint="default" w:ascii="Times New Roman" w:hAnsi="Times New Roman" w:eastAsia="宋体" w:cs="Times New Roman"/>
                <w:color w:val="auto"/>
                <w:sz w:val="24"/>
                <w:highlight w:val="none"/>
              </w:rPr>
              <w:t>、产值利润率</w:t>
            </w:r>
          </w:p>
        </w:tc>
        <w:tc>
          <w:tcPr>
            <w:tcW w:w="3446" w:type="dxa"/>
            <w:noWrap w:val="0"/>
            <w:vAlign w:val="center"/>
          </w:tcPr>
          <w:p w14:paraId="7FAEA485">
            <w:pPr>
              <w:spacing w:line="320" w:lineRule="exact"/>
              <w:ind w:firstLine="0" w:firstLineChars="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大于2%</w:t>
            </w:r>
          </w:p>
        </w:tc>
        <w:tc>
          <w:tcPr>
            <w:tcW w:w="850" w:type="dxa"/>
            <w:noWrap w:val="0"/>
            <w:vAlign w:val="center"/>
          </w:tcPr>
          <w:p w14:paraId="6B1BEA04">
            <w:pPr>
              <w:spacing w:line="320" w:lineRule="exact"/>
              <w:ind w:firstLine="0" w:firstLineChars="0"/>
              <w:jc w:val="center"/>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2分</w:t>
            </w:r>
          </w:p>
        </w:tc>
        <w:tc>
          <w:tcPr>
            <w:tcW w:w="879" w:type="dxa"/>
            <w:noWrap w:val="0"/>
            <w:vAlign w:val="center"/>
          </w:tcPr>
          <w:p w14:paraId="4B49746D">
            <w:pPr>
              <w:spacing w:line="320" w:lineRule="exact"/>
              <w:ind w:firstLine="480"/>
              <w:jc w:val="center"/>
              <w:rPr>
                <w:rFonts w:hint="default" w:ascii="Times New Roman" w:hAnsi="Times New Roman" w:eastAsia="宋体" w:cs="Times New Roman"/>
                <w:color w:val="auto"/>
                <w:sz w:val="24"/>
                <w:highlight w:val="none"/>
              </w:rPr>
            </w:pPr>
          </w:p>
        </w:tc>
        <w:tc>
          <w:tcPr>
            <w:tcW w:w="5054" w:type="dxa"/>
            <w:noWrap w:val="0"/>
            <w:tcMar>
              <w:top w:w="85" w:type="dxa"/>
              <w:bottom w:w="85" w:type="dxa"/>
            </w:tcMar>
            <w:vAlign w:val="center"/>
          </w:tcPr>
          <w:p w14:paraId="2DF355DF">
            <w:pPr>
              <w:snapToGrid w:val="0"/>
              <w:spacing w:line="360" w:lineRule="exact"/>
              <w:ind w:firstLine="440"/>
              <w:rPr>
                <w:rFonts w:hint="default" w:ascii="Times New Roman" w:hAnsi="Times New Roman" w:eastAsia="宋体" w:cs="Times New Roman"/>
                <w:color w:val="auto"/>
                <w:sz w:val="22"/>
                <w:szCs w:val="22"/>
                <w:highlight w:val="none"/>
              </w:rPr>
            </w:pPr>
            <w:r>
              <w:rPr>
                <w:rFonts w:hint="default" w:ascii="Times New Roman" w:hAnsi="Times New Roman" w:eastAsia="宋体" w:cs="Times New Roman"/>
                <w:color w:val="auto"/>
                <w:sz w:val="22"/>
                <w:szCs w:val="22"/>
                <w:highlight w:val="none"/>
              </w:rPr>
              <w:t>产值利润率大于2%者得2分，每减少0.5%减0.5分，减完为止。</w:t>
            </w:r>
          </w:p>
        </w:tc>
      </w:tr>
      <w:tr w14:paraId="4084F27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979" w:hRule="atLeast"/>
          <w:jc w:val="center"/>
        </w:trPr>
        <w:tc>
          <w:tcPr>
            <w:tcW w:w="1559" w:type="dxa"/>
            <w:vMerge w:val="continue"/>
            <w:noWrap w:val="0"/>
            <w:vAlign w:val="top"/>
          </w:tcPr>
          <w:p w14:paraId="09F79AF7">
            <w:pPr>
              <w:spacing w:line="520" w:lineRule="exact"/>
              <w:ind w:firstLine="420"/>
              <w:rPr>
                <w:rFonts w:hint="default" w:ascii="Times New Roman" w:hAnsi="Times New Roman" w:eastAsia="宋体" w:cs="Times New Roman"/>
                <w:color w:val="auto"/>
                <w:sz w:val="21"/>
                <w:highlight w:val="none"/>
              </w:rPr>
            </w:pPr>
          </w:p>
        </w:tc>
        <w:tc>
          <w:tcPr>
            <w:tcW w:w="2127" w:type="dxa"/>
            <w:noWrap w:val="0"/>
            <w:vAlign w:val="center"/>
          </w:tcPr>
          <w:p w14:paraId="3CDAFF50">
            <w:pPr>
              <w:spacing w:line="320" w:lineRule="exact"/>
              <w:ind w:firstLine="0" w:firstLineChars="0"/>
              <w:rPr>
                <w:rFonts w:hint="default" w:ascii="Times New Roman" w:hAnsi="Times New Roman" w:eastAsia="宋体" w:cs="Times New Roman"/>
                <w:color w:val="auto"/>
                <w:sz w:val="24"/>
                <w:highlight w:val="none"/>
                <w:lang w:val="en-US" w:eastAsia="zh-CN"/>
              </w:rPr>
            </w:pPr>
            <w:r>
              <w:rPr>
                <w:rFonts w:hint="default" w:ascii="Times New Roman" w:hAnsi="Times New Roman" w:cs="Times New Roman"/>
                <w:color w:val="auto"/>
                <w:sz w:val="24"/>
                <w:highlight w:val="none"/>
                <w:lang w:val="en-US" w:eastAsia="zh-CN"/>
              </w:rPr>
              <w:t>8</w:t>
            </w:r>
            <w:r>
              <w:rPr>
                <w:rFonts w:hint="default" w:ascii="Times New Roman" w:hAnsi="Times New Roman" w:eastAsia="宋体" w:cs="Times New Roman"/>
                <w:color w:val="auto"/>
                <w:sz w:val="24"/>
                <w:highlight w:val="none"/>
                <w:lang w:val="en-US" w:eastAsia="zh-CN"/>
              </w:rPr>
              <w:t>、合同储备</w:t>
            </w:r>
          </w:p>
        </w:tc>
        <w:tc>
          <w:tcPr>
            <w:tcW w:w="3446" w:type="dxa"/>
            <w:noWrap w:val="0"/>
            <w:vAlign w:val="center"/>
          </w:tcPr>
          <w:p w14:paraId="1E0AF661">
            <w:pPr>
              <w:spacing w:line="320" w:lineRule="exact"/>
              <w:ind w:firstLine="0" w:firstLineChars="0"/>
              <w:rPr>
                <w:rFonts w:hint="default" w:ascii="Times New Roman" w:hAnsi="Times New Roman" w:eastAsia="宋体" w:cs="Times New Roman"/>
                <w:color w:val="auto"/>
                <w:sz w:val="24"/>
                <w:highlight w:val="none"/>
                <w:lang w:val="en-US" w:eastAsia="zh-CN"/>
              </w:rPr>
            </w:pPr>
            <w:r>
              <w:rPr>
                <w:rFonts w:hint="default" w:ascii="Times New Roman" w:hAnsi="Times New Roman" w:eastAsia="宋体" w:cs="Times New Roman"/>
                <w:color w:val="auto"/>
                <w:sz w:val="24"/>
                <w:highlight w:val="none"/>
                <w:lang w:val="en-US" w:eastAsia="zh-CN"/>
              </w:rPr>
              <w:t>合同储备大与营业收入</w:t>
            </w:r>
          </w:p>
        </w:tc>
        <w:tc>
          <w:tcPr>
            <w:tcW w:w="850" w:type="dxa"/>
            <w:noWrap w:val="0"/>
            <w:vAlign w:val="center"/>
          </w:tcPr>
          <w:p w14:paraId="03D96C1D">
            <w:pPr>
              <w:spacing w:line="320" w:lineRule="exact"/>
              <w:ind w:firstLine="0" w:firstLineChars="0"/>
              <w:jc w:val="center"/>
              <w:rPr>
                <w:rFonts w:hint="default" w:ascii="Times New Roman" w:hAnsi="Times New Roman" w:eastAsia="宋体" w:cs="Times New Roman"/>
                <w:color w:val="auto"/>
                <w:sz w:val="24"/>
                <w:highlight w:val="none"/>
                <w:lang w:val="en-US" w:eastAsia="zh-CN"/>
              </w:rPr>
            </w:pPr>
            <w:r>
              <w:rPr>
                <w:rFonts w:hint="default" w:ascii="Times New Roman" w:hAnsi="Times New Roman" w:eastAsia="宋体" w:cs="Times New Roman"/>
                <w:color w:val="auto"/>
                <w:sz w:val="24"/>
                <w:highlight w:val="none"/>
                <w:lang w:val="en-US" w:eastAsia="zh-CN"/>
              </w:rPr>
              <w:t>3分</w:t>
            </w:r>
          </w:p>
        </w:tc>
        <w:tc>
          <w:tcPr>
            <w:tcW w:w="879" w:type="dxa"/>
            <w:noWrap w:val="0"/>
            <w:vAlign w:val="center"/>
          </w:tcPr>
          <w:p w14:paraId="1EC6FAE8">
            <w:pPr>
              <w:spacing w:line="320" w:lineRule="exact"/>
              <w:ind w:firstLine="480"/>
              <w:jc w:val="center"/>
              <w:rPr>
                <w:rFonts w:hint="default" w:ascii="Times New Roman" w:hAnsi="Times New Roman" w:eastAsia="宋体" w:cs="Times New Roman"/>
                <w:color w:val="auto"/>
                <w:sz w:val="24"/>
                <w:highlight w:val="none"/>
              </w:rPr>
            </w:pPr>
          </w:p>
        </w:tc>
        <w:tc>
          <w:tcPr>
            <w:tcW w:w="5054" w:type="dxa"/>
            <w:noWrap w:val="0"/>
            <w:tcMar>
              <w:top w:w="85" w:type="dxa"/>
              <w:bottom w:w="85" w:type="dxa"/>
            </w:tcMar>
            <w:vAlign w:val="center"/>
          </w:tcPr>
          <w:p w14:paraId="305DA143">
            <w:pPr>
              <w:snapToGrid w:val="0"/>
              <w:spacing w:line="360" w:lineRule="exact"/>
              <w:ind w:firstLine="440"/>
              <w:rPr>
                <w:rFonts w:hint="default" w:ascii="Times New Roman" w:hAnsi="Times New Roman" w:eastAsia="宋体" w:cs="Times New Roman"/>
                <w:color w:val="auto"/>
                <w:sz w:val="22"/>
                <w:szCs w:val="22"/>
                <w:highlight w:val="none"/>
                <w:lang w:val="en-US" w:eastAsia="zh-CN"/>
              </w:rPr>
            </w:pPr>
            <w:r>
              <w:rPr>
                <w:rFonts w:hint="default" w:ascii="Times New Roman" w:hAnsi="Times New Roman" w:eastAsia="宋体" w:cs="Times New Roman"/>
                <w:color w:val="auto"/>
                <w:sz w:val="22"/>
                <w:szCs w:val="22"/>
                <w:highlight w:val="none"/>
                <w:lang w:val="en-US" w:eastAsia="zh-CN"/>
              </w:rPr>
              <w:t>上一年的合同储备+当年新签合同总额-当年的营业收入（未签合同的不计算）</w:t>
            </w:r>
            <w:r>
              <w:rPr>
                <w:rFonts w:hint="default" w:ascii="Times New Roman" w:hAnsi="Times New Roman" w:cs="Times New Roman"/>
                <w:color w:val="auto"/>
                <w:sz w:val="22"/>
                <w:szCs w:val="22"/>
                <w:highlight w:val="none"/>
                <w:lang w:val="en-US" w:eastAsia="zh-CN"/>
              </w:rPr>
              <w:t>。</w:t>
            </w:r>
          </w:p>
        </w:tc>
      </w:tr>
    </w:tbl>
    <w:p w14:paraId="21F08DDB">
      <w:pPr>
        <w:spacing w:line="60" w:lineRule="exact"/>
        <w:ind w:firstLine="0" w:firstLineChars="0"/>
        <w:rPr>
          <w:rFonts w:hint="default" w:ascii="Times New Roman" w:hAnsi="Times New Roman" w:eastAsia="宋体" w:cs="Times New Roman"/>
          <w:color w:val="auto"/>
          <w:sz w:val="21"/>
          <w:highlight w:val="none"/>
        </w:rPr>
      </w:pPr>
      <w:r>
        <w:rPr>
          <w:rFonts w:hint="default" w:ascii="Times New Roman" w:hAnsi="Times New Roman" w:eastAsia="宋体" w:cs="Times New Roman"/>
          <w:color w:val="auto"/>
          <w:sz w:val="21"/>
          <w:highlight w:val="none"/>
        </w:rPr>
        <w:br w:type="page"/>
      </w:r>
    </w:p>
    <w:tbl>
      <w:tblPr>
        <w:tblStyle w:val="27"/>
        <w:tblW w:w="13974"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71"/>
        <w:gridCol w:w="1518"/>
        <w:gridCol w:w="2108"/>
        <w:gridCol w:w="92"/>
        <w:gridCol w:w="3370"/>
        <w:gridCol w:w="37"/>
        <w:gridCol w:w="781"/>
        <w:gridCol w:w="114"/>
        <w:gridCol w:w="769"/>
        <w:gridCol w:w="82"/>
        <w:gridCol w:w="4961"/>
        <w:gridCol w:w="71"/>
      </w:tblGrid>
      <w:tr w14:paraId="328CE12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Before w:val="1"/>
          <w:gridAfter w:val="1"/>
          <w:wBefore w:w="71" w:type="dxa"/>
          <w:wAfter w:w="71" w:type="dxa"/>
          <w:trHeight w:val="4165" w:hRule="atLeast"/>
          <w:jc w:val="center"/>
        </w:trPr>
        <w:tc>
          <w:tcPr>
            <w:tcW w:w="1518" w:type="dxa"/>
            <w:vMerge w:val="restart"/>
            <w:noWrap w:val="0"/>
            <w:vAlign w:val="center"/>
          </w:tcPr>
          <w:p w14:paraId="29179E4E">
            <w:pPr>
              <w:spacing w:line="520" w:lineRule="exact"/>
              <w:ind w:left="354" w:right="-31" w:rightChars="-15" w:hanging="354" w:hangingChars="147"/>
              <w:rPr>
                <w:rFonts w:hint="default" w:ascii="Times New Roman" w:hAnsi="Times New Roman" w:eastAsia="宋体" w:cs="Times New Roman"/>
                <w:b/>
                <w:color w:val="auto"/>
                <w:sz w:val="24"/>
                <w:highlight w:val="none"/>
              </w:rPr>
            </w:pPr>
            <w:r>
              <w:rPr>
                <w:rFonts w:hint="default" w:ascii="Times New Roman" w:hAnsi="Times New Roman" w:eastAsia="宋体" w:cs="Times New Roman"/>
                <w:b/>
                <w:color w:val="auto"/>
                <w:sz w:val="24"/>
                <w:highlight w:val="none"/>
              </w:rPr>
              <w:t>三、管理指标</w:t>
            </w:r>
            <w:r>
              <w:rPr>
                <w:rFonts w:hint="default" w:ascii="Times New Roman" w:hAnsi="Times New Roman" w:eastAsia="宋体" w:cs="Times New Roman"/>
                <w:b/>
                <w:color w:val="auto"/>
                <w:sz w:val="24"/>
                <w:highlight w:val="none"/>
                <w:lang w:val="en-US" w:eastAsia="zh-CN"/>
              </w:rPr>
              <w:t>25</w:t>
            </w:r>
            <w:r>
              <w:rPr>
                <w:rFonts w:hint="default" w:ascii="Times New Roman" w:hAnsi="Times New Roman" w:eastAsia="宋体" w:cs="Times New Roman"/>
                <w:b/>
                <w:color w:val="auto"/>
                <w:sz w:val="24"/>
                <w:highlight w:val="none"/>
              </w:rPr>
              <w:t>分</w:t>
            </w:r>
          </w:p>
        </w:tc>
        <w:tc>
          <w:tcPr>
            <w:tcW w:w="2108" w:type="dxa"/>
            <w:noWrap w:val="0"/>
            <w:vAlign w:val="center"/>
          </w:tcPr>
          <w:p w14:paraId="3FF31C10">
            <w:pPr>
              <w:spacing w:line="320" w:lineRule="exact"/>
              <w:ind w:firstLine="0" w:firstLineChars="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1、工程质量</w:t>
            </w:r>
          </w:p>
        </w:tc>
        <w:tc>
          <w:tcPr>
            <w:tcW w:w="3499" w:type="dxa"/>
            <w:gridSpan w:val="3"/>
            <w:noWrap w:val="0"/>
            <w:vAlign w:val="center"/>
          </w:tcPr>
          <w:p w14:paraId="11DF20A5">
            <w:pPr>
              <w:spacing w:line="360" w:lineRule="exact"/>
              <w:ind w:firstLine="0" w:firstLineChars="0"/>
              <w:rPr>
                <w:rFonts w:hint="default" w:ascii="Times New Roman" w:hAnsi="Times New Roman" w:eastAsia="宋体" w:cs="Times New Roman"/>
                <w:color w:val="auto"/>
                <w:sz w:val="24"/>
                <w:highlight w:val="none"/>
                <w:lang w:val="en-US" w:eastAsia="zh-CN"/>
              </w:rPr>
            </w:pPr>
            <w:r>
              <w:rPr>
                <w:rFonts w:hint="default" w:ascii="Times New Roman" w:hAnsi="Times New Roman" w:eastAsia="宋体" w:cs="Times New Roman"/>
                <w:color w:val="auto"/>
                <w:sz w:val="24"/>
                <w:highlight w:val="none"/>
              </w:rPr>
              <w:t>工程质量合格率100%；无直接经济损失100万元人民币以上的质量事故，工程质量创优</w:t>
            </w:r>
            <w:r>
              <w:rPr>
                <w:rFonts w:hint="default" w:ascii="Times New Roman" w:hAnsi="Times New Roman" w:eastAsia="宋体" w:cs="Times New Roman"/>
                <w:color w:val="auto"/>
                <w:sz w:val="24"/>
                <w:highlight w:val="none"/>
                <w:lang w:val="en-US" w:eastAsia="zh-CN"/>
              </w:rPr>
              <w:t>数量级等级</w:t>
            </w:r>
          </w:p>
        </w:tc>
        <w:tc>
          <w:tcPr>
            <w:tcW w:w="895" w:type="dxa"/>
            <w:gridSpan w:val="2"/>
            <w:noWrap w:val="0"/>
            <w:vAlign w:val="center"/>
          </w:tcPr>
          <w:p w14:paraId="65955134">
            <w:pPr>
              <w:spacing w:line="320" w:lineRule="exact"/>
              <w:ind w:firstLine="0" w:firstLineChars="0"/>
              <w:jc w:val="center"/>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10分</w:t>
            </w:r>
          </w:p>
        </w:tc>
        <w:tc>
          <w:tcPr>
            <w:tcW w:w="851" w:type="dxa"/>
            <w:gridSpan w:val="2"/>
            <w:noWrap w:val="0"/>
            <w:vAlign w:val="center"/>
          </w:tcPr>
          <w:p w14:paraId="622F5EDF">
            <w:pPr>
              <w:spacing w:line="320" w:lineRule="exact"/>
              <w:ind w:firstLine="480"/>
              <w:jc w:val="center"/>
              <w:rPr>
                <w:rFonts w:hint="default" w:ascii="Times New Roman" w:hAnsi="Times New Roman" w:eastAsia="宋体" w:cs="Times New Roman"/>
                <w:color w:val="auto"/>
                <w:sz w:val="24"/>
                <w:highlight w:val="none"/>
              </w:rPr>
            </w:pPr>
          </w:p>
        </w:tc>
        <w:tc>
          <w:tcPr>
            <w:tcW w:w="4961" w:type="dxa"/>
            <w:noWrap w:val="0"/>
            <w:tcMar>
              <w:top w:w="113" w:type="dxa"/>
              <w:bottom w:w="113" w:type="dxa"/>
            </w:tcMar>
            <w:vAlign w:val="center"/>
          </w:tcPr>
          <w:p w14:paraId="090D6200">
            <w:pPr>
              <w:numPr>
                <w:ilvl w:val="0"/>
                <w:numId w:val="0"/>
              </w:numPr>
              <w:tabs>
                <w:tab w:val="left" w:pos="377"/>
              </w:tabs>
              <w:spacing w:line="320" w:lineRule="exact"/>
              <w:ind w:firstLine="440" w:firstLineChars="200"/>
              <w:rPr>
                <w:rFonts w:hint="eastAsia" w:ascii="Times New Roman" w:hAnsi="Times New Roman" w:eastAsia="宋体" w:cs="Times New Roman"/>
                <w:color w:val="auto"/>
                <w:sz w:val="22"/>
                <w:highlight w:val="none"/>
                <w:lang w:eastAsia="zh-CN"/>
              </w:rPr>
            </w:pPr>
            <w:r>
              <w:rPr>
                <w:rFonts w:hint="eastAsia" w:ascii="Times New Roman" w:hAnsi="Times New Roman" w:cs="Times New Roman"/>
                <w:color w:val="auto"/>
                <w:sz w:val="22"/>
                <w:highlight w:val="none"/>
                <w:lang w:val="en-US" w:eastAsia="zh-CN"/>
              </w:rPr>
              <w:t>1、</w:t>
            </w:r>
            <w:r>
              <w:rPr>
                <w:rFonts w:hint="default" w:ascii="Times New Roman" w:hAnsi="Times New Roman" w:eastAsia="宋体" w:cs="Times New Roman"/>
                <w:color w:val="auto"/>
                <w:sz w:val="22"/>
                <w:highlight w:val="none"/>
              </w:rPr>
              <w:t>已竣工工程质量合格率100%的得3分，不符合的不得分</w:t>
            </w:r>
            <w:r>
              <w:rPr>
                <w:rFonts w:hint="eastAsia" w:ascii="Times New Roman" w:hAnsi="Times New Roman" w:cs="Times New Roman"/>
                <w:color w:val="auto"/>
                <w:sz w:val="22"/>
                <w:highlight w:val="none"/>
                <w:lang w:eastAsia="zh-CN"/>
              </w:rPr>
              <w:t>。</w:t>
            </w:r>
          </w:p>
          <w:p w14:paraId="65C73443">
            <w:pPr>
              <w:numPr>
                <w:ilvl w:val="0"/>
                <w:numId w:val="0"/>
              </w:numPr>
              <w:tabs>
                <w:tab w:val="left" w:pos="377"/>
              </w:tabs>
              <w:spacing w:line="320" w:lineRule="exact"/>
              <w:ind w:firstLine="440" w:firstLineChars="200"/>
              <w:rPr>
                <w:rFonts w:hint="default" w:ascii="Times New Roman" w:hAnsi="Times New Roman" w:eastAsia="宋体" w:cs="Times New Roman"/>
                <w:color w:val="auto"/>
                <w:sz w:val="22"/>
                <w:highlight w:val="none"/>
              </w:rPr>
            </w:pPr>
            <w:r>
              <w:rPr>
                <w:rFonts w:hint="eastAsia" w:ascii="Times New Roman" w:hAnsi="Times New Roman" w:cs="Times New Roman"/>
                <w:color w:val="auto"/>
                <w:sz w:val="22"/>
                <w:highlight w:val="none"/>
                <w:lang w:val="en-US" w:eastAsia="zh-CN"/>
              </w:rPr>
              <w:t>2、</w:t>
            </w:r>
            <w:r>
              <w:rPr>
                <w:rFonts w:hint="default" w:ascii="Times New Roman" w:hAnsi="Times New Roman" w:eastAsia="宋体" w:cs="Times New Roman"/>
                <w:color w:val="auto"/>
                <w:sz w:val="22"/>
                <w:highlight w:val="none"/>
              </w:rPr>
              <w:t>作为承建单位，获得鲁班奖、国家优质工程奖金奖的每项得8分，获得其他国家级工程奖项、詹天佑奖的每项</w:t>
            </w:r>
            <w:r>
              <w:rPr>
                <w:rFonts w:hint="default" w:ascii="Times New Roman" w:hAnsi="Times New Roman" w:cs="Times New Roman"/>
                <w:color w:val="auto"/>
                <w:sz w:val="22"/>
                <w:highlight w:val="none"/>
                <w:lang w:val="en-US" w:eastAsia="zh-CN"/>
              </w:rPr>
              <w:t>得6分，获得省级</w:t>
            </w:r>
            <w:r>
              <w:rPr>
                <w:rFonts w:hint="eastAsia" w:ascii="Times New Roman" w:hAnsi="Times New Roman" w:cs="Times New Roman"/>
                <w:color w:val="auto"/>
                <w:sz w:val="22"/>
                <w:highlight w:val="none"/>
                <w:lang w:val="en-US" w:eastAsia="zh-CN"/>
              </w:rPr>
              <w:t>建设工程质量评价</w:t>
            </w:r>
            <w:r>
              <w:rPr>
                <w:rFonts w:hint="default" w:ascii="Times New Roman" w:hAnsi="Times New Roman" w:cs="Times New Roman"/>
                <w:color w:val="auto"/>
                <w:sz w:val="22"/>
                <w:highlight w:val="none"/>
                <w:lang w:val="en-US" w:eastAsia="zh-CN"/>
              </w:rPr>
              <w:t>的每项得</w:t>
            </w:r>
            <w:r>
              <w:rPr>
                <w:rFonts w:hint="eastAsia" w:ascii="Times New Roman" w:hAnsi="Times New Roman" w:cs="Times New Roman"/>
                <w:color w:val="auto"/>
                <w:sz w:val="22"/>
                <w:highlight w:val="none"/>
                <w:lang w:val="en-US" w:eastAsia="zh-CN"/>
              </w:rPr>
              <w:t>3</w:t>
            </w:r>
            <w:r>
              <w:rPr>
                <w:rFonts w:hint="default" w:ascii="Times New Roman" w:hAnsi="Times New Roman" w:cs="Times New Roman"/>
                <w:color w:val="auto"/>
                <w:sz w:val="22"/>
                <w:highlight w:val="none"/>
                <w:lang w:val="en-US" w:eastAsia="zh-CN"/>
              </w:rPr>
              <w:t>分，获得广州市建设工程质量水平评价的每项得</w:t>
            </w:r>
            <w:r>
              <w:rPr>
                <w:rFonts w:hint="eastAsia" w:ascii="Times New Roman" w:hAnsi="Times New Roman" w:cs="Times New Roman"/>
                <w:color w:val="auto"/>
                <w:sz w:val="22"/>
                <w:highlight w:val="none"/>
                <w:lang w:val="en-US" w:eastAsia="zh-CN"/>
              </w:rPr>
              <w:t>3</w:t>
            </w:r>
            <w:r>
              <w:rPr>
                <w:rFonts w:hint="default" w:ascii="Times New Roman" w:hAnsi="Times New Roman" w:cs="Times New Roman"/>
                <w:color w:val="auto"/>
                <w:sz w:val="22"/>
                <w:highlight w:val="none"/>
                <w:lang w:val="en-US" w:eastAsia="zh-CN"/>
              </w:rPr>
              <w:t>分；作为</w:t>
            </w:r>
            <w:r>
              <w:rPr>
                <w:rFonts w:hint="default" w:ascii="Times New Roman" w:hAnsi="Times New Roman" w:eastAsia="宋体" w:cs="Times New Roman"/>
                <w:color w:val="auto"/>
                <w:sz w:val="22"/>
                <w:highlight w:val="none"/>
              </w:rPr>
              <w:t>参建单位，分数减半（同一工程项目以最高奖计分）；工程荣誉加分设上限9分。</w:t>
            </w:r>
          </w:p>
          <w:p w14:paraId="7B5C33B5">
            <w:pPr>
              <w:numPr>
                <w:ilvl w:val="0"/>
                <w:numId w:val="0"/>
              </w:numPr>
              <w:tabs>
                <w:tab w:val="left" w:pos="377"/>
              </w:tabs>
              <w:spacing w:line="320" w:lineRule="exact"/>
              <w:ind w:firstLine="440" w:firstLineChars="200"/>
              <w:rPr>
                <w:rFonts w:hint="default" w:ascii="Times New Roman" w:hAnsi="Times New Roman" w:eastAsia="宋体" w:cs="Times New Roman"/>
                <w:color w:val="auto"/>
                <w:sz w:val="24"/>
                <w:highlight w:val="none"/>
              </w:rPr>
            </w:pPr>
            <w:r>
              <w:rPr>
                <w:rFonts w:hint="eastAsia" w:ascii="Times New Roman" w:hAnsi="Times New Roman" w:cs="Times New Roman"/>
                <w:color w:val="auto"/>
                <w:sz w:val="22"/>
                <w:highlight w:val="none"/>
                <w:lang w:val="en-US" w:eastAsia="zh-CN"/>
              </w:rPr>
              <w:t>3、</w:t>
            </w:r>
            <w:r>
              <w:rPr>
                <w:rFonts w:hint="default" w:ascii="Times New Roman" w:hAnsi="Times New Roman" w:eastAsia="宋体" w:cs="Times New Roman"/>
                <w:color w:val="auto"/>
                <w:sz w:val="22"/>
                <w:highlight w:val="none"/>
              </w:rPr>
              <w:t>每发生一起经济损失100万元人民币以上的质量事故者减1分，减完为止。（本项满分可得10分）</w:t>
            </w:r>
          </w:p>
        </w:tc>
      </w:tr>
      <w:tr w14:paraId="0D16FCA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Before w:val="1"/>
          <w:gridAfter w:val="1"/>
          <w:wBefore w:w="71" w:type="dxa"/>
          <w:wAfter w:w="71" w:type="dxa"/>
          <w:trHeight w:val="4104" w:hRule="atLeast"/>
          <w:jc w:val="center"/>
        </w:trPr>
        <w:tc>
          <w:tcPr>
            <w:tcW w:w="1518" w:type="dxa"/>
            <w:vMerge w:val="continue"/>
            <w:noWrap w:val="0"/>
            <w:vAlign w:val="center"/>
          </w:tcPr>
          <w:p w14:paraId="44A6F912">
            <w:pPr>
              <w:spacing w:line="520" w:lineRule="exact"/>
              <w:ind w:left="354" w:right="-31" w:rightChars="-15" w:hanging="354" w:hangingChars="147"/>
              <w:rPr>
                <w:rFonts w:hint="default" w:ascii="Times New Roman" w:hAnsi="Times New Roman" w:eastAsia="宋体" w:cs="Times New Roman"/>
                <w:b/>
                <w:color w:val="auto"/>
                <w:sz w:val="24"/>
                <w:highlight w:val="none"/>
              </w:rPr>
            </w:pPr>
          </w:p>
        </w:tc>
        <w:tc>
          <w:tcPr>
            <w:tcW w:w="2108" w:type="dxa"/>
            <w:noWrap w:val="0"/>
            <w:vAlign w:val="center"/>
          </w:tcPr>
          <w:p w14:paraId="10263D2A">
            <w:pPr>
              <w:spacing w:line="360" w:lineRule="exact"/>
              <w:ind w:firstLine="0" w:firstLineChars="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2、安全生产、文明施工</w:t>
            </w:r>
          </w:p>
        </w:tc>
        <w:tc>
          <w:tcPr>
            <w:tcW w:w="3499" w:type="dxa"/>
            <w:gridSpan w:val="3"/>
            <w:noWrap w:val="0"/>
            <w:vAlign w:val="center"/>
          </w:tcPr>
          <w:p w14:paraId="4C0991B8">
            <w:pPr>
              <w:spacing w:line="360" w:lineRule="exact"/>
              <w:ind w:firstLine="0" w:firstLineChars="0"/>
              <w:rPr>
                <w:rFonts w:hint="default" w:ascii="Times New Roman" w:hAnsi="Times New Roman" w:eastAsia="宋体" w:cs="Times New Roman"/>
                <w:color w:val="auto"/>
                <w:sz w:val="24"/>
                <w:highlight w:val="none"/>
                <w:lang w:val="en-US" w:eastAsia="zh-CN"/>
              </w:rPr>
            </w:pPr>
            <w:r>
              <w:rPr>
                <w:rFonts w:hint="default" w:ascii="Times New Roman" w:hAnsi="Times New Roman" w:eastAsia="宋体" w:cs="Times New Roman"/>
                <w:color w:val="auto"/>
                <w:sz w:val="24"/>
                <w:highlight w:val="none"/>
              </w:rPr>
              <w:t>企业建立</w:t>
            </w:r>
            <w:r>
              <w:rPr>
                <w:rFonts w:hint="default" w:ascii="Times New Roman" w:hAnsi="Times New Roman" w:eastAsia="宋体" w:cs="Times New Roman"/>
                <w:color w:val="auto"/>
                <w:sz w:val="24"/>
                <w:highlight w:val="none"/>
                <w:lang w:val="en-US" w:eastAsia="zh-CN"/>
              </w:rPr>
              <w:t>安全生产委员会、制度落实情况、有建立安全</w:t>
            </w:r>
            <w:r>
              <w:rPr>
                <w:rFonts w:hint="default" w:ascii="Times New Roman" w:hAnsi="Times New Roman" w:eastAsia="宋体" w:cs="Times New Roman"/>
                <w:color w:val="auto"/>
                <w:sz w:val="24"/>
                <w:highlight w:val="none"/>
              </w:rPr>
              <w:t>文明施工的标准、监督、</w:t>
            </w:r>
            <w:r>
              <w:rPr>
                <w:rFonts w:hint="default" w:ascii="Times New Roman" w:hAnsi="Times New Roman" w:eastAsia="宋体" w:cs="Times New Roman"/>
                <w:color w:val="auto"/>
                <w:sz w:val="24"/>
                <w:highlight w:val="none"/>
                <w:lang w:val="en-US" w:eastAsia="zh-CN"/>
              </w:rPr>
              <w:t>检查、</w:t>
            </w:r>
            <w:r>
              <w:rPr>
                <w:rFonts w:hint="default" w:ascii="Times New Roman" w:hAnsi="Times New Roman" w:eastAsia="宋体" w:cs="Times New Roman"/>
                <w:color w:val="auto"/>
                <w:sz w:val="24"/>
                <w:highlight w:val="none"/>
              </w:rPr>
              <w:t>考评制度；</w:t>
            </w:r>
            <w:r>
              <w:rPr>
                <w:rFonts w:hint="default" w:ascii="Times New Roman" w:hAnsi="Times New Roman" w:eastAsia="宋体" w:cs="Times New Roman"/>
                <w:color w:val="auto"/>
                <w:sz w:val="24"/>
                <w:highlight w:val="none"/>
                <w:lang w:val="en-US" w:eastAsia="zh-CN"/>
              </w:rPr>
              <w:t>定期组织应急演练、</w:t>
            </w:r>
            <w:r>
              <w:rPr>
                <w:rFonts w:hint="default" w:ascii="Times New Roman" w:hAnsi="Times New Roman" w:eastAsia="宋体" w:cs="Times New Roman"/>
                <w:color w:val="auto"/>
                <w:sz w:val="24"/>
                <w:highlight w:val="none"/>
              </w:rPr>
              <w:t>无生产安全较大事故发生；无环保、卫生、治安、消防等部门的重大处罚；获省或市安全文明双优工地称号</w:t>
            </w:r>
            <w:r>
              <w:rPr>
                <w:rFonts w:hint="default"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lang w:val="en-US" w:eastAsia="zh-CN"/>
              </w:rPr>
              <w:t>安全措施费用使用情况、安全教育等</w:t>
            </w:r>
          </w:p>
        </w:tc>
        <w:tc>
          <w:tcPr>
            <w:tcW w:w="895" w:type="dxa"/>
            <w:gridSpan w:val="2"/>
            <w:noWrap w:val="0"/>
            <w:vAlign w:val="center"/>
          </w:tcPr>
          <w:p w14:paraId="3349BA3C">
            <w:pPr>
              <w:spacing w:line="320" w:lineRule="exact"/>
              <w:ind w:firstLine="0" w:firstLineChars="0"/>
              <w:jc w:val="center"/>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10分</w:t>
            </w:r>
          </w:p>
        </w:tc>
        <w:tc>
          <w:tcPr>
            <w:tcW w:w="851" w:type="dxa"/>
            <w:gridSpan w:val="2"/>
            <w:noWrap w:val="0"/>
            <w:vAlign w:val="center"/>
          </w:tcPr>
          <w:p w14:paraId="1AFA48AD">
            <w:pPr>
              <w:spacing w:line="320" w:lineRule="exact"/>
              <w:ind w:firstLine="480"/>
              <w:jc w:val="center"/>
              <w:rPr>
                <w:rFonts w:hint="default" w:ascii="Times New Roman" w:hAnsi="Times New Roman" w:eastAsia="宋体" w:cs="Times New Roman"/>
                <w:color w:val="auto"/>
                <w:sz w:val="24"/>
                <w:highlight w:val="none"/>
              </w:rPr>
            </w:pPr>
          </w:p>
        </w:tc>
        <w:tc>
          <w:tcPr>
            <w:tcW w:w="4961" w:type="dxa"/>
            <w:noWrap w:val="0"/>
            <w:tcMar>
              <w:top w:w="113" w:type="dxa"/>
              <w:bottom w:w="113" w:type="dxa"/>
            </w:tcMar>
            <w:vAlign w:val="center"/>
          </w:tcPr>
          <w:p w14:paraId="6681B844">
            <w:pPr>
              <w:tabs>
                <w:tab w:val="left" w:pos="0"/>
              </w:tabs>
              <w:spacing w:line="336" w:lineRule="exact"/>
              <w:ind w:firstLine="440" w:firstLineChars="200"/>
              <w:rPr>
                <w:rFonts w:hint="default" w:ascii="Times New Roman" w:hAnsi="Times New Roman" w:eastAsia="宋体" w:cs="Times New Roman"/>
                <w:color w:val="auto"/>
                <w:sz w:val="22"/>
                <w:szCs w:val="22"/>
                <w:highlight w:val="none"/>
              </w:rPr>
            </w:pPr>
            <w:r>
              <w:rPr>
                <w:rFonts w:hint="eastAsia" w:ascii="Times New Roman" w:hAnsi="Times New Roman" w:cs="Times New Roman"/>
                <w:color w:val="auto"/>
                <w:sz w:val="22"/>
                <w:szCs w:val="22"/>
                <w:highlight w:val="none"/>
                <w:lang w:val="en-US" w:eastAsia="zh-CN"/>
              </w:rPr>
              <w:t>1、</w:t>
            </w:r>
            <w:r>
              <w:rPr>
                <w:rFonts w:hint="default" w:ascii="Times New Roman" w:hAnsi="Times New Roman" w:eastAsia="宋体" w:cs="Times New Roman"/>
                <w:color w:val="auto"/>
                <w:sz w:val="22"/>
                <w:szCs w:val="22"/>
                <w:highlight w:val="none"/>
              </w:rPr>
              <w:t>无生产安全事故的得5分，发生一般生产安全事故的每起减2分，发生生产安全较大事故者不得分。</w:t>
            </w:r>
          </w:p>
          <w:p w14:paraId="34E93249">
            <w:pPr>
              <w:tabs>
                <w:tab w:val="left" w:pos="0"/>
              </w:tabs>
              <w:spacing w:line="336" w:lineRule="exact"/>
              <w:ind w:firstLine="440" w:firstLineChars="200"/>
              <w:rPr>
                <w:rFonts w:hint="default" w:ascii="Times New Roman" w:hAnsi="Times New Roman" w:eastAsia="宋体" w:cs="Times New Roman"/>
                <w:color w:val="auto"/>
                <w:sz w:val="22"/>
                <w:szCs w:val="22"/>
                <w:highlight w:val="none"/>
              </w:rPr>
            </w:pPr>
            <w:r>
              <w:rPr>
                <w:rFonts w:hint="default" w:ascii="Times New Roman" w:hAnsi="Times New Roman" w:eastAsia="宋体" w:cs="Times New Roman"/>
                <w:color w:val="auto"/>
                <w:sz w:val="22"/>
                <w:szCs w:val="22"/>
                <w:highlight w:val="none"/>
              </w:rPr>
              <w:t>2、获得省级及以上房屋市政工程安全生产文明施工示范工地的每项得2分，</w:t>
            </w:r>
            <w:r>
              <w:rPr>
                <w:rFonts w:hint="default" w:ascii="Times New Roman" w:hAnsi="Times New Roman" w:eastAsia="宋体" w:cs="Times New Roman"/>
                <w:color w:val="auto"/>
                <w:sz w:val="22"/>
                <w:szCs w:val="22"/>
                <w:highlight w:val="none"/>
                <w:lang w:val="en-US" w:eastAsia="zh-CN"/>
              </w:rPr>
              <w:t>获得广州市建设工程安全生产标准化水平评价每项可得</w:t>
            </w:r>
            <w:r>
              <w:rPr>
                <w:rFonts w:hint="eastAsia" w:ascii="Times New Roman" w:hAnsi="Times New Roman" w:cs="Times New Roman"/>
                <w:color w:val="auto"/>
                <w:sz w:val="22"/>
                <w:szCs w:val="22"/>
                <w:highlight w:val="none"/>
                <w:lang w:val="en-US" w:eastAsia="zh-CN"/>
              </w:rPr>
              <w:t>1.5</w:t>
            </w:r>
            <w:r>
              <w:rPr>
                <w:rFonts w:hint="default" w:ascii="Times New Roman" w:hAnsi="Times New Roman" w:eastAsia="宋体" w:cs="Times New Roman"/>
                <w:color w:val="auto"/>
                <w:sz w:val="22"/>
                <w:szCs w:val="22"/>
                <w:highlight w:val="none"/>
                <w:lang w:val="en-US" w:eastAsia="zh-CN"/>
              </w:rPr>
              <w:t>分</w:t>
            </w:r>
            <w:r>
              <w:rPr>
                <w:rFonts w:hint="default" w:ascii="Times New Roman" w:hAnsi="Times New Roman" w:eastAsia="宋体" w:cs="Times New Roman"/>
                <w:color w:val="auto"/>
                <w:sz w:val="22"/>
                <w:szCs w:val="22"/>
                <w:highlight w:val="none"/>
                <w:lang w:eastAsia="zh-CN"/>
              </w:rPr>
              <w:t>，</w:t>
            </w:r>
            <w:r>
              <w:rPr>
                <w:rFonts w:hint="default" w:ascii="Times New Roman" w:hAnsi="Times New Roman" w:eastAsia="宋体" w:cs="Times New Roman"/>
                <w:color w:val="auto"/>
                <w:sz w:val="22"/>
                <w:szCs w:val="22"/>
                <w:highlight w:val="none"/>
              </w:rPr>
              <w:t>同一工程项目以最高奖计分，满分3分。</w:t>
            </w:r>
          </w:p>
          <w:p w14:paraId="4560ABA6">
            <w:pPr>
              <w:tabs>
                <w:tab w:val="left" w:pos="0"/>
              </w:tabs>
              <w:spacing w:line="336" w:lineRule="exact"/>
              <w:ind w:firstLine="440" w:firstLineChars="20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2"/>
                <w:szCs w:val="22"/>
                <w:highlight w:val="none"/>
              </w:rPr>
              <w:t>3、企业未建立文明施工标准、监督、</w:t>
            </w:r>
            <w:r>
              <w:rPr>
                <w:rFonts w:hint="default" w:ascii="Times New Roman" w:hAnsi="Times New Roman" w:eastAsia="宋体" w:cs="Times New Roman"/>
                <w:color w:val="auto"/>
                <w:sz w:val="22"/>
                <w:szCs w:val="22"/>
                <w:highlight w:val="none"/>
                <w:lang w:val="en-US" w:eastAsia="zh-CN"/>
              </w:rPr>
              <w:t>检查、应急演练、</w:t>
            </w:r>
            <w:r>
              <w:rPr>
                <w:rFonts w:hint="default" w:ascii="Times New Roman" w:hAnsi="Times New Roman" w:eastAsia="宋体" w:cs="Times New Roman"/>
                <w:color w:val="auto"/>
                <w:sz w:val="22"/>
                <w:szCs w:val="22"/>
                <w:highlight w:val="none"/>
              </w:rPr>
              <w:t>考评制度的不得分；每受一次环保、卫生、治安、消防等重大处罚的减0.5分，减完为止。</w:t>
            </w:r>
          </w:p>
        </w:tc>
      </w:tr>
      <w:tr w14:paraId="717ED93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46" w:hRule="atLeast"/>
          <w:jc w:val="center"/>
        </w:trPr>
        <w:tc>
          <w:tcPr>
            <w:tcW w:w="1589" w:type="dxa"/>
            <w:gridSpan w:val="2"/>
            <w:vMerge w:val="restart"/>
            <w:noWrap w:val="0"/>
            <w:vAlign w:val="center"/>
          </w:tcPr>
          <w:p w14:paraId="4963DAC5">
            <w:pPr>
              <w:spacing w:line="520" w:lineRule="exact"/>
              <w:rPr>
                <w:rFonts w:hint="default" w:ascii="Times New Roman" w:hAnsi="Times New Roman" w:eastAsia="宋体" w:cs="Times New Roman"/>
                <w:b/>
                <w:color w:val="auto"/>
                <w:sz w:val="24"/>
                <w:highlight w:val="none"/>
              </w:rPr>
            </w:pPr>
            <w:r>
              <w:rPr>
                <w:rFonts w:hint="default" w:ascii="Times New Roman" w:hAnsi="Times New Roman" w:eastAsia="宋体" w:cs="Times New Roman"/>
                <w:b/>
                <w:color w:val="auto"/>
                <w:sz w:val="24"/>
                <w:highlight w:val="none"/>
              </w:rPr>
              <w:t>三、管理指标</w:t>
            </w:r>
            <w:r>
              <w:rPr>
                <w:rFonts w:hint="default" w:ascii="Times New Roman" w:hAnsi="Times New Roman" w:eastAsia="宋体" w:cs="Times New Roman"/>
                <w:b/>
                <w:color w:val="auto"/>
                <w:sz w:val="24"/>
                <w:highlight w:val="none"/>
                <w:lang w:val="en-US" w:eastAsia="zh-CN"/>
              </w:rPr>
              <w:t>25</w:t>
            </w:r>
            <w:r>
              <w:rPr>
                <w:rFonts w:hint="default" w:ascii="Times New Roman" w:hAnsi="Times New Roman" w:eastAsia="宋体" w:cs="Times New Roman"/>
                <w:b/>
                <w:color w:val="auto"/>
                <w:sz w:val="24"/>
                <w:highlight w:val="none"/>
              </w:rPr>
              <w:t>分</w:t>
            </w:r>
          </w:p>
        </w:tc>
        <w:tc>
          <w:tcPr>
            <w:tcW w:w="2200" w:type="dxa"/>
            <w:gridSpan w:val="2"/>
            <w:noWrap w:val="0"/>
            <w:vAlign w:val="center"/>
          </w:tcPr>
          <w:p w14:paraId="1EB8A960">
            <w:pPr>
              <w:spacing w:line="320" w:lineRule="exact"/>
              <w:ind w:firstLine="0" w:firstLineChars="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3、绿色施工评价</w:t>
            </w:r>
          </w:p>
        </w:tc>
        <w:tc>
          <w:tcPr>
            <w:tcW w:w="3370" w:type="dxa"/>
            <w:noWrap w:val="0"/>
            <w:vAlign w:val="center"/>
          </w:tcPr>
          <w:p w14:paraId="09A5AC94">
            <w:pPr>
              <w:spacing w:line="360" w:lineRule="exact"/>
              <w:ind w:firstLine="48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贯彻执行节约资源和保护环境的国家技术经济政策，推进建筑业可持续发展</w:t>
            </w:r>
          </w:p>
        </w:tc>
        <w:tc>
          <w:tcPr>
            <w:tcW w:w="818" w:type="dxa"/>
            <w:gridSpan w:val="2"/>
            <w:noWrap w:val="0"/>
            <w:vAlign w:val="center"/>
          </w:tcPr>
          <w:p w14:paraId="1DFB6762">
            <w:pPr>
              <w:spacing w:line="320" w:lineRule="exact"/>
              <w:ind w:firstLine="0" w:firstLineChars="0"/>
              <w:jc w:val="center"/>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lang w:val="en-US" w:eastAsia="zh-CN"/>
              </w:rPr>
              <w:t>2</w:t>
            </w:r>
            <w:r>
              <w:rPr>
                <w:rFonts w:hint="default" w:ascii="Times New Roman" w:hAnsi="Times New Roman" w:eastAsia="宋体" w:cs="Times New Roman"/>
                <w:color w:val="auto"/>
                <w:sz w:val="24"/>
                <w:highlight w:val="none"/>
              </w:rPr>
              <w:t>分</w:t>
            </w:r>
          </w:p>
        </w:tc>
        <w:tc>
          <w:tcPr>
            <w:tcW w:w="883" w:type="dxa"/>
            <w:gridSpan w:val="2"/>
            <w:noWrap w:val="0"/>
            <w:vAlign w:val="center"/>
          </w:tcPr>
          <w:p w14:paraId="2083B11A">
            <w:pPr>
              <w:spacing w:line="320" w:lineRule="exact"/>
              <w:ind w:firstLine="480"/>
              <w:jc w:val="center"/>
              <w:rPr>
                <w:rFonts w:hint="default" w:ascii="Times New Roman" w:hAnsi="Times New Roman" w:eastAsia="宋体" w:cs="Times New Roman"/>
                <w:color w:val="auto"/>
                <w:sz w:val="24"/>
                <w:highlight w:val="none"/>
              </w:rPr>
            </w:pPr>
          </w:p>
        </w:tc>
        <w:tc>
          <w:tcPr>
            <w:tcW w:w="5114" w:type="dxa"/>
            <w:gridSpan w:val="3"/>
            <w:noWrap w:val="0"/>
            <w:tcMar>
              <w:top w:w="113" w:type="dxa"/>
              <w:bottom w:w="113" w:type="dxa"/>
            </w:tcMar>
            <w:vAlign w:val="center"/>
          </w:tcPr>
          <w:p w14:paraId="3490E79E">
            <w:pPr>
              <w:spacing w:line="360" w:lineRule="exact"/>
              <w:ind w:firstLine="440"/>
              <w:rPr>
                <w:rFonts w:hint="default" w:ascii="Times New Roman" w:hAnsi="Times New Roman" w:eastAsia="宋体" w:cs="Times New Roman"/>
                <w:color w:val="auto"/>
                <w:sz w:val="22"/>
                <w:szCs w:val="22"/>
                <w:highlight w:val="none"/>
              </w:rPr>
            </w:pPr>
            <w:r>
              <w:rPr>
                <w:rFonts w:hint="default" w:ascii="Times New Roman" w:hAnsi="Times New Roman" w:eastAsia="宋体" w:cs="Times New Roman"/>
                <w:color w:val="auto"/>
                <w:sz w:val="22"/>
                <w:szCs w:val="22"/>
                <w:highlight w:val="none"/>
              </w:rPr>
              <w:t>获得国家级奖项的每项得</w:t>
            </w:r>
            <w:r>
              <w:rPr>
                <w:rFonts w:hint="default" w:ascii="Times New Roman" w:hAnsi="Times New Roman" w:eastAsia="宋体" w:cs="Times New Roman"/>
                <w:color w:val="auto"/>
                <w:sz w:val="22"/>
                <w:szCs w:val="22"/>
                <w:highlight w:val="none"/>
                <w:lang w:val="en-US" w:eastAsia="zh-CN"/>
              </w:rPr>
              <w:t>2</w:t>
            </w:r>
            <w:r>
              <w:rPr>
                <w:rFonts w:hint="default" w:ascii="Times New Roman" w:hAnsi="Times New Roman" w:eastAsia="宋体" w:cs="Times New Roman"/>
                <w:color w:val="auto"/>
                <w:sz w:val="22"/>
                <w:szCs w:val="22"/>
                <w:highlight w:val="none"/>
              </w:rPr>
              <w:t>分，获得省级奖项的每项得1.5分，获得</w:t>
            </w:r>
            <w:r>
              <w:rPr>
                <w:rFonts w:hint="default" w:ascii="Times New Roman" w:hAnsi="Times New Roman" w:eastAsia="宋体" w:cs="Times New Roman"/>
                <w:color w:val="auto"/>
                <w:sz w:val="22"/>
                <w:szCs w:val="22"/>
                <w:highlight w:val="none"/>
                <w:lang w:eastAsia="zh-CN"/>
              </w:rPr>
              <w:t>广州市建设工程绿色施工水平评价</w:t>
            </w:r>
            <w:r>
              <w:rPr>
                <w:rFonts w:hint="default" w:ascii="Times New Roman" w:hAnsi="Times New Roman" w:eastAsia="宋体" w:cs="Times New Roman"/>
                <w:color w:val="auto"/>
                <w:sz w:val="22"/>
                <w:szCs w:val="22"/>
                <w:highlight w:val="none"/>
              </w:rPr>
              <w:t>每项得1分</w:t>
            </w:r>
            <w:r>
              <w:rPr>
                <w:rFonts w:hint="default" w:ascii="Times New Roman" w:hAnsi="Times New Roman" w:eastAsia="宋体" w:cs="Times New Roman"/>
                <w:color w:val="auto"/>
                <w:sz w:val="22"/>
                <w:szCs w:val="22"/>
                <w:highlight w:val="none"/>
                <w:lang w:eastAsia="zh-CN"/>
              </w:rPr>
              <w:t>，</w:t>
            </w:r>
            <w:r>
              <w:rPr>
                <w:rFonts w:hint="default" w:ascii="Times New Roman" w:hAnsi="Times New Roman" w:eastAsia="宋体" w:cs="Times New Roman"/>
                <w:color w:val="auto"/>
                <w:sz w:val="22"/>
                <w:szCs w:val="22"/>
                <w:highlight w:val="none"/>
              </w:rPr>
              <w:t>同一工程项目以最高奖计分，不同工程获奖可叠加满分</w:t>
            </w:r>
            <w:r>
              <w:rPr>
                <w:rFonts w:hint="default" w:ascii="Times New Roman" w:hAnsi="Times New Roman" w:eastAsia="宋体" w:cs="Times New Roman"/>
                <w:color w:val="auto"/>
                <w:sz w:val="22"/>
                <w:szCs w:val="22"/>
                <w:highlight w:val="none"/>
                <w:lang w:val="en-US" w:eastAsia="zh-CN"/>
              </w:rPr>
              <w:t>2</w:t>
            </w:r>
            <w:r>
              <w:rPr>
                <w:rFonts w:hint="default" w:ascii="Times New Roman" w:hAnsi="Times New Roman" w:eastAsia="宋体" w:cs="Times New Roman"/>
                <w:color w:val="auto"/>
                <w:sz w:val="22"/>
                <w:szCs w:val="22"/>
                <w:highlight w:val="none"/>
              </w:rPr>
              <w:t>分。</w:t>
            </w:r>
          </w:p>
        </w:tc>
      </w:tr>
      <w:tr w14:paraId="771BA23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543" w:hRule="atLeast"/>
          <w:jc w:val="center"/>
        </w:trPr>
        <w:tc>
          <w:tcPr>
            <w:tcW w:w="1589" w:type="dxa"/>
            <w:gridSpan w:val="2"/>
            <w:vMerge w:val="continue"/>
            <w:noWrap w:val="0"/>
            <w:vAlign w:val="center"/>
          </w:tcPr>
          <w:p w14:paraId="480CFFCA">
            <w:pPr>
              <w:spacing w:line="520" w:lineRule="exact"/>
              <w:ind w:left="354" w:right="-42" w:rightChars="-20" w:hanging="354" w:hangingChars="147"/>
              <w:rPr>
                <w:rFonts w:hint="default" w:ascii="Times New Roman" w:hAnsi="Times New Roman" w:eastAsia="宋体" w:cs="Times New Roman"/>
                <w:b/>
                <w:color w:val="auto"/>
                <w:sz w:val="24"/>
                <w:highlight w:val="none"/>
              </w:rPr>
            </w:pPr>
          </w:p>
        </w:tc>
        <w:tc>
          <w:tcPr>
            <w:tcW w:w="2200" w:type="dxa"/>
            <w:gridSpan w:val="2"/>
            <w:noWrap w:val="0"/>
            <w:vAlign w:val="center"/>
          </w:tcPr>
          <w:p w14:paraId="118571E0">
            <w:pPr>
              <w:spacing w:line="320" w:lineRule="exact"/>
              <w:ind w:firstLine="0" w:firstLineChars="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4、劳资管理</w:t>
            </w:r>
          </w:p>
        </w:tc>
        <w:tc>
          <w:tcPr>
            <w:tcW w:w="3370" w:type="dxa"/>
            <w:noWrap w:val="0"/>
            <w:vAlign w:val="center"/>
          </w:tcPr>
          <w:p w14:paraId="43B3FDE8">
            <w:pPr>
              <w:spacing w:line="360" w:lineRule="exact"/>
              <w:ind w:firstLine="48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依法与劳动者签订劳动合同，按照规定为劳动者投保，不拖欠或克扣劳动者工资；</w:t>
            </w:r>
          </w:p>
        </w:tc>
        <w:tc>
          <w:tcPr>
            <w:tcW w:w="818" w:type="dxa"/>
            <w:gridSpan w:val="2"/>
            <w:noWrap w:val="0"/>
            <w:vAlign w:val="center"/>
          </w:tcPr>
          <w:p w14:paraId="663F62B3">
            <w:pPr>
              <w:spacing w:line="320" w:lineRule="exact"/>
              <w:ind w:firstLine="0" w:firstLineChars="0"/>
              <w:jc w:val="center"/>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lang w:val="en-US" w:eastAsia="zh-CN"/>
              </w:rPr>
              <w:t>2</w:t>
            </w:r>
            <w:r>
              <w:rPr>
                <w:rFonts w:hint="default" w:ascii="Times New Roman" w:hAnsi="Times New Roman" w:eastAsia="宋体" w:cs="Times New Roman"/>
                <w:color w:val="auto"/>
                <w:sz w:val="24"/>
                <w:highlight w:val="none"/>
              </w:rPr>
              <w:t>分</w:t>
            </w:r>
          </w:p>
        </w:tc>
        <w:tc>
          <w:tcPr>
            <w:tcW w:w="883" w:type="dxa"/>
            <w:gridSpan w:val="2"/>
            <w:noWrap w:val="0"/>
            <w:vAlign w:val="center"/>
          </w:tcPr>
          <w:p w14:paraId="7F67EB0A">
            <w:pPr>
              <w:spacing w:line="320" w:lineRule="exact"/>
              <w:ind w:firstLine="480"/>
              <w:jc w:val="center"/>
              <w:rPr>
                <w:rFonts w:hint="default" w:ascii="Times New Roman" w:hAnsi="Times New Roman" w:eastAsia="宋体" w:cs="Times New Roman"/>
                <w:color w:val="auto"/>
                <w:sz w:val="24"/>
                <w:highlight w:val="none"/>
              </w:rPr>
            </w:pPr>
          </w:p>
        </w:tc>
        <w:tc>
          <w:tcPr>
            <w:tcW w:w="5114" w:type="dxa"/>
            <w:gridSpan w:val="3"/>
            <w:noWrap w:val="0"/>
            <w:tcMar>
              <w:top w:w="113" w:type="dxa"/>
              <w:bottom w:w="113" w:type="dxa"/>
            </w:tcMar>
            <w:vAlign w:val="center"/>
          </w:tcPr>
          <w:p w14:paraId="16ECF29E">
            <w:pPr>
              <w:spacing w:line="360" w:lineRule="exact"/>
              <w:ind w:firstLine="440"/>
              <w:rPr>
                <w:rFonts w:hint="default" w:ascii="Times New Roman" w:hAnsi="Times New Roman" w:eastAsia="宋体" w:cs="Times New Roman"/>
                <w:color w:val="auto"/>
                <w:sz w:val="22"/>
                <w:szCs w:val="22"/>
                <w:highlight w:val="none"/>
              </w:rPr>
            </w:pPr>
            <w:r>
              <w:rPr>
                <w:rFonts w:hint="default" w:ascii="Times New Roman" w:hAnsi="Times New Roman" w:eastAsia="宋体" w:cs="Times New Roman"/>
                <w:color w:val="auto"/>
                <w:sz w:val="22"/>
                <w:szCs w:val="22"/>
                <w:highlight w:val="none"/>
              </w:rPr>
              <w:t>1、每发生1人次未签订劳动合同或未投保的，减0.2分；劳务作业分包应使用有资质的劳务企业，每一项不合格减1分，减完为止。</w:t>
            </w:r>
          </w:p>
          <w:p w14:paraId="558F336C">
            <w:pPr>
              <w:spacing w:line="360" w:lineRule="exact"/>
              <w:ind w:firstLine="440" w:firstLineChars="200"/>
              <w:rPr>
                <w:rFonts w:hint="default" w:ascii="Times New Roman" w:hAnsi="Times New Roman" w:eastAsia="宋体" w:cs="Times New Roman"/>
                <w:color w:val="auto"/>
                <w:sz w:val="22"/>
                <w:szCs w:val="22"/>
                <w:highlight w:val="none"/>
              </w:rPr>
            </w:pPr>
            <w:r>
              <w:rPr>
                <w:rFonts w:hint="default" w:ascii="Times New Roman" w:hAnsi="Times New Roman" w:eastAsia="宋体" w:cs="Times New Roman"/>
                <w:color w:val="auto"/>
                <w:sz w:val="22"/>
                <w:szCs w:val="22"/>
                <w:highlight w:val="none"/>
              </w:rPr>
              <w:t>2、因劳资纠纷发生重大群体事件且负有责任者，不得分。</w:t>
            </w:r>
          </w:p>
        </w:tc>
      </w:tr>
      <w:tr w14:paraId="503E2AD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626" w:hRule="atLeast"/>
          <w:jc w:val="center"/>
        </w:trPr>
        <w:tc>
          <w:tcPr>
            <w:tcW w:w="1589" w:type="dxa"/>
            <w:gridSpan w:val="2"/>
            <w:vMerge w:val="continue"/>
            <w:noWrap w:val="0"/>
            <w:vAlign w:val="center"/>
          </w:tcPr>
          <w:p w14:paraId="2DB43BB2">
            <w:pPr>
              <w:spacing w:line="520" w:lineRule="exact"/>
              <w:ind w:left="354" w:right="-42" w:rightChars="-20" w:hanging="354" w:hangingChars="147"/>
              <w:rPr>
                <w:rFonts w:hint="default" w:ascii="Times New Roman" w:hAnsi="Times New Roman" w:eastAsia="宋体" w:cs="Times New Roman"/>
                <w:b/>
                <w:color w:val="auto"/>
                <w:sz w:val="24"/>
                <w:highlight w:val="none"/>
              </w:rPr>
            </w:pPr>
          </w:p>
        </w:tc>
        <w:tc>
          <w:tcPr>
            <w:tcW w:w="2200" w:type="dxa"/>
            <w:gridSpan w:val="2"/>
            <w:noWrap w:val="0"/>
            <w:vAlign w:val="center"/>
          </w:tcPr>
          <w:p w14:paraId="01B8D356">
            <w:pPr>
              <w:spacing w:line="320" w:lineRule="exact"/>
              <w:ind w:firstLine="0" w:firstLineChars="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5、职工教育经费</w:t>
            </w:r>
          </w:p>
        </w:tc>
        <w:tc>
          <w:tcPr>
            <w:tcW w:w="3370" w:type="dxa"/>
            <w:noWrap w:val="0"/>
            <w:vAlign w:val="center"/>
          </w:tcPr>
          <w:p w14:paraId="18462107">
            <w:pPr>
              <w:spacing w:line="360" w:lineRule="exact"/>
              <w:ind w:firstLine="48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职工教育经费占企业总产值比率大于0.3%；建立职工绩效考核与激励制度</w:t>
            </w:r>
          </w:p>
        </w:tc>
        <w:tc>
          <w:tcPr>
            <w:tcW w:w="818" w:type="dxa"/>
            <w:gridSpan w:val="2"/>
            <w:noWrap w:val="0"/>
            <w:vAlign w:val="center"/>
          </w:tcPr>
          <w:p w14:paraId="7A9EC970">
            <w:pPr>
              <w:spacing w:line="320" w:lineRule="exact"/>
              <w:ind w:firstLine="0" w:firstLineChars="0"/>
              <w:jc w:val="center"/>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1分</w:t>
            </w:r>
          </w:p>
        </w:tc>
        <w:tc>
          <w:tcPr>
            <w:tcW w:w="883" w:type="dxa"/>
            <w:gridSpan w:val="2"/>
            <w:noWrap w:val="0"/>
            <w:vAlign w:val="center"/>
          </w:tcPr>
          <w:p w14:paraId="62C19C9D">
            <w:pPr>
              <w:spacing w:line="320" w:lineRule="exact"/>
              <w:ind w:firstLine="480"/>
              <w:jc w:val="center"/>
              <w:rPr>
                <w:rFonts w:hint="default" w:ascii="Times New Roman" w:hAnsi="Times New Roman" w:eastAsia="宋体" w:cs="Times New Roman"/>
                <w:color w:val="auto"/>
                <w:sz w:val="24"/>
                <w:highlight w:val="none"/>
              </w:rPr>
            </w:pPr>
          </w:p>
        </w:tc>
        <w:tc>
          <w:tcPr>
            <w:tcW w:w="5114" w:type="dxa"/>
            <w:gridSpan w:val="3"/>
            <w:noWrap w:val="0"/>
            <w:tcMar>
              <w:top w:w="113" w:type="dxa"/>
              <w:bottom w:w="113" w:type="dxa"/>
            </w:tcMar>
            <w:vAlign w:val="center"/>
          </w:tcPr>
          <w:p w14:paraId="21B2E77F">
            <w:pPr>
              <w:spacing w:line="360" w:lineRule="exact"/>
              <w:ind w:firstLine="440"/>
              <w:rPr>
                <w:rFonts w:hint="default" w:ascii="Times New Roman" w:hAnsi="Times New Roman" w:eastAsia="宋体" w:cs="Times New Roman"/>
                <w:color w:val="auto"/>
                <w:sz w:val="22"/>
                <w:szCs w:val="22"/>
                <w:highlight w:val="none"/>
              </w:rPr>
            </w:pPr>
            <w:r>
              <w:rPr>
                <w:rFonts w:hint="default" w:ascii="Times New Roman" w:hAnsi="Times New Roman" w:eastAsia="宋体" w:cs="Times New Roman"/>
                <w:color w:val="auto"/>
                <w:sz w:val="22"/>
                <w:szCs w:val="22"/>
                <w:highlight w:val="none"/>
              </w:rPr>
              <w:t>职工教育经费占企业总产值比率大于0.3%，并建立合理有效的职工绩效考核与激励制度得1分。</w:t>
            </w:r>
          </w:p>
        </w:tc>
      </w:tr>
    </w:tbl>
    <w:p w14:paraId="1DD16944">
      <w:pPr>
        <w:spacing w:line="60" w:lineRule="exact"/>
        <w:ind w:firstLine="420"/>
        <w:rPr>
          <w:rFonts w:hint="default" w:ascii="Times New Roman" w:hAnsi="Times New Roman" w:eastAsia="宋体" w:cs="Times New Roman"/>
          <w:color w:val="auto"/>
          <w:sz w:val="21"/>
          <w:highlight w:val="none"/>
        </w:rPr>
      </w:pPr>
      <w:r>
        <w:rPr>
          <w:rFonts w:hint="default" w:ascii="Times New Roman" w:hAnsi="Times New Roman" w:eastAsia="宋体" w:cs="Times New Roman"/>
          <w:color w:val="auto"/>
          <w:sz w:val="21"/>
          <w:highlight w:val="none"/>
        </w:rPr>
        <w:br w:type="page"/>
      </w:r>
    </w:p>
    <w:tbl>
      <w:tblPr>
        <w:tblStyle w:val="27"/>
        <w:tblW w:w="13979"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1418"/>
        <w:gridCol w:w="2341"/>
        <w:gridCol w:w="3260"/>
        <w:gridCol w:w="851"/>
        <w:gridCol w:w="850"/>
        <w:gridCol w:w="5259"/>
      </w:tblGrid>
      <w:tr w14:paraId="1BCCF5D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14" w:hRule="atLeast"/>
          <w:jc w:val="center"/>
        </w:trPr>
        <w:tc>
          <w:tcPr>
            <w:tcW w:w="1418" w:type="dxa"/>
            <w:vMerge w:val="restart"/>
            <w:noWrap w:val="0"/>
            <w:vAlign w:val="center"/>
          </w:tcPr>
          <w:p w14:paraId="6E5CC86D">
            <w:pPr>
              <w:spacing w:line="520" w:lineRule="exact"/>
              <w:ind w:left="-1" w:leftChars="0" w:right="-31" w:rightChars="-15" w:firstLine="0" w:firstLineChars="0"/>
              <w:jc w:val="left"/>
              <w:rPr>
                <w:rFonts w:hint="default" w:ascii="Times New Roman" w:hAnsi="Times New Roman" w:eastAsia="宋体" w:cs="Times New Roman"/>
                <w:color w:val="auto"/>
                <w:sz w:val="21"/>
                <w:highlight w:val="none"/>
              </w:rPr>
            </w:pPr>
            <w:r>
              <w:rPr>
                <w:rFonts w:hint="default" w:ascii="Times New Roman" w:hAnsi="Times New Roman" w:eastAsia="宋体" w:cs="Times New Roman"/>
                <w:b/>
                <w:color w:val="auto"/>
                <w:sz w:val="24"/>
                <w:highlight w:val="none"/>
              </w:rPr>
              <w:t>四、</w:t>
            </w:r>
            <w:r>
              <w:rPr>
                <w:rFonts w:hint="default" w:ascii="Times New Roman" w:hAnsi="Times New Roman" w:cs="Times New Roman"/>
                <w:b/>
                <w:color w:val="auto"/>
                <w:sz w:val="24"/>
                <w:highlight w:val="none"/>
                <w:lang w:val="en-US" w:eastAsia="zh-CN"/>
              </w:rPr>
              <w:t>竞争力</w:t>
            </w:r>
            <w:r>
              <w:rPr>
                <w:rFonts w:hint="default" w:ascii="Times New Roman" w:hAnsi="Times New Roman" w:eastAsia="宋体" w:cs="Times New Roman"/>
                <w:b/>
                <w:color w:val="auto"/>
                <w:sz w:val="24"/>
                <w:highlight w:val="none"/>
              </w:rPr>
              <w:t>指标</w:t>
            </w:r>
            <w:r>
              <w:rPr>
                <w:rFonts w:hint="default" w:ascii="Times New Roman" w:hAnsi="Times New Roman" w:eastAsia="宋体" w:cs="Times New Roman"/>
                <w:b/>
                <w:color w:val="auto"/>
                <w:sz w:val="24"/>
                <w:highlight w:val="none"/>
                <w:lang w:val="en-US" w:eastAsia="zh-CN"/>
              </w:rPr>
              <w:t>15</w:t>
            </w:r>
            <w:r>
              <w:rPr>
                <w:rFonts w:hint="default" w:ascii="Times New Roman" w:hAnsi="Times New Roman" w:eastAsia="宋体" w:cs="Times New Roman"/>
                <w:b/>
                <w:color w:val="auto"/>
                <w:sz w:val="24"/>
                <w:highlight w:val="none"/>
              </w:rPr>
              <w:t>分</w:t>
            </w:r>
          </w:p>
        </w:tc>
        <w:tc>
          <w:tcPr>
            <w:tcW w:w="2341" w:type="dxa"/>
            <w:noWrap w:val="0"/>
            <w:vAlign w:val="center"/>
          </w:tcPr>
          <w:p w14:paraId="488835C4">
            <w:pPr>
              <w:spacing w:line="320" w:lineRule="exact"/>
              <w:ind w:firstLine="0" w:firstLineChars="0"/>
              <w:jc w:val="left"/>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1、技术创新规划</w:t>
            </w:r>
          </w:p>
        </w:tc>
        <w:tc>
          <w:tcPr>
            <w:tcW w:w="3260" w:type="dxa"/>
            <w:noWrap w:val="0"/>
            <w:vAlign w:val="center"/>
          </w:tcPr>
          <w:p w14:paraId="13D0D253">
            <w:pPr>
              <w:spacing w:line="360" w:lineRule="exact"/>
              <w:ind w:firstLine="48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建立企业发展战略，有技术创新规划或年度技术创新措施，有技术研发机构</w:t>
            </w:r>
          </w:p>
        </w:tc>
        <w:tc>
          <w:tcPr>
            <w:tcW w:w="851" w:type="dxa"/>
            <w:noWrap w:val="0"/>
            <w:vAlign w:val="center"/>
          </w:tcPr>
          <w:p w14:paraId="2C9CD661">
            <w:pPr>
              <w:spacing w:line="320" w:lineRule="exact"/>
              <w:ind w:firstLine="0" w:firstLineChars="0"/>
              <w:jc w:val="center"/>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lang w:val="en-US" w:eastAsia="zh-CN"/>
              </w:rPr>
              <w:t>3</w:t>
            </w:r>
            <w:r>
              <w:rPr>
                <w:rFonts w:hint="default" w:ascii="Times New Roman" w:hAnsi="Times New Roman" w:eastAsia="宋体" w:cs="Times New Roman"/>
                <w:color w:val="auto"/>
                <w:sz w:val="24"/>
                <w:highlight w:val="none"/>
              </w:rPr>
              <w:t>分</w:t>
            </w:r>
          </w:p>
        </w:tc>
        <w:tc>
          <w:tcPr>
            <w:tcW w:w="850" w:type="dxa"/>
            <w:noWrap w:val="0"/>
            <w:vAlign w:val="center"/>
          </w:tcPr>
          <w:p w14:paraId="6DA21E2E">
            <w:pPr>
              <w:spacing w:line="320" w:lineRule="exact"/>
              <w:ind w:firstLine="480"/>
              <w:jc w:val="center"/>
              <w:rPr>
                <w:rFonts w:hint="default" w:ascii="Times New Roman" w:hAnsi="Times New Roman" w:eastAsia="宋体" w:cs="Times New Roman"/>
                <w:color w:val="auto"/>
                <w:sz w:val="24"/>
                <w:highlight w:val="none"/>
              </w:rPr>
            </w:pPr>
          </w:p>
        </w:tc>
        <w:tc>
          <w:tcPr>
            <w:tcW w:w="5259" w:type="dxa"/>
            <w:noWrap w:val="0"/>
            <w:tcMar>
              <w:top w:w="113" w:type="dxa"/>
              <w:bottom w:w="113" w:type="dxa"/>
            </w:tcMar>
            <w:vAlign w:val="center"/>
          </w:tcPr>
          <w:p w14:paraId="55C4FAAD">
            <w:pPr>
              <w:spacing w:line="360" w:lineRule="exact"/>
              <w:ind w:firstLine="440"/>
              <w:rPr>
                <w:rFonts w:hint="default" w:ascii="Times New Roman" w:hAnsi="Times New Roman" w:eastAsia="宋体" w:cs="Times New Roman"/>
                <w:color w:val="auto"/>
                <w:sz w:val="22"/>
                <w:szCs w:val="22"/>
                <w:highlight w:val="none"/>
              </w:rPr>
            </w:pPr>
            <w:r>
              <w:rPr>
                <w:rFonts w:hint="default" w:ascii="Times New Roman" w:hAnsi="Times New Roman" w:eastAsia="宋体" w:cs="Times New Roman"/>
                <w:color w:val="auto"/>
                <w:sz w:val="22"/>
                <w:szCs w:val="22"/>
                <w:highlight w:val="none"/>
              </w:rPr>
              <w:t>建立企业发展战略，有技术创新规划或年度技术创新措施，有技术研发机构者得</w:t>
            </w:r>
            <w:r>
              <w:rPr>
                <w:rFonts w:hint="default" w:ascii="Times New Roman" w:hAnsi="Times New Roman" w:cs="Times New Roman"/>
                <w:color w:val="auto"/>
                <w:sz w:val="22"/>
                <w:szCs w:val="22"/>
                <w:highlight w:val="none"/>
                <w:lang w:val="en-US" w:eastAsia="zh-CN"/>
              </w:rPr>
              <w:t>3</w:t>
            </w:r>
            <w:r>
              <w:rPr>
                <w:rFonts w:hint="default" w:ascii="Times New Roman" w:hAnsi="Times New Roman" w:eastAsia="宋体" w:cs="Times New Roman"/>
                <w:color w:val="auto"/>
                <w:sz w:val="22"/>
                <w:szCs w:val="22"/>
                <w:highlight w:val="none"/>
              </w:rPr>
              <w:t>分。每缺少一项减0.5分，减完为止。</w:t>
            </w:r>
          </w:p>
        </w:tc>
      </w:tr>
      <w:tr w14:paraId="0247C30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236" w:hRule="atLeast"/>
          <w:jc w:val="center"/>
        </w:trPr>
        <w:tc>
          <w:tcPr>
            <w:tcW w:w="1418" w:type="dxa"/>
            <w:vMerge w:val="continue"/>
            <w:noWrap w:val="0"/>
            <w:vAlign w:val="center"/>
          </w:tcPr>
          <w:p w14:paraId="1BBFBA9E">
            <w:pPr>
              <w:spacing w:line="520" w:lineRule="exact"/>
              <w:ind w:left="354" w:right="-31" w:rightChars="-15" w:hanging="354" w:hangingChars="147"/>
              <w:jc w:val="center"/>
              <w:rPr>
                <w:rFonts w:hint="default" w:ascii="Times New Roman" w:hAnsi="Times New Roman" w:eastAsia="宋体" w:cs="Times New Roman"/>
                <w:b/>
                <w:color w:val="auto"/>
                <w:sz w:val="24"/>
                <w:highlight w:val="none"/>
              </w:rPr>
            </w:pPr>
          </w:p>
        </w:tc>
        <w:tc>
          <w:tcPr>
            <w:tcW w:w="2341" w:type="dxa"/>
            <w:noWrap w:val="0"/>
            <w:vAlign w:val="center"/>
          </w:tcPr>
          <w:p w14:paraId="6A430ACF">
            <w:pPr>
              <w:spacing w:line="320" w:lineRule="exact"/>
              <w:ind w:firstLine="0" w:firstLineChars="0"/>
              <w:jc w:val="left"/>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2、科技活动经费</w:t>
            </w:r>
          </w:p>
        </w:tc>
        <w:tc>
          <w:tcPr>
            <w:tcW w:w="3260" w:type="dxa"/>
            <w:noWrap w:val="0"/>
            <w:vAlign w:val="center"/>
          </w:tcPr>
          <w:p w14:paraId="44A90F65">
            <w:pPr>
              <w:spacing w:line="360" w:lineRule="exact"/>
              <w:ind w:firstLine="48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科技研发经费投入占企业总产值大于0.5%</w:t>
            </w:r>
          </w:p>
        </w:tc>
        <w:tc>
          <w:tcPr>
            <w:tcW w:w="851" w:type="dxa"/>
            <w:noWrap w:val="0"/>
            <w:vAlign w:val="center"/>
          </w:tcPr>
          <w:p w14:paraId="4865A69F">
            <w:pPr>
              <w:spacing w:line="320" w:lineRule="exact"/>
              <w:ind w:firstLine="0" w:firstLineChars="0"/>
              <w:jc w:val="center"/>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lang w:val="en-US" w:eastAsia="zh-CN"/>
              </w:rPr>
              <w:t>2</w:t>
            </w:r>
            <w:r>
              <w:rPr>
                <w:rFonts w:hint="default" w:ascii="Times New Roman" w:hAnsi="Times New Roman" w:eastAsia="宋体" w:cs="Times New Roman"/>
                <w:color w:val="auto"/>
                <w:sz w:val="24"/>
                <w:highlight w:val="none"/>
              </w:rPr>
              <w:t>分</w:t>
            </w:r>
          </w:p>
        </w:tc>
        <w:tc>
          <w:tcPr>
            <w:tcW w:w="850" w:type="dxa"/>
            <w:noWrap w:val="0"/>
            <w:vAlign w:val="center"/>
          </w:tcPr>
          <w:p w14:paraId="21536365">
            <w:pPr>
              <w:spacing w:line="320" w:lineRule="exact"/>
              <w:ind w:firstLine="480"/>
              <w:jc w:val="center"/>
              <w:rPr>
                <w:rFonts w:hint="default" w:ascii="Times New Roman" w:hAnsi="Times New Roman" w:eastAsia="宋体" w:cs="Times New Roman"/>
                <w:color w:val="auto"/>
                <w:sz w:val="24"/>
                <w:highlight w:val="none"/>
              </w:rPr>
            </w:pPr>
          </w:p>
        </w:tc>
        <w:tc>
          <w:tcPr>
            <w:tcW w:w="5259" w:type="dxa"/>
            <w:noWrap w:val="0"/>
            <w:tcMar>
              <w:top w:w="113" w:type="dxa"/>
              <w:bottom w:w="113" w:type="dxa"/>
            </w:tcMar>
            <w:vAlign w:val="center"/>
          </w:tcPr>
          <w:p w14:paraId="5AD7787F">
            <w:pPr>
              <w:spacing w:line="360" w:lineRule="exact"/>
              <w:ind w:firstLine="440"/>
              <w:rPr>
                <w:rFonts w:hint="default" w:ascii="Times New Roman" w:hAnsi="Times New Roman" w:eastAsia="宋体" w:cs="Times New Roman"/>
                <w:color w:val="auto"/>
                <w:sz w:val="22"/>
                <w:szCs w:val="22"/>
                <w:highlight w:val="none"/>
              </w:rPr>
            </w:pPr>
            <w:r>
              <w:rPr>
                <w:rFonts w:hint="default" w:ascii="Times New Roman" w:hAnsi="Times New Roman" w:eastAsia="宋体" w:cs="Times New Roman"/>
                <w:color w:val="auto"/>
                <w:sz w:val="22"/>
                <w:szCs w:val="22"/>
                <w:highlight w:val="none"/>
              </w:rPr>
              <w:t>企业获得“高新技术企业”认定。年均企业科技活动经费投入占总产值比率达到0.5%的得</w:t>
            </w:r>
            <w:r>
              <w:rPr>
                <w:rFonts w:hint="default" w:ascii="Times New Roman" w:hAnsi="Times New Roman" w:cs="Times New Roman"/>
                <w:color w:val="auto"/>
                <w:sz w:val="22"/>
                <w:szCs w:val="22"/>
                <w:highlight w:val="none"/>
                <w:lang w:val="en-US" w:eastAsia="zh-CN"/>
              </w:rPr>
              <w:t>2</w:t>
            </w:r>
            <w:r>
              <w:rPr>
                <w:rFonts w:hint="default" w:ascii="Times New Roman" w:hAnsi="Times New Roman" w:eastAsia="宋体" w:cs="Times New Roman"/>
                <w:color w:val="auto"/>
                <w:sz w:val="22"/>
                <w:szCs w:val="22"/>
                <w:highlight w:val="none"/>
              </w:rPr>
              <w:t>分，达到0.3%的得</w:t>
            </w:r>
            <w:r>
              <w:rPr>
                <w:rFonts w:hint="default" w:ascii="Times New Roman" w:hAnsi="Times New Roman" w:cs="Times New Roman"/>
                <w:color w:val="auto"/>
                <w:sz w:val="22"/>
                <w:szCs w:val="22"/>
                <w:highlight w:val="none"/>
                <w:lang w:val="en-US" w:eastAsia="zh-CN"/>
              </w:rPr>
              <w:t>1</w:t>
            </w:r>
            <w:r>
              <w:rPr>
                <w:rFonts w:hint="default" w:ascii="Times New Roman" w:hAnsi="Times New Roman" w:eastAsia="宋体" w:cs="Times New Roman"/>
                <w:color w:val="auto"/>
                <w:sz w:val="22"/>
                <w:szCs w:val="22"/>
                <w:highlight w:val="none"/>
              </w:rPr>
              <w:t>分，低于0.1%得</w:t>
            </w:r>
            <w:r>
              <w:rPr>
                <w:rFonts w:hint="default" w:ascii="Times New Roman" w:hAnsi="Times New Roman" w:cs="Times New Roman"/>
                <w:color w:val="auto"/>
                <w:sz w:val="22"/>
                <w:szCs w:val="22"/>
                <w:highlight w:val="none"/>
                <w:lang w:val="en-US" w:eastAsia="zh-CN"/>
              </w:rPr>
              <w:t>0.5</w:t>
            </w:r>
            <w:r>
              <w:rPr>
                <w:rFonts w:hint="default" w:ascii="Times New Roman" w:hAnsi="Times New Roman" w:eastAsia="宋体" w:cs="Times New Roman"/>
                <w:color w:val="auto"/>
                <w:sz w:val="22"/>
                <w:szCs w:val="22"/>
                <w:highlight w:val="none"/>
              </w:rPr>
              <w:t>分，不足0.05%的不得分。</w:t>
            </w:r>
          </w:p>
        </w:tc>
      </w:tr>
      <w:tr w14:paraId="4ABCC18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919" w:hRule="atLeast"/>
          <w:jc w:val="center"/>
        </w:trPr>
        <w:tc>
          <w:tcPr>
            <w:tcW w:w="1418" w:type="dxa"/>
            <w:vMerge w:val="continue"/>
            <w:noWrap w:val="0"/>
            <w:vAlign w:val="center"/>
          </w:tcPr>
          <w:p w14:paraId="229E7276">
            <w:pPr>
              <w:spacing w:line="520" w:lineRule="exact"/>
              <w:ind w:left="354" w:right="-31" w:rightChars="-15" w:hanging="354" w:hangingChars="147"/>
              <w:jc w:val="center"/>
              <w:rPr>
                <w:rFonts w:hint="default" w:ascii="Times New Roman" w:hAnsi="Times New Roman" w:eastAsia="宋体" w:cs="Times New Roman"/>
                <w:b/>
                <w:color w:val="auto"/>
                <w:sz w:val="24"/>
                <w:highlight w:val="none"/>
              </w:rPr>
            </w:pPr>
          </w:p>
        </w:tc>
        <w:tc>
          <w:tcPr>
            <w:tcW w:w="2341" w:type="dxa"/>
            <w:noWrap w:val="0"/>
            <w:vAlign w:val="center"/>
          </w:tcPr>
          <w:p w14:paraId="7C4FCEB8">
            <w:pPr>
              <w:spacing w:line="320" w:lineRule="exact"/>
              <w:ind w:firstLine="0" w:firstLineChars="0"/>
              <w:jc w:val="left"/>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3、技术创新成果</w:t>
            </w:r>
          </w:p>
        </w:tc>
        <w:tc>
          <w:tcPr>
            <w:tcW w:w="3260" w:type="dxa"/>
            <w:noWrap w:val="0"/>
            <w:vAlign w:val="center"/>
          </w:tcPr>
          <w:p w14:paraId="2876EF00">
            <w:pPr>
              <w:spacing w:line="360" w:lineRule="exact"/>
              <w:ind w:firstLine="48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有科技进步奖、工法、专利、新技术应用示范工程、绿色施工示范工程、QC小组活动成果奖等</w:t>
            </w:r>
          </w:p>
        </w:tc>
        <w:tc>
          <w:tcPr>
            <w:tcW w:w="851" w:type="dxa"/>
            <w:noWrap w:val="0"/>
            <w:vAlign w:val="center"/>
          </w:tcPr>
          <w:p w14:paraId="75E12582">
            <w:pPr>
              <w:spacing w:line="320" w:lineRule="exact"/>
              <w:ind w:firstLine="0" w:firstLineChars="0"/>
              <w:jc w:val="center"/>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lang w:val="en-US" w:eastAsia="zh-CN"/>
              </w:rPr>
              <w:t>6</w:t>
            </w:r>
            <w:r>
              <w:rPr>
                <w:rFonts w:hint="default" w:ascii="Times New Roman" w:hAnsi="Times New Roman" w:eastAsia="宋体" w:cs="Times New Roman"/>
                <w:color w:val="auto"/>
                <w:sz w:val="24"/>
                <w:highlight w:val="none"/>
              </w:rPr>
              <w:t>分</w:t>
            </w:r>
          </w:p>
        </w:tc>
        <w:tc>
          <w:tcPr>
            <w:tcW w:w="850" w:type="dxa"/>
            <w:noWrap w:val="0"/>
            <w:vAlign w:val="center"/>
          </w:tcPr>
          <w:p w14:paraId="554CC6E5">
            <w:pPr>
              <w:spacing w:line="320" w:lineRule="exact"/>
              <w:ind w:firstLine="480"/>
              <w:jc w:val="center"/>
              <w:rPr>
                <w:rFonts w:hint="default" w:ascii="Times New Roman" w:hAnsi="Times New Roman" w:eastAsia="宋体" w:cs="Times New Roman"/>
                <w:color w:val="auto"/>
                <w:sz w:val="24"/>
                <w:highlight w:val="none"/>
              </w:rPr>
            </w:pPr>
          </w:p>
        </w:tc>
        <w:tc>
          <w:tcPr>
            <w:tcW w:w="5259" w:type="dxa"/>
            <w:noWrap w:val="0"/>
            <w:tcMar>
              <w:top w:w="113" w:type="dxa"/>
              <w:bottom w:w="113" w:type="dxa"/>
            </w:tcMar>
            <w:vAlign w:val="top"/>
          </w:tcPr>
          <w:p w14:paraId="47C85B04">
            <w:pPr>
              <w:spacing w:line="320" w:lineRule="exact"/>
              <w:ind w:firstLine="440"/>
              <w:rPr>
                <w:rFonts w:hint="default" w:ascii="Times New Roman" w:hAnsi="Times New Roman" w:eastAsia="宋体" w:cs="Times New Roman"/>
                <w:color w:val="auto"/>
                <w:sz w:val="22"/>
                <w:szCs w:val="22"/>
                <w:highlight w:val="none"/>
                <w:lang w:eastAsia="zh-CN"/>
              </w:rPr>
            </w:pPr>
            <w:r>
              <w:rPr>
                <w:rFonts w:hint="default" w:ascii="Times New Roman" w:hAnsi="Times New Roman" w:eastAsia="宋体" w:cs="Times New Roman"/>
                <w:color w:val="auto"/>
                <w:sz w:val="22"/>
                <w:szCs w:val="22"/>
                <w:highlight w:val="none"/>
              </w:rPr>
              <w:t>获得工法、专利（发明专利得2分，实用新型专利得1分）、新技术应用示范工程（国家级得2分，省级得1分，地市级得0.5分）；获科技进步奖（国家级得</w:t>
            </w:r>
            <w:r>
              <w:rPr>
                <w:rFonts w:hint="eastAsia" w:ascii="Times New Roman" w:hAnsi="Times New Roman" w:eastAsia="宋体" w:cs="Times New Roman"/>
                <w:color w:val="auto"/>
                <w:sz w:val="22"/>
                <w:szCs w:val="22"/>
                <w:highlight w:val="none"/>
                <w:lang w:val="en-US" w:eastAsia="zh-CN"/>
              </w:rPr>
              <w:t>4</w:t>
            </w:r>
            <w:r>
              <w:rPr>
                <w:rFonts w:hint="default" w:ascii="Times New Roman" w:hAnsi="Times New Roman" w:eastAsia="宋体" w:cs="Times New Roman"/>
                <w:color w:val="auto"/>
                <w:sz w:val="22"/>
                <w:szCs w:val="22"/>
                <w:highlight w:val="none"/>
              </w:rPr>
              <w:t>分，省级得</w:t>
            </w:r>
            <w:r>
              <w:rPr>
                <w:rFonts w:hint="eastAsia" w:ascii="Times New Roman" w:hAnsi="Times New Roman" w:eastAsia="宋体" w:cs="Times New Roman"/>
                <w:color w:val="auto"/>
                <w:sz w:val="22"/>
                <w:szCs w:val="22"/>
                <w:highlight w:val="none"/>
                <w:lang w:val="en-US" w:eastAsia="zh-CN"/>
              </w:rPr>
              <w:t>2</w:t>
            </w:r>
            <w:r>
              <w:rPr>
                <w:rFonts w:hint="default" w:ascii="Times New Roman" w:hAnsi="Times New Roman" w:eastAsia="宋体" w:cs="Times New Roman"/>
                <w:color w:val="auto"/>
                <w:sz w:val="22"/>
                <w:szCs w:val="22"/>
                <w:highlight w:val="none"/>
              </w:rPr>
              <w:t>分，地市级得</w:t>
            </w:r>
            <w:r>
              <w:rPr>
                <w:rFonts w:hint="eastAsia" w:ascii="Times New Roman" w:hAnsi="Times New Roman" w:cs="Times New Roman"/>
                <w:color w:val="auto"/>
                <w:sz w:val="22"/>
                <w:szCs w:val="22"/>
                <w:highlight w:val="none"/>
                <w:lang w:val="en-US" w:eastAsia="zh-CN"/>
              </w:rPr>
              <w:t>2</w:t>
            </w:r>
            <w:r>
              <w:rPr>
                <w:rFonts w:hint="default" w:ascii="Times New Roman" w:hAnsi="Times New Roman" w:eastAsia="宋体" w:cs="Times New Roman"/>
                <w:color w:val="auto"/>
                <w:sz w:val="22"/>
                <w:szCs w:val="22"/>
                <w:highlight w:val="none"/>
              </w:rPr>
              <w:t>分）；QC小组活动成果奖（国家级得1分，省级一、二等奖得0.5分，</w:t>
            </w:r>
            <w:r>
              <w:rPr>
                <w:rFonts w:hint="default" w:ascii="Times New Roman" w:hAnsi="Times New Roman" w:eastAsia="宋体" w:cs="Times New Roman"/>
                <w:color w:val="auto"/>
                <w:sz w:val="22"/>
                <w:szCs w:val="22"/>
                <w:highlight w:val="none"/>
                <w:lang w:val="en-US" w:eastAsia="zh-CN"/>
              </w:rPr>
              <w:t>如获得广州市工程建设质量管理小组活动（QC小组）评价得1分</w:t>
            </w:r>
            <w:r>
              <w:rPr>
                <w:rFonts w:hint="default" w:ascii="Times New Roman" w:hAnsi="Times New Roman" w:eastAsia="宋体" w:cs="Times New Roman"/>
                <w:color w:val="auto"/>
                <w:sz w:val="22"/>
                <w:szCs w:val="22"/>
                <w:highlight w:val="none"/>
              </w:rPr>
              <w:t>）；（本项满分</w:t>
            </w:r>
            <w:r>
              <w:rPr>
                <w:rFonts w:hint="default" w:ascii="Times New Roman" w:hAnsi="Times New Roman" w:eastAsia="宋体" w:cs="Times New Roman"/>
                <w:color w:val="auto"/>
                <w:sz w:val="22"/>
                <w:szCs w:val="22"/>
                <w:highlight w:val="none"/>
                <w:lang w:val="en-US" w:eastAsia="zh-CN"/>
              </w:rPr>
              <w:t>6</w:t>
            </w:r>
            <w:r>
              <w:rPr>
                <w:rFonts w:hint="default" w:ascii="Times New Roman" w:hAnsi="Times New Roman" w:eastAsia="宋体" w:cs="Times New Roman"/>
                <w:color w:val="auto"/>
                <w:sz w:val="22"/>
                <w:szCs w:val="22"/>
                <w:highlight w:val="none"/>
              </w:rPr>
              <w:t>分，</w:t>
            </w:r>
            <w:r>
              <w:rPr>
                <w:rFonts w:hint="default" w:ascii="Times New Roman" w:hAnsi="Times New Roman" w:eastAsia="宋体" w:cs="Times New Roman"/>
                <w:color w:val="auto"/>
                <w:sz w:val="22"/>
                <w:szCs w:val="22"/>
                <w:highlight w:val="none"/>
                <w:lang w:val="en-US" w:eastAsia="zh-CN"/>
              </w:rPr>
              <w:t>以上地市级均应为广州市建筑业联合会颁发的奖项，</w:t>
            </w:r>
            <w:r>
              <w:rPr>
                <w:rFonts w:hint="default" w:ascii="Times New Roman" w:hAnsi="Times New Roman" w:eastAsia="宋体" w:cs="Times New Roman"/>
                <w:color w:val="auto"/>
                <w:sz w:val="22"/>
                <w:szCs w:val="22"/>
                <w:highlight w:val="none"/>
              </w:rPr>
              <w:t>同一项目获奖按最高奖项得分，不重复加分）。</w:t>
            </w:r>
          </w:p>
        </w:tc>
      </w:tr>
      <w:tr w14:paraId="13377BB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418" w:type="dxa"/>
            <w:vMerge w:val="continue"/>
            <w:noWrap w:val="0"/>
            <w:vAlign w:val="center"/>
          </w:tcPr>
          <w:p w14:paraId="590AD606">
            <w:pPr>
              <w:spacing w:line="520" w:lineRule="exact"/>
              <w:ind w:left="354" w:right="-31" w:rightChars="-15" w:hanging="354" w:hangingChars="147"/>
              <w:jc w:val="center"/>
              <w:rPr>
                <w:rFonts w:hint="default" w:ascii="Times New Roman" w:hAnsi="Times New Roman" w:eastAsia="宋体" w:cs="Times New Roman"/>
                <w:b/>
                <w:color w:val="auto"/>
                <w:sz w:val="24"/>
                <w:highlight w:val="none"/>
              </w:rPr>
            </w:pPr>
          </w:p>
        </w:tc>
        <w:tc>
          <w:tcPr>
            <w:tcW w:w="2341" w:type="dxa"/>
            <w:noWrap w:val="0"/>
            <w:vAlign w:val="center"/>
          </w:tcPr>
          <w:p w14:paraId="4E66D728">
            <w:pPr>
              <w:spacing w:line="320" w:lineRule="exact"/>
              <w:ind w:firstLine="0" w:firstLineChars="0"/>
              <w:jc w:val="left"/>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4、标准化工作</w:t>
            </w:r>
          </w:p>
        </w:tc>
        <w:tc>
          <w:tcPr>
            <w:tcW w:w="3260" w:type="dxa"/>
            <w:noWrap w:val="0"/>
            <w:vAlign w:val="center"/>
          </w:tcPr>
          <w:p w14:paraId="20D7C5E3">
            <w:pPr>
              <w:spacing w:line="360" w:lineRule="exact"/>
              <w:ind w:firstLine="48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企业具有详细的技术和管理标准，并得到有效实施；参与过国家标准、行业标准或省市级地方标准的制订</w:t>
            </w:r>
          </w:p>
        </w:tc>
        <w:tc>
          <w:tcPr>
            <w:tcW w:w="851" w:type="dxa"/>
            <w:noWrap w:val="0"/>
            <w:vAlign w:val="center"/>
          </w:tcPr>
          <w:p w14:paraId="47CF0F24">
            <w:pPr>
              <w:spacing w:line="320" w:lineRule="exact"/>
              <w:ind w:firstLine="0" w:firstLineChars="0"/>
              <w:jc w:val="center"/>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4分</w:t>
            </w:r>
          </w:p>
        </w:tc>
        <w:tc>
          <w:tcPr>
            <w:tcW w:w="850" w:type="dxa"/>
            <w:noWrap w:val="0"/>
            <w:vAlign w:val="center"/>
          </w:tcPr>
          <w:p w14:paraId="3D88C1D8">
            <w:pPr>
              <w:spacing w:line="320" w:lineRule="exact"/>
              <w:ind w:firstLine="480"/>
              <w:jc w:val="center"/>
              <w:rPr>
                <w:rFonts w:hint="default" w:ascii="Times New Roman" w:hAnsi="Times New Roman" w:eastAsia="宋体" w:cs="Times New Roman"/>
                <w:color w:val="auto"/>
                <w:sz w:val="24"/>
                <w:highlight w:val="none"/>
              </w:rPr>
            </w:pPr>
          </w:p>
        </w:tc>
        <w:tc>
          <w:tcPr>
            <w:tcW w:w="5259" w:type="dxa"/>
            <w:noWrap w:val="0"/>
            <w:tcMar>
              <w:top w:w="113" w:type="dxa"/>
              <w:bottom w:w="113" w:type="dxa"/>
            </w:tcMar>
            <w:vAlign w:val="center"/>
          </w:tcPr>
          <w:p w14:paraId="2CF88EAB">
            <w:pPr>
              <w:spacing w:line="360" w:lineRule="exact"/>
              <w:ind w:firstLine="440"/>
              <w:rPr>
                <w:rFonts w:hint="default" w:ascii="Times New Roman" w:hAnsi="Times New Roman" w:eastAsia="宋体" w:cs="Times New Roman"/>
                <w:color w:val="auto"/>
                <w:sz w:val="22"/>
                <w:szCs w:val="22"/>
                <w:highlight w:val="none"/>
              </w:rPr>
            </w:pPr>
            <w:r>
              <w:rPr>
                <w:rFonts w:hint="default" w:ascii="Times New Roman" w:hAnsi="Times New Roman" w:eastAsia="宋体" w:cs="Times New Roman"/>
                <w:color w:val="auto"/>
                <w:sz w:val="22"/>
                <w:szCs w:val="22"/>
                <w:highlight w:val="none"/>
              </w:rPr>
              <w:t>有详细的技术和管理标准者得2分；参与过国家标准、行业标准制订者得2分；参与过省市级地方团体标准制订者得1分（本项满分4分）。</w:t>
            </w:r>
          </w:p>
        </w:tc>
      </w:tr>
    </w:tbl>
    <w:p w14:paraId="622481D8">
      <w:pPr>
        <w:spacing w:line="60" w:lineRule="exact"/>
        <w:ind w:firstLine="420"/>
        <w:rPr>
          <w:rFonts w:hint="default" w:ascii="Times New Roman" w:hAnsi="Times New Roman" w:eastAsia="宋体" w:cs="Times New Roman"/>
          <w:color w:val="auto"/>
          <w:sz w:val="21"/>
          <w:highlight w:val="none"/>
        </w:rPr>
      </w:pPr>
    </w:p>
    <w:tbl>
      <w:tblPr>
        <w:tblStyle w:val="27"/>
        <w:tblW w:w="13961"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1333"/>
        <w:gridCol w:w="2266"/>
        <w:gridCol w:w="2976"/>
        <w:gridCol w:w="993"/>
        <w:gridCol w:w="850"/>
        <w:gridCol w:w="5543"/>
      </w:tblGrid>
      <w:tr w14:paraId="72B0BA6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576" w:hRule="atLeast"/>
          <w:jc w:val="center"/>
        </w:trPr>
        <w:tc>
          <w:tcPr>
            <w:tcW w:w="1333" w:type="dxa"/>
            <w:vMerge w:val="restart"/>
            <w:noWrap w:val="0"/>
            <w:vAlign w:val="center"/>
          </w:tcPr>
          <w:p w14:paraId="61CBB397">
            <w:pPr>
              <w:spacing w:line="520" w:lineRule="exact"/>
              <w:ind w:left="388" w:right="-34" w:rightChars="-16" w:hanging="388" w:hangingChars="161"/>
              <w:jc w:val="left"/>
              <w:rPr>
                <w:rFonts w:hint="default" w:ascii="Times New Roman" w:hAnsi="Times New Roman" w:eastAsia="宋体" w:cs="Times New Roman"/>
                <w:b/>
                <w:color w:val="auto"/>
                <w:sz w:val="24"/>
                <w:highlight w:val="none"/>
              </w:rPr>
            </w:pPr>
            <w:r>
              <w:rPr>
                <w:rFonts w:hint="default" w:ascii="Times New Roman" w:hAnsi="Times New Roman" w:eastAsia="宋体" w:cs="Times New Roman"/>
                <w:b/>
                <w:color w:val="auto"/>
                <w:sz w:val="24"/>
                <w:highlight w:val="none"/>
              </w:rPr>
              <w:t>五、信用记录指标</w:t>
            </w:r>
          </w:p>
          <w:p w14:paraId="61D7824A">
            <w:pPr>
              <w:spacing w:line="520" w:lineRule="exact"/>
              <w:ind w:left="494" w:right="-34" w:rightChars="-16" w:hanging="494" w:hangingChars="205"/>
              <w:jc w:val="center"/>
              <w:rPr>
                <w:rFonts w:hint="default" w:ascii="Times New Roman" w:hAnsi="Times New Roman" w:eastAsia="宋体" w:cs="Times New Roman"/>
                <w:b/>
                <w:color w:val="auto"/>
                <w:sz w:val="21"/>
                <w:highlight w:val="none"/>
              </w:rPr>
            </w:pPr>
            <w:r>
              <w:rPr>
                <w:rFonts w:hint="default" w:ascii="Times New Roman" w:hAnsi="Times New Roman" w:eastAsia="宋体" w:cs="Times New Roman"/>
                <w:b/>
                <w:color w:val="auto"/>
                <w:sz w:val="24"/>
                <w:highlight w:val="none"/>
                <w:lang w:val="en-US" w:eastAsia="zh-CN"/>
              </w:rPr>
              <w:t>15</w:t>
            </w:r>
            <w:r>
              <w:rPr>
                <w:rFonts w:hint="default" w:ascii="Times New Roman" w:hAnsi="Times New Roman" w:eastAsia="宋体" w:cs="Times New Roman"/>
                <w:b/>
                <w:color w:val="auto"/>
                <w:sz w:val="24"/>
                <w:highlight w:val="none"/>
              </w:rPr>
              <w:t>分</w:t>
            </w:r>
          </w:p>
        </w:tc>
        <w:tc>
          <w:tcPr>
            <w:tcW w:w="2266" w:type="dxa"/>
            <w:noWrap w:val="0"/>
            <w:vAlign w:val="center"/>
          </w:tcPr>
          <w:p w14:paraId="51E08399">
            <w:pPr>
              <w:spacing w:line="320" w:lineRule="exact"/>
              <w:ind w:firstLine="0" w:firstLineChars="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lang w:val="en-US" w:eastAsia="zh-CN"/>
              </w:rPr>
              <w:t>1、</w:t>
            </w:r>
            <w:r>
              <w:rPr>
                <w:rFonts w:hint="default" w:ascii="Times New Roman" w:hAnsi="Times New Roman" w:eastAsia="宋体" w:cs="Times New Roman"/>
                <w:color w:val="auto"/>
                <w:sz w:val="24"/>
                <w:highlight w:val="none"/>
              </w:rPr>
              <w:t>企业履约评价</w:t>
            </w:r>
          </w:p>
        </w:tc>
        <w:tc>
          <w:tcPr>
            <w:tcW w:w="2976" w:type="dxa"/>
            <w:noWrap w:val="0"/>
            <w:vAlign w:val="center"/>
          </w:tcPr>
          <w:p w14:paraId="71CADE62">
            <w:pPr>
              <w:spacing w:line="280" w:lineRule="exact"/>
              <w:ind w:firstLine="480" w:firstLineChars="200"/>
              <w:rPr>
                <w:rFonts w:hint="default" w:ascii="Times New Roman" w:hAnsi="Times New Roman" w:eastAsia="宋体" w:cs="Times New Roman"/>
                <w:color w:val="auto"/>
                <w:sz w:val="24"/>
                <w:highlight w:val="none"/>
                <w:lang w:val="en-US" w:eastAsia="zh-CN"/>
              </w:rPr>
            </w:pPr>
            <w:r>
              <w:rPr>
                <w:rFonts w:hint="default" w:ascii="Times New Roman" w:hAnsi="Times New Roman" w:eastAsia="宋体" w:cs="Times New Roman"/>
                <w:color w:val="auto"/>
                <w:sz w:val="24"/>
                <w:highlight w:val="none"/>
              </w:rPr>
              <w:t>企业履行合同、诚信经营、获得广东省市场协会颁发的广东省守合同重信用企业称号</w:t>
            </w:r>
            <w:r>
              <w:rPr>
                <w:rFonts w:hint="default"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lang w:val="en-US" w:eastAsia="zh-CN"/>
              </w:rPr>
              <w:t>获得</w:t>
            </w:r>
            <w:r>
              <w:rPr>
                <w:rFonts w:hint="eastAsia" w:ascii="Times New Roman" w:hAnsi="Times New Roman" w:cs="Times New Roman"/>
                <w:color w:val="auto"/>
                <w:sz w:val="24"/>
                <w:highlight w:val="none"/>
                <w:lang w:val="en-US" w:eastAsia="zh-CN"/>
              </w:rPr>
              <w:t>国家级、</w:t>
            </w:r>
            <w:r>
              <w:rPr>
                <w:rFonts w:hint="default" w:ascii="Times New Roman" w:hAnsi="Times New Roman" w:eastAsia="宋体" w:cs="Times New Roman"/>
                <w:color w:val="auto"/>
                <w:sz w:val="24"/>
                <w:highlight w:val="none"/>
                <w:lang w:val="en-US" w:eastAsia="zh-CN"/>
              </w:rPr>
              <w:t>广州市工程建设企业信用等级评价证书</w:t>
            </w:r>
          </w:p>
        </w:tc>
        <w:tc>
          <w:tcPr>
            <w:tcW w:w="993" w:type="dxa"/>
            <w:noWrap w:val="0"/>
            <w:vAlign w:val="center"/>
          </w:tcPr>
          <w:p w14:paraId="0EBC7B9F">
            <w:pPr>
              <w:spacing w:line="280" w:lineRule="exact"/>
              <w:ind w:firstLine="0" w:firstLineChars="0"/>
              <w:jc w:val="center"/>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lang w:val="en-US" w:eastAsia="zh-CN"/>
              </w:rPr>
              <w:t>3</w:t>
            </w:r>
            <w:r>
              <w:rPr>
                <w:rFonts w:hint="default" w:ascii="Times New Roman" w:hAnsi="Times New Roman" w:eastAsia="宋体" w:cs="Times New Roman"/>
                <w:color w:val="auto"/>
                <w:sz w:val="24"/>
                <w:highlight w:val="none"/>
              </w:rPr>
              <w:t>分</w:t>
            </w:r>
          </w:p>
        </w:tc>
        <w:tc>
          <w:tcPr>
            <w:tcW w:w="850" w:type="dxa"/>
            <w:noWrap w:val="0"/>
            <w:vAlign w:val="center"/>
          </w:tcPr>
          <w:p w14:paraId="03CB0867">
            <w:pPr>
              <w:spacing w:line="280" w:lineRule="exact"/>
              <w:ind w:firstLine="480" w:firstLineChars="200"/>
              <w:jc w:val="center"/>
              <w:rPr>
                <w:rFonts w:hint="default" w:ascii="Times New Roman" w:hAnsi="Times New Roman" w:eastAsia="宋体" w:cs="Times New Roman"/>
                <w:color w:val="auto"/>
                <w:sz w:val="24"/>
                <w:highlight w:val="none"/>
              </w:rPr>
            </w:pPr>
          </w:p>
        </w:tc>
        <w:tc>
          <w:tcPr>
            <w:tcW w:w="5543" w:type="dxa"/>
            <w:noWrap w:val="0"/>
            <w:tcMar>
              <w:top w:w="113" w:type="dxa"/>
              <w:bottom w:w="113" w:type="dxa"/>
            </w:tcMar>
            <w:vAlign w:val="center"/>
          </w:tcPr>
          <w:p w14:paraId="53ED2876">
            <w:pPr>
              <w:spacing w:line="280" w:lineRule="exact"/>
              <w:ind w:firstLine="424" w:firstLineChars="200"/>
              <w:rPr>
                <w:rFonts w:hint="default" w:ascii="Times New Roman" w:hAnsi="Times New Roman" w:eastAsia="宋体" w:cs="Times New Roman"/>
                <w:color w:val="auto"/>
                <w:sz w:val="22"/>
                <w:szCs w:val="22"/>
                <w:highlight w:val="none"/>
                <w:lang w:val="en-US" w:eastAsia="zh-CN"/>
              </w:rPr>
            </w:pPr>
            <w:r>
              <w:rPr>
                <w:rFonts w:hint="eastAsia" w:ascii="Times New Roman" w:hAnsi="Times New Roman" w:cs="Times New Roman"/>
                <w:color w:val="auto"/>
                <w:spacing w:val="-4"/>
                <w:sz w:val="22"/>
                <w:szCs w:val="22"/>
                <w:highlight w:val="none"/>
                <w:lang w:val="en-US" w:eastAsia="zh-CN"/>
              </w:rPr>
              <w:t>最近一年度</w:t>
            </w:r>
            <w:r>
              <w:rPr>
                <w:rFonts w:hint="default" w:ascii="Times New Roman" w:hAnsi="Times New Roman" w:eastAsia="宋体" w:cs="Times New Roman"/>
                <w:color w:val="auto"/>
                <w:spacing w:val="-4"/>
                <w:sz w:val="22"/>
                <w:szCs w:val="22"/>
                <w:highlight w:val="none"/>
                <w:lang w:val="en-US" w:eastAsia="zh-CN"/>
              </w:rPr>
              <w:t>获得</w:t>
            </w:r>
            <w:r>
              <w:rPr>
                <w:rFonts w:hint="default" w:ascii="Times New Roman" w:hAnsi="Times New Roman" w:cs="Times New Roman"/>
                <w:color w:val="auto"/>
                <w:spacing w:val="-4"/>
                <w:sz w:val="22"/>
                <w:szCs w:val="22"/>
                <w:highlight w:val="none"/>
                <w:lang w:val="en-US" w:eastAsia="zh-CN"/>
              </w:rPr>
              <w:t>守合同重信用企业称号</w:t>
            </w:r>
            <w:r>
              <w:rPr>
                <w:rFonts w:hint="eastAsia" w:ascii="Times New Roman" w:hAnsi="Times New Roman" w:cs="Times New Roman"/>
                <w:color w:val="auto"/>
                <w:spacing w:val="-4"/>
                <w:sz w:val="22"/>
                <w:szCs w:val="22"/>
                <w:highlight w:val="none"/>
                <w:lang w:val="en-US" w:eastAsia="zh-CN"/>
              </w:rPr>
              <w:t>的得2分；国家级</w:t>
            </w:r>
            <w:r>
              <w:rPr>
                <w:rFonts w:hint="default" w:ascii="Times New Roman" w:hAnsi="Times New Roman" w:eastAsia="宋体" w:cs="Times New Roman"/>
                <w:color w:val="auto"/>
                <w:spacing w:val="-4"/>
                <w:sz w:val="22"/>
                <w:szCs w:val="22"/>
                <w:highlight w:val="none"/>
              </w:rPr>
              <w:t>企业信用等级评价</w:t>
            </w:r>
            <w:r>
              <w:rPr>
                <w:rFonts w:hint="default" w:ascii="Times New Roman" w:hAnsi="Times New Roman" w:eastAsia="宋体" w:cs="Times New Roman"/>
                <w:color w:val="auto"/>
                <w:spacing w:val="-4"/>
                <w:sz w:val="22"/>
                <w:szCs w:val="22"/>
                <w:highlight w:val="none"/>
                <w:lang w:val="en-US" w:eastAsia="zh-CN"/>
              </w:rPr>
              <w:t>获得AAA级得</w:t>
            </w:r>
            <w:r>
              <w:rPr>
                <w:rFonts w:hint="eastAsia" w:ascii="Times New Roman" w:hAnsi="Times New Roman" w:cs="Times New Roman"/>
                <w:color w:val="auto"/>
                <w:spacing w:val="-4"/>
                <w:sz w:val="22"/>
                <w:szCs w:val="22"/>
                <w:highlight w:val="none"/>
                <w:lang w:val="en-US" w:eastAsia="zh-CN"/>
              </w:rPr>
              <w:t>3</w:t>
            </w:r>
            <w:r>
              <w:rPr>
                <w:rFonts w:hint="default" w:ascii="Times New Roman" w:hAnsi="Times New Roman" w:eastAsia="宋体" w:cs="Times New Roman"/>
                <w:color w:val="auto"/>
                <w:spacing w:val="-4"/>
                <w:sz w:val="22"/>
                <w:szCs w:val="22"/>
                <w:highlight w:val="none"/>
                <w:lang w:val="en-US" w:eastAsia="zh-CN"/>
              </w:rPr>
              <w:t>分，获得AA级得</w:t>
            </w:r>
            <w:r>
              <w:rPr>
                <w:rFonts w:hint="eastAsia" w:ascii="Times New Roman" w:hAnsi="Times New Roman" w:cs="Times New Roman"/>
                <w:color w:val="auto"/>
                <w:spacing w:val="-4"/>
                <w:sz w:val="22"/>
                <w:szCs w:val="22"/>
                <w:highlight w:val="none"/>
                <w:lang w:val="en-US" w:eastAsia="zh-CN"/>
              </w:rPr>
              <w:t>2</w:t>
            </w:r>
            <w:r>
              <w:rPr>
                <w:rFonts w:hint="default" w:ascii="Times New Roman" w:hAnsi="Times New Roman" w:eastAsia="宋体" w:cs="Times New Roman"/>
                <w:color w:val="auto"/>
                <w:spacing w:val="-4"/>
                <w:sz w:val="22"/>
                <w:szCs w:val="22"/>
                <w:highlight w:val="none"/>
                <w:lang w:val="en-US" w:eastAsia="zh-CN"/>
              </w:rPr>
              <w:t>分</w:t>
            </w:r>
            <w:r>
              <w:rPr>
                <w:rFonts w:hint="eastAsia" w:ascii="Times New Roman" w:hAnsi="Times New Roman" w:cs="Times New Roman"/>
                <w:color w:val="auto"/>
                <w:spacing w:val="-4"/>
                <w:sz w:val="22"/>
                <w:szCs w:val="22"/>
                <w:highlight w:val="none"/>
                <w:lang w:val="en-US" w:eastAsia="zh-CN"/>
              </w:rPr>
              <w:t>；获得</w:t>
            </w:r>
            <w:r>
              <w:rPr>
                <w:rFonts w:hint="default" w:ascii="Times New Roman" w:hAnsi="Times New Roman" w:eastAsia="宋体" w:cs="Times New Roman"/>
                <w:color w:val="auto"/>
                <w:spacing w:val="-4"/>
                <w:sz w:val="22"/>
                <w:szCs w:val="22"/>
                <w:highlight w:val="none"/>
              </w:rPr>
              <w:t>广州市工程建设企业信用等级评价</w:t>
            </w:r>
            <w:r>
              <w:rPr>
                <w:rFonts w:hint="default" w:ascii="Times New Roman" w:hAnsi="Times New Roman" w:eastAsia="宋体" w:cs="Times New Roman"/>
                <w:color w:val="auto"/>
                <w:spacing w:val="-4"/>
                <w:sz w:val="22"/>
                <w:szCs w:val="22"/>
                <w:highlight w:val="none"/>
                <w:lang w:val="en-US" w:eastAsia="zh-CN"/>
              </w:rPr>
              <w:t>获得AAA级得2分，获得AA级得1.5分，</w:t>
            </w:r>
            <w:r>
              <w:rPr>
                <w:rFonts w:hint="eastAsia" w:ascii="Times New Roman" w:hAnsi="Times New Roman" w:cs="Times New Roman"/>
                <w:color w:val="auto"/>
                <w:spacing w:val="-4"/>
                <w:sz w:val="22"/>
                <w:szCs w:val="22"/>
                <w:highlight w:val="none"/>
                <w:lang w:val="en-US" w:eastAsia="zh-CN"/>
              </w:rPr>
              <w:t>本项满分3分</w:t>
            </w:r>
            <w:r>
              <w:rPr>
                <w:rFonts w:hint="default" w:ascii="Times New Roman" w:hAnsi="Times New Roman" w:eastAsia="宋体" w:cs="Times New Roman"/>
                <w:color w:val="auto"/>
                <w:spacing w:val="-4"/>
                <w:sz w:val="22"/>
                <w:szCs w:val="22"/>
                <w:highlight w:val="none"/>
                <w:lang w:val="en-US" w:eastAsia="zh-CN"/>
              </w:rPr>
              <w:t>。</w:t>
            </w:r>
          </w:p>
        </w:tc>
      </w:tr>
      <w:tr w14:paraId="2007F0D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61" w:hRule="atLeast"/>
          <w:jc w:val="center"/>
        </w:trPr>
        <w:tc>
          <w:tcPr>
            <w:tcW w:w="1333" w:type="dxa"/>
            <w:vMerge w:val="continue"/>
            <w:noWrap w:val="0"/>
            <w:vAlign w:val="center"/>
          </w:tcPr>
          <w:p w14:paraId="542B079A">
            <w:pPr>
              <w:spacing w:line="520" w:lineRule="exact"/>
              <w:ind w:left="388" w:right="-34" w:rightChars="-16" w:hanging="388" w:hangingChars="161"/>
              <w:jc w:val="left"/>
              <w:rPr>
                <w:rFonts w:hint="default" w:ascii="Times New Roman" w:hAnsi="Times New Roman" w:eastAsia="宋体" w:cs="Times New Roman"/>
                <w:b/>
                <w:color w:val="auto"/>
                <w:sz w:val="24"/>
                <w:highlight w:val="none"/>
              </w:rPr>
            </w:pPr>
          </w:p>
        </w:tc>
        <w:tc>
          <w:tcPr>
            <w:tcW w:w="2266" w:type="dxa"/>
            <w:noWrap w:val="0"/>
            <w:vAlign w:val="center"/>
          </w:tcPr>
          <w:p w14:paraId="4E40F48B">
            <w:pPr>
              <w:spacing w:line="320" w:lineRule="exact"/>
              <w:ind w:firstLine="0" w:firstLineChars="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lang w:val="en-US" w:eastAsia="zh-CN"/>
              </w:rPr>
              <w:t>2、</w:t>
            </w:r>
            <w:r>
              <w:rPr>
                <w:rFonts w:hint="default" w:ascii="Times New Roman" w:hAnsi="Times New Roman" w:eastAsia="宋体" w:cs="Times New Roman"/>
                <w:color w:val="auto"/>
                <w:sz w:val="24"/>
                <w:highlight w:val="none"/>
              </w:rPr>
              <w:t>行为记录</w:t>
            </w:r>
          </w:p>
        </w:tc>
        <w:tc>
          <w:tcPr>
            <w:tcW w:w="2976" w:type="dxa"/>
            <w:noWrap w:val="0"/>
            <w:vAlign w:val="center"/>
          </w:tcPr>
          <w:p w14:paraId="7C5EA4EA">
            <w:pPr>
              <w:spacing w:line="360" w:lineRule="exact"/>
              <w:ind w:firstLine="480"/>
              <w:rPr>
                <w:rFonts w:hint="default" w:ascii="Times New Roman" w:hAnsi="Times New Roman" w:eastAsia="宋体" w:cs="Times New Roman"/>
                <w:color w:val="auto"/>
                <w:sz w:val="24"/>
                <w:highlight w:val="none"/>
                <w:lang w:val="en-US" w:eastAsia="zh-CN"/>
              </w:rPr>
            </w:pPr>
            <w:r>
              <w:rPr>
                <w:rFonts w:hint="default" w:ascii="Times New Roman" w:hAnsi="Times New Roman" w:eastAsia="宋体" w:cs="Times New Roman"/>
                <w:color w:val="auto"/>
                <w:sz w:val="24"/>
                <w:highlight w:val="none"/>
              </w:rPr>
              <w:t>企业经营中无违反有关法律、法规、规章或强制性标准和执业行为规范，无构成不良行为</w:t>
            </w:r>
            <w:r>
              <w:rPr>
                <w:rFonts w:hint="default" w:ascii="Times New Roman" w:hAnsi="Times New Roman" w:cs="Times New Roman"/>
                <w:color w:val="auto"/>
                <w:sz w:val="24"/>
                <w:highlight w:val="none"/>
                <w:lang w:eastAsia="zh-CN"/>
              </w:rPr>
              <w:t>，</w:t>
            </w:r>
            <w:r>
              <w:rPr>
                <w:rFonts w:hint="default" w:ascii="Times New Roman" w:hAnsi="Times New Roman" w:cs="Times New Roman"/>
                <w:color w:val="auto"/>
                <w:sz w:val="24"/>
                <w:highlight w:val="none"/>
                <w:lang w:val="en-US" w:eastAsia="zh-CN"/>
              </w:rPr>
              <w:t>积极参与协会的优秀企业评选。</w:t>
            </w:r>
          </w:p>
        </w:tc>
        <w:tc>
          <w:tcPr>
            <w:tcW w:w="993" w:type="dxa"/>
            <w:noWrap w:val="0"/>
            <w:vAlign w:val="center"/>
          </w:tcPr>
          <w:p w14:paraId="0157C7BD">
            <w:pPr>
              <w:spacing w:line="320" w:lineRule="exact"/>
              <w:ind w:firstLine="0" w:firstLineChars="0"/>
              <w:jc w:val="center"/>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lang w:val="en-US" w:eastAsia="zh-CN"/>
              </w:rPr>
              <w:t>10</w:t>
            </w:r>
            <w:r>
              <w:rPr>
                <w:rFonts w:hint="default" w:ascii="Times New Roman" w:hAnsi="Times New Roman" w:eastAsia="宋体" w:cs="Times New Roman"/>
                <w:color w:val="auto"/>
                <w:sz w:val="24"/>
                <w:highlight w:val="none"/>
              </w:rPr>
              <w:t>分</w:t>
            </w:r>
          </w:p>
        </w:tc>
        <w:tc>
          <w:tcPr>
            <w:tcW w:w="850" w:type="dxa"/>
            <w:noWrap w:val="0"/>
            <w:vAlign w:val="center"/>
          </w:tcPr>
          <w:p w14:paraId="763B7486">
            <w:pPr>
              <w:spacing w:line="320" w:lineRule="exact"/>
              <w:ind w:firstLine="480"/>
              <w:jc w:val="center"/>
              <w:rPr>
                <w:rFonts w:hint="default" w:ascii="Times New Roman" w:hAnsi="Times New Roman" w:eastAsia="宋体" w:cs="Times New Roman"/>
                <w:color w:val="auto"/>
                <w:sz w:val="24"/>
                <w:highlight w:val="none"/>
              </w:rPr>
            </w:pPr>
          </w:p>
        </w:tc>
        <w:tc>
          <w:tcPr>
            <w:tcW w:w="5543" w:type="dxa"/>
            <w:noWrap w:val="0"/>
            <w:tcMar>
              <w:top w:w="113" w:type="dxa"/>
              <w:bottom w:w="113" w:type="dxa"/>
            </w:tcMar>
            <w:vAlign w:val="center"/>
          </w:tcPr>
          <w:p w14:paraId="5EA28115">
            <w:pPr>
              <w:spacing w:line="320" w:lineRule="exact"/>
              <w:ind w:firstLine="424"/>
              <w:rPr>
                <w:rFonts w:hint="default" w:ascii="Times New Roman" w:hAnsi="Times New Roman" w:eastAsia="宋体" w:cs="Times New Roman"/>
                <w:color w:val="auto"/>
                <w:spacing w:val="-4"/>
                <w:sz w:val="22"/>
                <w:szCs w:val="22"/>
                <w:highlight w:val="none"/>
                <w:lang w:val="en-US" w:eastAsia="zh-CN"/>
              </w:rPr>
            </w:pPr>
            <w:r>
              <w:rPr>
                <w:rFonts w:hint="default" w:ascii="Times New Roman" w:hAnsi="Times New Roman" w:eastAsia="宋体" w:cs="Times New Roman"/>
                <w:color w:val="auto"/>
                <w:spacing w:val="-4"/>
                <w:sz w:val="22"/>
                <w:szCs w:val="22"/>
                <w:highlight w:val="none"/>
              </w:rPr>
              <w:t>企业没有不良行为记录得</w:t>
            </w:r>
            <w:r>
              <w:rPr>
                <w:rFonts w:hint="default" w:ascii="Times New Roman" w:hAnsi="Times New Roman" w:eastAsia="宋体" w:cs="Times New Roman"/>
                <w:color w:val="auto"/>
                <w:spacing w:val="-4"/>
                <w:sz w:val="22"/>
                <w:szCs w:val="22"/>
                <w:highlight w:val="none"/>
                <w:lang w:val="en-US" w:eastAsia="zh-CN"/>
              </w:rPr>
              <w:t>10</w:t>
            </w:r>
            <w:r>
              <w:rPr>
                <w:rFonts w:hint="default" w:ascii="Times New Roman" w:hAnsi="Times New Roman" w:eastAsia="宋体" w:cs="Times New Roman"/>
                <w:color w:val="auto"/>
                <w:spacing w:val="-4"/>
                <w:sz w:val="22"/>
                <w:szCs w:val="22"/>
                <w:highlight w:val="none"/>
              </w:rPr>
              <w:t>分</w:t>
            </w:r>
            <w:r>
              <w:rPr>
                <w:rFonts w:hint="default" w:ascii="Times New Roman" w:hAnsi="Times New Roman" w:cs="Times New Roman"/>
                <w:color w:val="auto"/>
                <w:spacing w:val="-4"/>
                <w:sz w:val="22"/>
                <w:szCs w:val="22"/>
                <w:highlight w:val="none"/>
                <w:lang w:eastAsia="zh-CN"/>
              </w:rPr>
              <w:t>，</w:t>
            </w:r>
            <w:r>
              <w:rPr>
                <w:rFonts w:hint="default" w:ascii="Times New Roman" w:hAnsi="Times New Roman" w:eastAsia="宋体" w:cs="Times New Roman"/>
                <w:color w:val="auto"/>
                <w:spacing w:val="-4"/>
                <w:sz w:val="22"/>
                <w:szCs w:val="22"/>
                <w:highlight w:val="none"/>
                <w:lang w:val="en-US" w:eastAsia="zh-CN"/>
              </w:rPr>
              <w:t>连续3年获得广州市建筑业联合会颁发的优秀企业称号的得5分。</w:t>
            </w:r>
            <w:r>
              <w:rPr>
                <w:rFonts w:hint="default" w:ascii="Times New Roman" w:hAnsi="Times New Roman" w:eastAsia="宋体" w:cs="Times New Roman"/>
                <w:color w:val="auto"/>
                <w:spacing w:val="-4"/>
                <w:sz w:val="22"/>
                <w:szCs w:val="22"/>
                <w:highlight w:val="none"/>
              </w:rPr>
              <w:t>根据国家和本省有关违法违规、不良行为的规定，企业或企业法人被列入法院被执行对象的每起扣</w:t>
            </w:r>
            <w:r>
              <w:rPr>
                <w:rFonts w:hint="default" w:ascii="Times New Roman" w:hAnsi="Times New Roman" w:eastAsia="宋体" w:cs="Times New Roman"/>
                <w:color w:val="auto"/>
                <w:spacing w:val="-4"/>
                <w:sz w:val="22"/>
                <w:szCs w:val="22"/>
                <w:highlight w:val="none"/>
                <w:lang w:val="en-US" w:eastAsia="zh-CN"/>
              </w:rPr>
              <w:t>5</w:t>
            </w:r>
            <w:r>
              <w:rPr>
                <w:rFonts w:hint="default" w:ascii="Times New Roman" w:hAnsi="Times New Roman" w:eastAsia="宋体" w:cs="Times New Roman"/>
                <w:color w:val="auto"/>
                <w:spacing w:val="-4"/>
                <w:sz w:val="22"/>
                <w:szCs w:val="22"/>
                <w:highlight w:val="none"/>
              </w:rPr>
              <w:t>分，受建设行政主管部门或其委托的执行监督机构处罚的每起扣5分，受其他行政部门处罚的视不良</w:t>
            </w:r>
            <w:r>
              <w:rPr>
                <w:rFonts w:hint="default" w:ascii="Times New Roman" w:hAnsi="Times New Roman" w:eastAsia="宋体" w:cs="Times New Roman"/>
                <w:color w:val="auto"/>
                <w:spacing w:val="-4"/>
                <w:sz w:val="22"/>
                <w:szCs w:val="22"/>
                <w:highlight w:val="none"/>
                <w:lang w:val="en-US" w:eastAsia="zh-CN"/>
              </w:rPr>
              <w:t>行为严重程度酌情扣分（以上不良行为处罚信息以政府部门信息公开平台查实并公布的信息为准，同一行为按最重的扣分，本项满分10分）。</w:t>
            </w:r>
          </w:p>
        </w:tc>
      </w:tr>
      <w:tr w14:paraId="736A354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333" w:type="dxa"/>
            <w:vMerge w:val="continue"/>
            <w:noWrap w:val="0"/>
            <w:vAlign w:val="center"/>
          </w:tcPr>
          <w:p w14:paraId="66CCF403">
            <w:pPr>
              <w:spacing w:line="520" w:lineRule="exact"/>
              <w:ind w:left="388" w:right="-34" w:rightChars="-16" w:hanging="388" w:hangingChars="161"/>
              <w:jc w:val="left"/>
              <w:rPr>
                <w:rFonts w:hint="default" w:ascii="Times New Roman" w:hAnsi="Times New Roman" w:eastAsia="宋体" w:cs="Times New Roman"/>
                <w:b/>
                <w:color w:val="auto"/>
                <w:sz w:val="24"/>
                <w:highlight w:val="none"/>
              </w:rPr>
            </w:pPr>
          </w:p>
        </w:tc>
        <w:tc>
          <w:tcPr>
            <w:tcW w:w="2266" w:type="dxa"/>
            <w:noWrap w:val="0"/>
            <w:vAlign w:val="center"/>
          </w:tcPr>
          <w:p w14:paraId="1145BCB4">
            <w:pPr>
              <w:spacing w:line="320" w:lineRule="exact"/>
              <w:ind w:firstLine="0" w:firstLineChars="0"/>
              <w:rPr>
                <w:rFonts w:hint="default" w:ascii="Times New Roman" w:hAnsi="Times New Roman" w:eastAsia="宋体" w:cs="Times New Roman"/>
                <w:color w:val="auto"/>
                <w:sz w:val="24"/>
                <w:highlight w:val="none"/>
                <w:lang w:val="en-US" w:eastAsia="zh-CN"/>
              </w:rPr>
            </w:pPr>
            <w:r>
              <w:rPr>
                <w:rFonts w:hint="default" w:ascii="Times New Roman" w:hAnsi="Times New Roman" w:eastAsia="宋体" w:cs="Times New Roman"/>
                <w:color w:val="auto"/>
                <w:sz w:val="24"/>
                <w:highlight w:val="none"/>
                <w:lang w:val="en-US" w:eastAsia="zh-CN"/>
              </w:rPr>
              <w:t>3、实名制及分账记录</w:t>
            </w:r>
          </w:p>
        </w:tc>
        <w:tc>
          <w:tcPr>
            <w:tcW w:w="2976" w:type="dxa"/>
            <w:noWrap w:val="0"/>
            <w:vAlign w:val="center"/>
          </w:tcPr>
          <w:p w14:paraId="68FF42BD">
            <w:pPr>
              <w:spacing w:line="360" w:lineRule="exact"/>
              <w:ind w:firstLine="480"/>
              <w:rPr>
                <w:rFonts w:hint="default" w:ascii="Times New Roman" w:hAnsi="Times New Roman" w:eastAsia="宋体" w:cs="Times New Roman"/>
                <w:color w:val="auto"/>
                <w:sz w:val="24"/>
                <w:highlight w:val="none"/>
                <w:lang w:val="en-US" w:eastAsia="zh-CN"/>
              </w:rPr>
            </w:pPr>
            <w:r>
              <w:rPr>
                <w:rFonts w:hint="default" w:ascii="Times New Roman" w:hAnsi="Times New Roman" w:eastAsia="宋体" w:cs="Times New Roman"/>
                <w:color w:val="auto"/>
                <w:sz w:val="24"/>
                <w:highlight w:val="none"/>
                <w:lang w:val="en-US" w:eastAsia="zh-CN"/>
              </w:rPr>
              <w:t>落实建筑工人实名制与工作分账支付</w:t>
            </w:r>
          </w:p>
        </w:tc>
        <w:tc>
          <w:tcPr>
            <w:tcW w:w="993" w:type="dxa"/>
            <w:noWrap w:val="0"/>
            <w:vAlign w:val="center"/>
          </w:tcPr>
          <w:p w14:paraId="6A9BA704">
            <w:pPr>
              <w:spacing w:line="320" w:lineRule="exact"/>
              <w:ind w:firstLine="0" w:firstLineChars="0"/>
              <w:jc w:val="center"/>
              <w:rPr>
                <w:rFonts w:hint="default" w:ascii="Times New Roman" w:hAnsi="Times New Roman" w:eastAsia="宋体" w:cs="Times New Roman"/>
                <w:color w:val="auto"/>
                <w:sz w:val="24"/>
                <w:highlight w:val="none"/>
                <w:lang w:val="en-US" w:eastAsia="zh-CN"/>
              </w:rPr>
            </w:pPr>
            <w:r>
              <w:rPr>
                <w:rFonts w:hint="default" w:ascii="Times New Roman" w:hAnsi="Times New Roman" w:eastAsia="宋体" w:cs="Times New Roman"/>
                <w:color w:val="auto"/>
                <w:sz w:val="24"/>
                <w:highlight w:val="none"/>
                <w:lang w:val="en-US" w:eastAsia="zh-CN"/>
              </w:rPr>
              <w:t>2</w:t>
            </w:r>
          </w:p>
        </w:tc>
        <w:tc>
          <w:tcPr>
            <w:tcW w:w="850" w:type="dxa"/>
            <w:noWrap w:val="0"/>
            <w:vAlign w:val="center"/>
          </w:tcPr>
          <w:p w14:paraId="7FB97CAE">
            <w:pPr>
              <w:spacing w:line="320" w:lineRule="exact"/>
              <w:ind w:firstLine="480"/>
              <w:jc w:val="center"/>
              <w:rPr>
                <w:rFonts w:hint="default" w:ascii="Times New Roman" w:hAnsi="Times New Roman" w:eastAsia="宋体" w:cs="Times New Roman"/>
                <w:color w:val="auto"/>
                <w:sz w:val="24"/>
                <w:highlight w:val="none"/>
              </w:rPr>
            </w:pPr>
          </w:p>
        </w:tc>
        <w:tc>
          <w:tcPr>
            <w:tcW w:w="5543" w:type="dxa"/>
            <w:noWrap w:val="0"/>
            <w:tcMar>
              <w:top w:w="113" w:type="dxa"/>
              <w:bottom w:w="113" w:type="dxa"/>
            </w:tcMar>
            <w:vAlign w:val="center"/>
          </w:tcPr>
          <w:p w14:paraId="7423EC38">
            <w:pPr>
              <w:spacing w:line="320" w:lineRule="exact"/>
              <w:ind w:firstLine="424"/>
              <w:rPr>
                <w:rFonts w:hint="default" w:ascii="Times New Roman" w:hAnsi="Times New Roman" w:eastAsia="宋体" w:cs="Times New Roman"/>
                <w:color w:val="auto"/>
                <w:spacing w:val="-4"/>
                <w:sz w:val="22"/>
                <w:szCs w:val="22"/>
                <w:highlight w:val="none"/>
                <w:lang w:val="en-US" w:eastAsia="zh-CN"/>
              </w:rPr>
            </w:pPr>
            <w:r>
              <w:rPr>
                <w:rFonts w:hint="default" w:ascii="Times New Roman" w:hAnsi="Times New Roman" w:eastAsia="宋体" w:cs="Times New Roman"/>
                <w:color w:val="auto"/>
                <w:spacing w:val="-4"/>
                <w:sz w:val="22"/>
                <w:szCs w:val="22"/>
                <w:highlight w:val="none"/>
                <w:lang w:val="en-US" w:eastAsia="zh-CN"/>
              </w:rPr>
              <w:t>提供劳务合同、实名制花名册或考勤记录、工资发放明细表、现场登录地方相关网站查阅企业工人工资发放情况（是否有拖欠工人工资的情况或投诉意见）</w:t>
            </w:r>
            <w:r>
              <w:rPr>
                <w:rFonts w:hint="default" w:ascii="Times New Roman" w:hAnsi="Times New Roman" w:cs="Times New Roman"/>
                <w:color w:val="auto"/>
                <w:spacing w:val="-4"/>
                <w:sz w:val="22"/>
                <w:szCs w:val="22"/>
                <w:highlight w:val="none"/>
                <w:lang w:val="en-US" w:eastAsia="zh-CN"/>
              </w:rPr>
              <w:t>。</w:t>
            </w:r>
          </w:p>
        </w:tc>
      </w:tr>
      <w:tr w14:paraId="4204B03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599" w:hRule="atLeast"/>
          <w:jc w:val="center"/>
        </w:trPr>
        <w:tc>
          <w:tcPr>
            <w:tcW w:w="1333" w:type="dxa"/>
            <w:noWrap w:val="0"/>
            <w:vAlign w:val="center"/>
          </w:tcPr>
          <w:p w14:paraId="3DC657FD">
            <w:pPr>
              <w:spacing w:line="520" w:lineRule="exact"/>
              <w:ind w:left="354" w:right="-34" w:rightChars="-16" w:hanging="354" w:hangingChars="147"/>
              <w:rPr>
                <w:rFonts w:hint="default" w:ascii="Times New Roman" w:hAnsi="Times New Roman" w:eastAsia="宋体" w:cs="Times New Roman"/>
                <w:b/>
                <w:color w:val="auto"/>
                <w:sz w:val="21"/>
                <w:highlight w:val="none"/>
              </w:rPr>
            </w:pPr>
            <w:r>
              <w:rPr>
                <w:rFonts w:hint="default" w:ascii="Times New Roman" w:hAnsi="Times New Roman" w:eastAsia="宋体" w:cs="Times New Roman"/>
                <w:b/>
                <w:color w:val="auto"/>
                <w:sz w:val="24"/>
                <w:highlight w:val="none"/>
              </w:rPr>
              <w:t>六、社会责任</w:t>
            </w:r>
            <w:r>
              <w:rPr>
                <w:rFonts w:hint="default" w:ascii="Times New Roman" w:hAnsi="Times New Roman" w:eastAsia="宋体" w:cs="Times New Roman"/>
                <w:b/>
                <w:color w:val="auto"/>
                <w:sz w:val="24"/>
                <w:highlight w:val="none"/>
                <w:lang w:val="en-US" w:eastAsia="zh-CN"/>
              </w:rPr>
              <w:t>5</w:t>
            </w:r>
            <w:r>
              <w:rPr>
                <w:rFonts w:hint="default" w:ascii="Times New Roman" w:hAnsi="Times New Roman" w:eastAsia="宋体" w:cs="Times New Roman"/>
                <w:b/>
                <w:color w:val="auto"/>
                <w:sz w:val="24"/>
                <w:highlight w:val="none"/>
              </w:rPr>
              <w:t>分</w:t>
            </w:r>
          </w:p>
        </w:tc>
        <w:tc>
          <w:tcPr>
            <w:tcW w:w="2266" w:type="dxa"/>
            <w:noWrap w:val="0"/>
            <w:vAlign w:val="center"/>
          </w:tcPr>
          <w:p w14:paraId="25569652">
            <w:pPr>
              <w:spacing w:line="320" w:lineRule="exact"/>
              <w:ind w:firstLine="0" w:firstLineChars="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社会责任</w:t>
            </w:r>
          </w:p>
        </w:tc>
        <w:tc>
          <w:tcPr>
            <w:tcW w:w="2976" w:type="dxa"/>
            <w:noWrap w:val="0"/>
            <w:vAlign w:val="center"/>
          </w:tcPr>
          <w:p w14:paraId="71B5C8A0">
            <w:pPr>
              <w:spacing w:line="320" w:lineRule="exact"/>
              <w:ind w:firstLine="48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企业在从事建筑业活动、参与抢险救灾或社会其他公益活动中获得政府主管部门表彰、表扬的</w:t>
            </w:r>
          </w:p>
        </w:tc>
        <w:tc>
          <w:tcPr>
            <w:tcW w:w="993" w:type="dxa"/>
            <w:noWrap w:val="0"/>
            <w:vAlign w:val="center"/>
          </w:tcPr>
          <w:p w14:paraId="71D0CB5A">
            <w:pPr>
              <w:spacing w:line="320" w:lineRule="exact"/>
              <w:ind w:firstLine="0" w:firstLineChars="0"/>
              <w:jc w:val="center"/>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lang w:val="en-US" w:eastAsia="zh-CN"/>
              </w:rPr>
              <w:t>5</w:t>
            </w:r>
            <w:r>
              <w:rPr>
                <w:rFonts w:hint="default" w:ascii="Times New Roman" w:hAnsi="Times New Roman" w:eastAsia="宋体" w:cs="Times New Roman"/>
                <w:color w:val="auto"/>
                <w:sz w:val="24"/>
                <w:highlight w:val="none"/>
              </w:rPr>
              <w:t>分</w:t>
            </w:r>
          </w:p>
        </w:tc>
        <w:tc>
          <w:tcPr>
            <w:tcW w:w="850" w:type="dxa"/>
            <w:noWrap w:val="0"/>
            <w:vAlign w:val="center"/>
          </w:tcPr>
          <w:p w14:paraId="4462CA9F">
            <w:pPr>
              <w:spacing w:line="320" w:lineRule="exact"/>
              <w:ind w:firstLine="480"/>
              <w:jc w:val="center"/>
              <w:rPr>
                <w:rFonts w:hint="default" w:ascii="Times New Roman" w:hAnsi="Times New Roman" w:eastAsia="宋体" w:cs="Times New Roman"/>
                <w:color w:val="auto"/>
                <w:sz w:val="24"/>
                <w:highlight w:val="none"/>
              </w:rPr>
            </w:pPr>
          </w:p>
        </w:tc>
        <w:tc>
          <w:tcPr>
            <w:tcW w:w="5543" w:type="dxa"/>
            <w:noWrap w:val="0"/>
            <w:tcMar>
              <w:top w:w="113" w:type="dxa"/>
              <w:bottom w:w="113" w:type="dxa"/>
            </w:tcMar>
            <w:vAlign w:val="center"/>
          </w:tcPr>
          <w:p w14:paraId="21E02A19">
            <w:pPr>
              <w:spacing w:line="320" w:lineRule="exact"/>
              <w:ind w:firstLine="440"/>
              <w:rPr>
                <w:rFonts w:hint="default" w:ascii="Times New Roman" w:hAnsi="Times New Roman" w:eastAsia="宋体" w:cs="Times New Roman"/>
                <w:color w:val="auto"/>
                <w:sz w:val="22"/>
                <w:szCs w:val="22"/>
                <w:highlight w:val="none"/>
              </w:rPr>
            </w:pPr>
            <w:r>
              <w:rPr>
                <w:rFonts w:hint="default" w:ascii="Times New Roman" w:hAnsi="Times New Roman" w:eastAsia="宋体" w:cs="Times New Roman"/>
                <w:color w:val="auto"/>
                <w:sz w:val="22"/>
                <w:szCs w:val="22"/>
                <w:highlight w:val="none"/>
              </w:rPr>
              <w:t>企业在从事建筑业活动、参与抢险救灾</w:t>
            </w:r>
            <w:r>
              <w:rPr>
                <w:rFonts w:hint="default" w:ascii="Times New Roman" w:hAnsi="Times New Roman" w:eastAsia="宋体" w:cs="Times New Roman"/>
                <w:color w:val="auto"/>
                <w:sz w:val="22"/>
                <w:szCs w:val="22"/>
                <w:highlight w:val="none"/>
                <w:lang w:eastAsia="zh-CN"/>
              </w:rPr>
              <w:t>、</w:t>
            </w:r>
            <w:r>
              <w:rPr>
                <w:rFonts w:hint="default" w:ascii="Times New Roman" w:hAnsi="Times New Roman" w:eastAsia="宋体" w:cs="Times New Roman"/>
                <w:color w:val="auto"/>
                <w:sz w:val="22"/>
                <w:szCs w:val="22"/>
                <w:highlight w:val="none"/>
                <w:lang w:val="en-US" w:eastAsia="zh-CN"/>
              </w:rPr>
              <w:t>扶贫</w:t>
            </w:r>
            <w:r>
              <w:rPr>
                <w:rFonts w:hint="default" w:ascii="Times New Roman" w:hAnsi="Times New Roman" w:eastAsia="宋体" w:cs="Times New Roman"/>
                <w:color w:val="auto"/>
                <w:sz w:val="22"/>
                <w:szCs w:val="22"/>
                <w:highlight w:val="none"/>
              </w:rPr>
              <w:t>、援建项目、“百千万工程”或社会其他公益活动中获得政府主管部门表彰、表扬的</w:t>
            </w:r>
            <w:r>
              <w:rPr>
                <w:rFonts w:hint="default" w:ascii="Times New Roman" w:hAnsi="Times New Roman" w:cs="Times New Roman"/>
                <w:color w:val="auto"/>
                <w:sz w:val="22"/>
                <w:szCs w:val="22"/>
                <w:highlight w:val="none"/>
                <w:lang w:eastAsia="zh-CN"/>
              </w:rPr>
              <w:t>，</w:t>
            </w:r>
            <w:r>
              <w:rPr>
                <w:rFonts w:hint="default" w:ascii="Times New Roman" w:hAnsi="Times New Roman" w:eastAsia="宋体" w:cs="Times New Roman"/>
                <w:color w:val="auto"/>
                <w:sz w:val="22"/>
                <w:szCs w:val="22"/>
                <w:highlight w:val="none"/>
              </w:rPr>
              <w:t>获</w:t>
            </w:r>
            <w:r>
              <w:rPr>
                <w:rFonts w:hint="default" w:ascii="Times New Roman" w:hAnsi="Times New Roman" w:cs="Times New Roman"/>
                <w:color w:val="auto"/>
                <w:sz w:val="22"/>
                <w:szCs w:val="22"/>
                <w:highlight w:val="none"/>
                <w:lang w:val="en-US" w:eastAsia="zh-CN"/>
              </w:rPr>
              <w:t>得</w:t>
            </w:r>
            <w:r>
              <w:rPr>
                <w:rFonts w:hint="default" w:ascii="Times New Roman" w:hAnsi="Times New Roman" w:eastAsia="宋体" w:cs="Times New Roman"/>
                <w:color w:val="auto"/>
                <w:sz w:val="22"/>
                <w:szCs w:val="22"/>
                <w:highlight w:val="none"/>
              </w:rPr>
              <w:t>国家级</w:t>
            </w:r>
            <w:r>
              <w:rPr>
                <w:rFonts w:hint="default" w:ascii="Times New Roman" w:hAnsi="Times New Roman" w:cs="Times New Roman"/>
                <w:color w:val="auto"/>
                <w:sz w:val="22"/>
                <w:szCs w:val="22"/>
                <w:highlight w:val="none"/>
                <w:lang w:val="en-US" w:eastAsia="zh-CN"/>
              </w:rPr>
              <w:t>的</w:t>
            </w:r>
            <w:r>
              <w:rPr>
                <w:rFonts w:hint="default" w:ascii="Times New Roman" w:hAnsi="Times New Roman" w:eastAsia="宋体" w:cs="Times New Roman"/>
                <w:color w:val="auto"/>
                <w:sz w:val="22"/>
                <w:szCs w:val="22"/>
                <w:highlight w:val="none"/>
              </w:rPr>
              <w:t>加5分，</w:t>
            </w:r>
            <w:r>
              <w:rPr>
                <w:rFonts w:hint="default" w:ascii="Times New Roman" w:hAnsi="Times New Roman" w:eastAsia="宋体" w:cs="Times New Roman"/>
                <w:color w:val="auto"/>
                <w:sz w:val="22"/>
                <w:szCs w:val="22"/>
                <w:highlight w:val="none"/>
                <w:lang w:eastAsia="zh-CN"/>
              </w:rPr>
              <w:t>部级</w:t>
            </w:r>
            <w:r>
              <w:rPr>
                <w:rFonts w:hint="default" w:ascii="Times New Roman" w:hAnsi="Times New Roman" w:cs="Times New Roman"/>
                <w:color w:val="auto"/>
                <w:sz w:val="22"/>
                <w:szCs w:val="22"/>
                <w:highlight w:val="none"/>
                <w:lang w:val="en-US" w:eastAsia="zh-CN"/>
              </w:rPr>
              <w:t>的</w:t>
            </w:r>
            <w:r>
              <w:rPr>
                <w:rFonts w:hint="default" w:ascii="Times New Roman" w:hAnsi="Times New Roman" w:eastAsia="宋体" w:cs="Times New Roman"/>
                <w:color w:val="auto"/>
                <w:sz w:val="22"/>
                <w:szCs w:val="22"/>
                <w:highlight w:val="none"/>
              </w:rPr>
              <w:t>加4分，省级</w:t>
            </w:r>
            <w:r>
              <w:rPr>
                <w:rFonts w:hint="default" w:ascii="Times New Roman" w:hAnsi="Times New Roman" w:cs="Times New Roman"/>
                <w:color w:val="auto"/>
                <w:sz w:val="22"/>
                <w:szCs w:val="22"/>
                <w:highlight w:val="none"/>
                <w:lang w:val="en-US" w:eastAsia="zh-CN"/>
              </w:rPr>
              <w:t>的</w:t>
            </w:r>
            <w:r>
              <w:rPr>
                <w:rFonts w:hint="default" w:ascii="Times New Roman" w:hAnsi="Times New Roman" w:eastAsia="宋体" w:cs="Times New Roman"/>
                <w:color w:val="auto"/>
                <w:sz w:val="22"/>
                <w:szCs w:val="22"/>
                <w:highlight w:val="none"/>
              </w:rPr>
              <w:t>加3分，地市级</w:t>
            </w:r>
            <w:r>
              <w:rPr>
                <w:rFonts w:hint="default" w:ascii="Times New Roman" w:hAnsi="Times New Roman" w:cs="Times New Roman"/>
                <w:color w:val="auto"/>
                <w:sz w:val="22"/>
                <w:szCs w:val="22"/>
                <w:highlight w:val="none"/>
                <w:lang w:val="en-US" w:eastAsia="zh-CN"/>
              </w:rPr>
              <w:t>的</w:t>
            </w:r>
            <w:r>
              <w:rPr>
                <w:rFonts w:hint="default" w:ascii="Times New Roman" w:hAnsi="Times New Roman" w:eastAsia="宋体" w:cs="Times New Roman"/>
                <w:color w:val="auto"/>
                <w:sz w:val="22"/>
                <w:szCs w:val="22"/>
                <w:highlight w:val="none"/>
              </w:rPr>
              <w:t>加2分。</w:t>
            </w:r>
            <w:r>
              <w:rPr>
                <w:rFonts w:hint="default" w:ascii="Times New Roman" w:hAnsi="Times New Roman" w:eastAsia="宋体" w:cs="Times New Roman"/>
                <w:color w:val="auto"/>
                <w:sz w:val="22"/>
                <w:szCs w:val="22"/>
                <w:highlight w:val="none"/>
                <w:lang w:eastAsia="zh-CN"/>
              </w:rPr>
              <w:t>（</w:t>
            </w:r>
            <w:r>
              <w:rPr>
                <w:rFonts w:hint="default" w:ascii="Times New Roman" w:hAnsi="Times New Roman" w:eastAsia="宋体" w:cs="Times New Roman"/>
                <w:color w:val="auto"/>
                <w:sz w:val="22"/>
                <w:szCs w:val="22"/>
                <w:highlight w:val="none"/>
              </w:rPr>
              <w:t>本项满分</w:t>
            </w:r>
            <w:r>
              <w:rPr>
                <w:rFonts w:hint="default" w:ascii="Times New Roman" w:hAnsi="Times New Roman" w:eastAsia="宋体" w:cs="Times New Roman"/>
                <w:color w:val="auto"/>
                <w:sz w:val="22"/>
                <w:szCs w:val="22"/>
                <w:highlight w:val="none"/>
                <w:lang w:val="en-US" w:eastAsia="zh-CN"/>
              </w:rPr>
              <w:t>5</w:t>
            </w:r>
            <w:r>
              <w:rPr>
                <w:rFonts w:hint="default" w:ascii="Times New Roman" w:hAnsi="Times New Roman" w:eastAsia="宋体" w:cs="Times New Roman"/>
                <w:color w:val="auto"/>
                <w:sz w:val="22"/>
                <w:szCs w:val="22"/>
                <w:highlight w:val="none"/>
              </w:rPr>
              <w:t>分</w:t>
            </w:r>
            <w:r>
              <w:rPr>
                <w:rFonts w:hint="default" w:ascii="Times New Roman" w:hAnsi="Times New Roman" w:eastAsia="宋体" w:cs="Times New Roman"/>
                <w:color w:val="auto"/>
                <w:sz w:val="22"/>
                <w:szCs w:val="22"/>
                <w:highlight w:val="none"/>
                <w:lang w:eastAsia="zh-CN"/>
              </w:rPr>
              <w:t>）。</w:t>
            </w:r>
          </w:p>
        </w:tc>
      </w:tr>
    </w:tbl>
    <w:p w14:paraId="0C97CFC3">
      <w:pPr>
        <w:snapToGrid w:val="0"/>
        <w:spacing w:line="240" w:lineRule="auto"/>
        <w:ind w:left="1027" w:leftChars="95" w:right="-323" w:rightChars="-154" w:hanging="828" w:hangingChars="345"/>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注：1.本表所称生产安全较大事故，是指《生产安全事故报告和调查处理条例》（国务院令第493号）规定的“造成3人以上10人以下死亡，或者10人以上50人以下重伤，或者1000万元以上5000万元以下直接经济损失的事故”。</w:t>
      </w:r>
    </w:p>
    <w:p w14:paraId="02CF0050">
      <w:pPr>
        <w:snapToGrid w:val="0"/>
        <w:spacing w:line="240" w:lineRule="auto"/>
        <w:ind w:left="935" w:leftChars="250" w:hanging="410" w:hangingChars="171"/>
        <w:rPr>
          <w:rFonts w:hint="default" w:ascii="Times New Roman" w:hAnsi="Times New Roman" w:eastAsia="宋体" w:cs="Times New Roman"/>
          <w:color w:val="auto"/>
          <w:sz w:val="24"/>
          <w:highlight w:val="none"/>
          <w:lang w:val="en-US" w:eastAsia="zh-CN"/>
        </w:rPr>
      </w:pPr>
      <w:r>
        <w:rPr>
          <w:rFonts w:hint="default" w:ascii="Times New Roman" w:hAnsi="Times New Roman" w:eastAsia="宋体" w:cs="Times New Roman"/>
          <w:color w:val="auto"/>
          <w:sz w:val="24"/>
          <w:highlight w:val="none"/>
        </w:rPr>
        <w:t>2.本表所要求提供的指标均为申报年度前3年的指标。</w:t>
      </w:r>
      <w:r>
        <w:rPr>
          <w:rFonts w:hint="default"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lang w:val="en-US" w:eastAsia="zh-CN"/>
        </w:rPr>
        <w:t>申报前3年的1月1日到申报前1年的12月30日</w:t>
      </w:r>
      <w:r>
        <w:rPr>
          <w:rFonts w:hint="default" w:ascii="Times New Roman" w:hAnsi="Times New Roman" w:cs="Times New Roman"/>
          <w:color w:val="auto"/>
          <w:sz w:val="24"/>
          <w:highlight w:val="none"/>
          <w:lang w:eastAsia="zh-CN"/>
        </w:rPr>
        <w:t>，</w:t>
      </w:r>
      <w:r>
        <w:rPr>
          <w:rFonts w:hint="default" w:ascii="Times New Roman" w:hAnsi="Times New Roman" w:cs="Times New Roman"/>
          <w:color w:val="auto"/>
          <w:sz w:val="24"/>
          <w:highlight w:val="none"/>
          <w:lang w:val="en-US" w:eastAsia="zh-CN"/>
        </w:rPr>
        <w:t>例如：2025年评审，需要提供2022年1月1日~2024年12月30日的证明材料。）</w:t>
      </w:r>
    </w:p>
    <w:p w14:paraId="0841BE0E">
      <w:pPr>
        <w:snapToGrid w:val="0"/>
        <w:spacing w:line="240" w:lineRule="auto"/>
        <w:ind w:left="935" w:leftChars="250" w:hanging="410" w:hangingChars="171"/>
        <w:rPr>
          <w:rFonts w:hint="default" w:ascii="Times New Roman" w:hAnsi="Times New Roman" w:eastAsia="宋体" w:cs="Times New Roman"/>
          <w:color w:val="auto"/>
          <w:sz w:val="24"/>
          <w:highlight w:val="none"/>
          <w:lang w:eastAsia="zh-CN"/>
        </w:rPr>
      </w:pPr>
      <w:r>
        <w:rPr>
          <w:rFonts w:hint="default" w:ascii="Times New Roman" w:hAnsi="Times New Roman" w:eastAsia="宋体" w:cs="Times New Roman"/>
          <w:color w:val="auto"/>
          <w:sz w:val="24"/>
          <w:highlight w:val="none"/>
        </w:rPr>
        <w:t>3.所有采分项，同一项目均按最高级别奖项采分，不重复叠加分</w:t>
      </w:r>
      <w:r>
        <w:rPr>
          <w:rFonts w:hint="default" w:ascii="Times New Roman" w:hAnsi="Times New Roman" w:eastAsia="宋体" w:cs="Times New Roman"/>
          <w:color w:val="auto"/>
          <w:sz w:val="24"/>
          <w:highlight w:val="none"/>
          <w:lang w:eastAsia="zh-CN"/>
        </w:rPr>
        <w:t>。</w:t>
      </w:r>
    </w:p>
    <w:p w14:paraId="11E48847">
      <w:pPr>
        <w:keepNext w:val="0"/>
        <w:keepLines w:val="0"/>
        <w:pageBreakBefore w:val="0"/>
        <w:widowControl w:val="0"/>
        <w:kinsoku/>
        <w:wordWrap/>
        <w:overflowPunct/>
        <w:topLinePunct w:val="0"/>
        <w:autoSpaceDE/>
        <w:autoSpaceDN/>
        <w:bidi w:val="0"/>
        <w:adjustRightInd w:val="0"/>
        <w:snapToGrid/>
        <w:spacing w:line="576" w:lineRule="exact"/>
        <w:ind w:firstLine="720"/>
        <w:jc w:val="center"/>
        <w:textAlignment w:val="auto"/>
        <w:rPr>
          <w:rFonts w:hint="default" w:ascii="Times New Roman" w:hAnsi="Times New Roman" w:eastAsia="方正公文小标宋" w:cs="Times New Roman"/>
          <w:b w:val="0"/>
          <w:bCs w:val="0"/>
          <w:color w:val="auto"/>
          <w:sz w:val="44"/>
          <w:szCs w:val="44"/>
          <w:highlight w:val="none"/>
          <w:lang w:val="en-US" w:eastAsia="zh-CN"/>
        </w:rPr>
      </w:pPr>
      <w:r>
        <w:rPr>
          <w:rFonts w:hint="default" w:ascii="Times New Roman" w:hAnsi="Times New Roman" w:eastAsia="宋体" w:cs="Times New Roman"/>
          <w:color w:val="auto"/>
          <w:sz w:val="24"/>
          <w:highlight w:val="none"/>
          <w:lang w:eastAsia="zh-CN"/>
        </w:rPr>
        <w:br w:type="page"/>
      </w:r>
      <w:r>
        <w:rPr>
          <w:rFonts w:hint="default" w:ascii="Times New Roman" w:hAnsi="Times New Roman" w:eastAsia="方正公文小标宋" w:cs="Times New Roman"/>
          <w:b w:val="0"/>
          <w:bCs w:val="0"/>
          <w:color w:val="auto"/>
          <w:sz w:val="44"/>
          <w:szCs w:val="44"/>
          <w:highlight w:val="none"/>
          <w:lang w:val="en-US" w:eastAsia="zh-CN"/>
        </w:rPr>
        <w:t>附录B</w:t>
      </w:r>
    </w:p>
    <w:p w14:paraId="68CB9850">
      <w:pPr>
        <w:keepNext w:val="0"/>
        <w:keepLines w:val="0"/>
        <w:pageBreakBefore w:val="0"/>
        <w:widowControl w:val="0"/>
        <w:kinsoku/>
        <w:wordWrap/>
        <w:overflowPunct/>
        <w:topLinePunct w:val="0"/>
        <w:autoSpaceDE/>
        <w:autoSpaceDN/>
        <w:bidi w:val="0"/>
        <w:adjustRightInd w:val="0"/>
        <w:snapToGrid/>
        <w:spacing w:line="576" w:lineRule="exact"/>
        <w:ind w:firstLine="720"/>
        <w:jc w:val="center"/>
        <w:textAlignment w:val="auto"/>
        <w:rPr>
          <w:rFonts w:hint="default" w:ascii="Times New Roman" w:hAnsi="Times New Roman" w:eastAsia="方正公文小标宋" w:cs="Times New Roman"/>
          <w:color w:val="auto"/>
          <w:sz w:val="44"/>
          <w:szCs w:val="44"/>
          <w:highlight w:val="none"/>
        </w:rPr>
      </w:pPr>
      <w:r>
        <w:rPr>
          <w:rFonts w:hint="default" w:ascii="Times New Roman" w:hAnsi="Times New Roman" w:eastAsia="方正公文小标宋" w:cs="Times New Roman"/>
          <w:color w:val="auto"/>
          <w:sz w:val="44"/>
          <w:szCs w:val="44"/>
          <w:highlight w:val="none"/>
        </w:rPr>
        <w:t>广州市工程建设企业信用等级评价指标（勘察设计）</w:t>
      </w:r>
    </w:p>
    <w:tbl>
      <w:tblPr>
        <w:tblStyle w:val="27"/>
        <w:tblW w:w="13915"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1559"/>
        <w:gridCol w:w="2127"/>
        <w:gridCol w:w="3446"/>
        <w:gridCol w:w="850"/>
        <w:gridCol w:w="879"/>
        <w:gridCol w:w="5054"/>
      </w:tblGrid>
      <w:tr w14:paraId="593748C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559" w:type="dxa"/>
            <w:noWrap w:val="0"/>
            <w:vAlign w:val="center"/>
          </w:tcPr>
          <w:p w14:paraId="20D1E956">
            <w:pPr>
              <w:spacing w:line="400" w:lineRule="exact"/>
              <w:ind w:firstLine="0" w:firstLineChars="0"/>
              <w:jc w:val="center"/>
              <w:rPr>
                <w:rFonts w:hint="default" w:ascii="Times New Roman" w:hAnsi="Times New Roman" w:eastAsia="宋体" w:cs="Times New Roman"/>
                <w:b/>
                <w:color w:val="auto"/>
                <w:sz w:val="24"/>
                <w:highlight w:val="none"/>
              </w:rPr>
            </w:pPr>
            <w:r>
              <w:rPr>
                <w:rFonts w:hint="default" w:ascii="Times New Roman" w:hAnsi="Times New Roman" w:eastAsia="宋体" w:cs="Times New Roman"/>
                <w:b/>
                <w:color w:val="auto"/>
                <w:sz w:val="24"/>
                <w:highlight w:val="none"/>
              </w:rPr>
              <w:t>评价内容</w:t>
            </w:r>
          </w:p>
        </w:tc>
        <w:tc>
          <w:tcPr>
            <w:tcW w:w="2127" w:type="dxa"/>
            <w:noWrap w:val="0"/>
            <w:vAlign w:val="center"/>
          </w:tcPr>
          <w:p w14:paraId="15761839">
            <w:pPr>
              <w:spacing w:line="400" w:lineRule="exact"/>
              <w:ind w:firstLine="0" w:firstLineChars="0"/>
              <w:jc w:val="center"/>
              <w:rPr>
                <w:rFonts w:hint="default" w:ascii="Times New Roman" w:hAnsi="Times New Roman" w:eastAsia="宋体" w:cs="Times New Roman"/>
                <w:b/>
                <w:color w:val="auto"/>
                <w:sz w:val="24"/>
                <w:highlight w:val="none"/>
              </w:rPr>
            </w:pPr>
            <w:r>
              <w:rPr>
                <w:rFonts w:hint="default" w:ascii="Times New Roman" w:hAnsi="Times New Roman" w:eastAsia="宋体" w:cs="Times New Roman"/>
                <w:b/>
                <w:color w:val="auto"/>
                <w:sz w:val="24"/>
                <w:highlight w:val="none"/>
              </w:rPr>
              <w:t>主要评价指标</w:t>
            </w:r>
          </w:p>
        </w:tc>
        <w:tc>
          <w:tcPr>
            <w:tcW w:w="3446" w:type="dxa"/>
            <w:noWrap w:val="0"/>
            <w:vAlign w:val="center"/>
          </w:tcPr>
          <w:p w14:paraId="41A33E1D">
            <w:pPr>
              <w:tabs>
                <w:tab w:val="left" w:pos="1602"/>
              </w:tabs>
              <w:spacing w:line="400" w:lineRule="exact"/>
              <w:ind w:firstLine="198" w:firstLineChars="82"/>
              <w:jc w:val="center"/>
              <w:rPr>
                <w:rFonts w:hint="default" w:ascii="Times New Roman" w:hAnsi="Times New Roman" w:eastAsia="宋体" w:cs="Times New Roman"/>
                <w:b/>
                <w:color w:val="auto"/>
                <w:sz w:val="24"/>
                <w:highlight w:val="none"/>
              </w:rPr>
            </w:pPr>
            <w:r>
              <w:rPr>
                <w:rFonts w:hint="default" w:ascii="Times New Roman" w:hAnsi="Times New Roman" w:eastAsia="宋体" w:cs="Times New Roman"/>
                <w:b/>
                <w:color w:val="auto"/>
                <w:sz w:val="24"/>
                <w:highlight w:val="none"/>
              </w:rPr>
              <w:t>标准内容</w:t>
            </w:r>
          </w:p>
        </w:tc>
        <w:tc>
          <w:tcPr>
            <w:tcW w:w="850" w:type="dxa"/>
            <w:noWrap w:val="0"/>
            <w:vAlign w:val="center"/>
          </w:tcPr>
          <w:p w14:paraId="3D7FE1A1">
            <w:pPr>
              <w:spacing w:line="400" w:lineRule="exact"/>
              <w:ind w:firstLine="0" w:firstLineChars="0"/>
              <w:jc w:val="center"/>
              <w:rPr>
                <w:rFonts w:hint="default" w:ascii="Times New Roman" w:hAnsi="Times New Roman" w:eastAsia="宋体" w:cs="Times New Roman"/>
                <w:b/>
                <w:color w:val="auto"/>
                <w:sz w:val="24"/>
                <w:highlight w:val="none"/>
              </w:rPr>
            </w:pPr>
            <w:r>
              <w:rPr>
                <w:rFonts w:hint="default" w:ascii="Times New Roman" w:hAnsi="Times New Roman" w:eastAsia="宋体" w:cs="Times New Roman"/>
                <w:b/>
                <w:color w:val="auto"/>
                <w:sz w:val="24"/>
                <w:highlight w:val="none"/>
              </w:rPr>
              <w:t>标准</w:t>
            </w:r>
          </w:p>
          <w:p w14:paraId="7383C1C8">
            <w:pPr>
              <w:spacing w:line="400" w:lineRule="exact"/>
              <w:ind w:firstLine="0" w:firstLineChars="0"/>
              <w:jc w:val="center"/>
              <w:rPr>
                <w:rFonts w:hint="default" w:ascii="Times New Roman" w:hAnsi="Times New Roman" w:eastAsia="宋体" w:cs="Times New Roman"/>
                <w:b/>
                <w:color w:val="auto"/>
                <w:sz w:val="24"/>
                <w:highlight w:val="none"/>
              </w:rPr>
            </w:pPr>
            <w:r>
              <w:rPr>
                <w:rFonts w:hint="default" w:ascii="Times New Roman" w:hAnsi="Times New Roman" w:eastAsia="宋体" w:cs="Times New Roman"/>
                <w:b/>
                <w:color w:val="auto"/>
                <w:sz w:val="24"/>
                <w:highlight w:val="none"/>
              </w:rPr>
              <w:t>分数</w:t>
            </w:r>
          </w:p>
        </w:tc>
        <w:tc>
          <w:tcPr>
            <w:tcW w:w="879" w:type="dxa"/>
            <w:noWrap w:val="0"/>
            <w:vAlign w:val="center"/>
          </w:tcPr>
          <w:p w14:paraId="008E1717">
            <w:pPr>
              <w:spacing w:line="400" w:lineRule="exact"/>
              <w:ind w:firstLine="0" w:firstLineChars="0"/>
              <w:jc w:val="center"/>
              <w:rPr>
                <w:rFonts w:hint="default" w:ascii="Times New Roman" w:hAnsi="Times New Roman" w:eastAsia="宋体" w:cs="Times New Roman"/>
                <w:b/>
                <w:color w:val="auto"/>
                <w:sz w:val="24"/>
                <w:highlight w:val="none"/>
              </w:rPr>
            </w:pPr>
            <w:r>
              <w:rPr>
                <w:rFonts w:hint="default" w:ascii="Times New Roman" w:hAnsi="Times New Roman" w:eastAsia="宋体" w:cs="Times New Roman"/>
                <w:b/>
                <w:color w:val="auto"/>
                <w:sz w:val="24"/>
                <w:highlight w:val="none"/>
              </w:rPr>
              <w:t>自评</w:t>
            </w:r>
          </w:p>
          <w:p w14:paraId="21EB2497">
            <w:pPr>
              <w:spacing w:line="400" w:lineRule="exact"/>
              <w:ind w:firstLine="0" w:firstLineChars="0"/>
              <w:jc w:val="center"/>
              <w:rPr>
                <w:rFonts w:hint="default" w:ascii="Times New Roman" w:hAnsi="Times New Roman" w:eastAsia="宋体" w:cs="Times New Roman"/>
                <w:b/>
                <w:color w:val="auto"/>
                <w:sz w:val="24"/>
                <w:highlight w:val="none"/>
              </w:rPr>
            </w:pPr>
            <w:r>
              <w:rPr>
                <w:rFonts w:hint="default" w:ascii="Times New Roman" w:hAnsi="Times New Roman" w:eastAsia="宋体" w:cs="Times New Roman"/>
                <w:b/>
                <w:color w:val="auto"/>
                <w:sz w:val="24"/>
                <w:highlight w:val="none"/>
              </w:rPr>
              <w:t>分数</w:t>
            </w:r>
          </w:p>
        </w:tc>
        <w:tc>
          <w:tcPr>
            <w:tcW w:w="5054" w:type="dxa"/>
            <w:noWrap w:val="0"/>
            <w:vAlign w:val="center"/>
          </w:tcPr>
          <w:p w14:paraId="25C430FA">
            <w:pPr>
              <w:spacing w:line="400" w:lineRule="exact"/>
              <w:ind w:firstLine="482"/>
              <w:jc w:val="center"/>
              <w:rPr>
                <w:rFonts w:hint="default" w:ascii="Times New Roman" w:hAnsi="Times New Roman" w:eastAsia="宋体" w:cs="Times New Roman"/>
                <w:b/>
                <w:color w:val="auto"/>
                <w:sz w:val="24"/>
                <w:highlight w:val="none"/>
              </w:rPr>
            </w:pPr>
            <w:r>
              <w:rPr>
                <w:rFonts w:hint="default" w:ascii="Times New Roman" w:hAnsi="Times New Roman" w:eastAsia="宋体" w:cs="Times New Roman"/>
                <w:b/>
                <w:color w:val="auto"/>
                <w:sz w:val="24"/>
                <w:highlight w:val="none"/>
              </w:rPr>
              <w:t>评分办法</w:t>
            </w:r>
          </w:p>
        </w:tc>
      </w:tr>
      <w:tr w14:paraId="0947641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250" w:hRule="atLeast"/>
          <w:jc w:val="center"/>
        </w:trPr>
        <w:tc>
          <w:tcPr>
            <w:tcW w:w="1559" w:type="dxa"/>
            <w:vMerge w:val="restart"/>
            <w:noWrap w:val="0"/>
            <w:vAlign w:val="center"/>
          </w:tcPr>
          <w:p w14:paraId="56DDB22B">
            <w:pPr>
              <w:spacing w:line="520" w:lineRule="exact"/>
              <w:ind w:left="354" w:right="-31" w:rightChars="-15" w:hanging="354" w:hangingChars="147"/>
              <w:rPr>
                <w:rFonts w:hint="default" w:ascii="Times New Roman" w:hAnsi="Times New Roman" w:eastAsia="宋体" w:cs="Times New Roman"/>
                <w:b/>
                <w:color w:val="auto"/>
                <w:sz w:val="24"/>
                <w:highlight w:val="none"/>
              </w:rPr>
            </w:pPr>
            <w:r>
              <w:rPr>
                <w:rFonts w:hint="default" w:ascii="Times New Roman" w:hAnsi="Times New Roman" w:eastAsia="宋体" w:cs="Times New Roman"/>
                <w:b/>
                <w:color w:val="auto"/>
                <w:sz w:val="24"/>
                <w:highlight w:val="none"/>
              </w:rPr>
              <w:t>一、基本素质</w:t>
            </w:r>
            <w:r>
              <w:rPr>
                <w:rFonts w:hint="default" w:ascii="Times New Roman" w:hAnsi="Times New Roman" w:eastAsia="宋体" w:cs="Times New Roman"/>
                <w:b/>
                <w:color w:val="auto"/>
                <w:sz w:val="24"/>
                <w:highlight w:val="none"/>
                <w:lang w:val="en-US" w:eastAsia="zh-CN"/>
              </w:rPr>
              <w:t>20</w:t>
            </w:r>
            <w:r>
              <w:rPr>
                <w:rFonts w:hint="default" w:ascii="Times New Roman" w:hAnsi="Times New Roman" w:eastAsia="宋体" w:cs="Times New Roman"/>
                <w:b/>
                <w:color w:val="auto"/>
                <w:sz w:val="24"/>
                <w:highlight w:val="none"/>
              </w:rPr>
              <w:t>分</w:t>
            </w:r>
          </w:p>
        </w:tc>
        <w:tc>
          <w:tcPr>
            <w:tcW w:w="2127" w:type="dxa"/>
            <w:noWrap w:val="0"/>
            <w:vAlign w:val="center"/>
          </w:tcPr>
          <w:p w14:paraId="79E529C2">
            <w:pPr>
              <w:snapToGrid w:val="0"/>
              <w:spacing w:line="320" w:lineRule="exact"/>
              <w:ind w:firstLine="0" w:firstLineChars="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lang w:val="en-US" w:eastAsia="zh-CN"/>
              </w:rPr>
              <w:t>1</w:t>
            </w:r>
            <w:r>
              <w:rPr>
                <w:rFonts w:hint="default" w:ascii="Times New Roman" w:hAnsi="Times New Roman" w:eastAsia="宋体" w:cs="Times New Roman"/>
                <w:color w:val="auto"/>
                <w:sz w:val="24"/>
                <w:highlight w:val="none"/>
              </w:rPr>
              <w:t>、党</w:t>
            </w:r>
            <w:r>
              <w:rPr>
                <w:rFonts w:hint="default" w:ascii="Times New Roman" w:hAnsi="Times New Roman" w:eastAsia="宋体" w:cs="Times New Roman"/>
                <w:color w:val="auto"/>
                <w:sz w:val="24"/>
                <w:highlight w:val="none"/>
                <w:lang w:val="en-US" w:eastAsia="zh-CN"/>
              </w:rPr>
              <w:t>的建设</w:t>
            </w:r>
          </w:p>
        </w:tc>
        <w:tc>
          <w:tcPr>
            <w:tcW w:w="3446" w:type="dxa"/>
            <w:noWrap w:val="0"/>
            <w:vAlign w:val="center"/>
          </w:tcPr>
          <w:p w14:paraId="286CD35A">
            <w:pPr>
              <w:snapToGrid w:val="0"/>
              <w:spacing w:line="320" w:lineRule="exact"/>
              <w:ind w:firstLine="0" w:firstLineChars="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企业</w:t>
            </w:r>
            <w:r>
              <w:rPr>
                <w:rFonts w:hint="default" w:ascii="Times New Roman" w:hAnsi="Times New Roman" w:eastAsia="宋体" w:cs="Times New Roman"/>
                <w:color w:val="auto"/>
                <w:sz w:val="24"/>
                <w:highlight w:val="none"/>
                <w:lang w:eastAsia="zh-CN"/>
              </w:rPr>
              <w:t>党的</w:t>
            </w:r>
            <w:r>
              <w:rPr>
                <w:rFonts w:hint="default" w:ascii="Times New Roman" w:hAnsi="Times New Roman" w:eastAsia="宋体" w:cs="Times New Roman"/>
                <w:color w:val="auto"/>
                <w:sz w:val="24"/>
                <w:highlight w:val="none"/>
              </w:rPr>
              <w:t>组织体系建设情况</w:t>
            </w:r>
          </w:p>
        </w:tc>
        <w:tc>
          <w:tcPr>
            <w:tcW w:w="850" w:type="dxa"/>
            <w:noWrap w:val="0"/>
            <w:vAlign w:val="center"/>
          </w:tcPr>
          <w:p w14:paraId="2FCAC5A8">
            <w:pPr>
              <w:snapToGrid w:val="0"/>
              <w:spacing w:line="320" w:lineRule="exact"/>
              <w:ind w:firstLine="0" w:firstLineChars="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2分</w:t>
            </w:r>
          </w:p>
        </w:tc>
        <w:tc>
          <w:tcPr>
            <w:tcW w:w="879" w:type="dxa"/>
            <w:noWrap w:val="0"/>
            <w:vAlign w:val="center"/>
          </w:tcPr>
          <w:p w14:paraId="3C0902B3">
            <w:pPr>
              <w:snapToGrid w:val="0"/>
              <w:spacing w:line="320" w:lineRule="exact"/>
              <w:ind w:firstLine="480"/>
              <w:jc w:val="center"/>
              <w:rPr>
                <w:rFonts w:hint="default" w:ascii="Times New Roman" w:hAnsi="Times New Roman" w:eastAsia="宋体" w:cs="Times New Roman"/>
                <w:color w:val="auto"/>
                <w:sz w:val="24"/>
                <w:highlight w:val="none"/>
              </w:rPr>
            </w:pPr>
          </w:p>
        </w:tc>
        <w:tc>
          <w:tcPr>
            <w:tcW w:w="5054" w:type="dxa"/>
            <w:noWrap w:val="0"/>
            <w:tcMar>
              <w:top w:w="85" w:type="dxa"/>
              <w:bottom w:w="85" w:type="dxa"/>
            </w:tcMar>
            <w:vAlign w:val="center"/>
          </w:tcPr>
          <w:p w14:paraId="2682F923">
            <w:pPr>
              <w:snapToGrid w:val="0"/>
              <w:spacing w:line="320" w:lineRule="exact"/>
              <w:ind w:firstLine="440" w:firstLineChars="200"/>
              <w:rPr>
                <w:rFonts w:hint="default" w:ascii="Times New Roman" w:hAnsi="Times New Roman" w:eastAsia="宋体" w:cs="Times New Roman"/>
                <w:color w:val="auto"/>
                <w:sz w:val="22"/>
                <w:szCs w:val="22"/>
                <w:highlight w:val="none"/>
                <w:lang w:eastAsia="zh-CN"/>
              </w:rPr>
            </w:pPr>
            <w:r>
              <w:rPr>
                <w:rFonts w:hint="default" w:ascii="Times New Roman" w:hAnsi="Times New Roman" w:eastAsia="宋体" w:cs="Times New Roman"/>
                <w:color w:val="auto"/>
                <w:sz w:val="22"/>
                <w:szCs w:val="22"/>
                <w:highlight w:val="none"/>
              </w:rPr>
              <w:t>近3年企业有党的领导，党群组织健全，党组织发挥领导作用和监督保障及党建引领作用显著，职责履行到位。党组织在公司决策治理中权责清晰，分工明确，每项得1分。（</w:t>
            </w:r>
            <w:r>
              <w:rPr>
                <w:rFonts w:hint="default" w:ascii="Times New Roman" w:hAnsi="Times New Roman" w:eastAsia="宋体" w:cs="Times New Roman"/>
                <w:color w:val="auto"/>
                <w:sz w:val="22"/>
                <w:highlight w:val="none"/>
              </w:rPr>
              <w:t>本项满分2分</w:t>
            </w:r>
            <w:r>
              <w:rPr>
                <w:rFonts w:hint="default" w:ascii="Times New Roman" w:hAnsi="Times New Roman" w:eastAsia="宋体" w:cs="Times New Roman"/>
                <w:color w:val="auto"/>
                <w:sz w:val="22"/>
                <w:highlight w:val="none"/>
                <w:lang w:eastAsia="zh-CN"/>
              </w:rPr>
              <w:t>）</w:t>
            </w:r>
          </w:p>
        </w:tc>
      </w:tr>
      <w:tr w14:paraId="665EF33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600" w:hRule="atLeast"/>
          <w:jc w:val="center"/>
        </w:trPr>
        <w:tc>
          <w:tcPr>
            <w:tcW w:w="1559" w:type="dxa"/>
            <w:vMerge w:val="continue"/>
            <w:noWrap w:val="0"/>
            <w:vAlign w:val="center"/>
          </w:tcPr>
          <w:p w14:paraId="0BEDD5B6">
            <w:pPr>
              <w:spacing w:line="520" w:lineRule="exact"/>
              <w:ind w:left="354" w:right="-31" w:rightChars="-15" w:hanging="354" w:hangingChars="147"/>
              <w:rPr>
                <w:rFonts w:hint="default" w:ascii="Times New Roman" w:hAnsi="Times New Roman" w:eastAsia="宋体" w:cs="Times New Roman"/>
                <w:b/>
                <w:color w:val="auto"/>
                <w:sz w:val="24"/>
                <w:highlight w:val="none"/>
              </w:rPr>
            </w:pPr>
          </w:p>
        </w:tc>
        <w:tc>
          <w:tcPr>
            <w:tcW w:w="2127" w:type="dxa"/>
            <w:noWrap w:val="0"/>
            <w:vAlign w:val="center"/>
          </w:tcPr>
          <w:p w14:paraId="1F108625">
            <w:pPr>
              <w:snapToGrid w:val="0"/>
              <w:spacing w:line="320" w:lineRule="exact"/>
              <w:ind w:firstLine="0" w:firstLineChars="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lang w:val="en-US" w:eastAsia="zh-CN"/>
              </w:rPr>
              <w:t>2</w:t>
            </w:r>
            <w:r>
              <w:rPr>
                <w:rFonts w:hint="default" w:ascii="Times New Roman" w:hAnsi="Times New Roman" w:eastAsia="宋体" w:cs="Times New Roman"/>
                <w:color w:val="auto"/>
                <w:sz w:val="24"/>
                <w:highlight w:val="none"/>
              </w:rPr>
              <w:t>、企业资质等</w:t>
            </w:r>
          </w:p>
        </w:tc>
        <w:tc>
          <w:tcPr>
            <w:tcW w:w="3446" w:type="dxa"/>
            <w:noWrap w:val="0"/>
            <w:vAlign w:val="center"/>
          </w:tcPr>
          <w:p w14:paraId="1B0DAB51">
            <w:pPr>
              <w:snapToGrid w:val="0"/>
              <w:spacing w:line="320" w:lineRule="exact"/>
              <w:ind w:firstLine="0" w:firstLineChars="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取得营业执照、资质证书等且在有效期内</w:t>
            </w:r>
          </w:p>
        </w:tc>
        <w:tc>
          <w:tcPr>
            <w:tcW w:w="850" w:type="dxa"/>
            <w:noWrap w:val="0"/>
            <w:vAlign w:val="center"/>
          </w:tcPr>
          <w:p w14:paraId="69700844">
            <w:pPr>
              <w:snapToGrid w:val="0"/>
              <w:spacing w:line="320" w:lineRule="exact"/>
              <w:ind w:firstLine="0" w:firstLineChars="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lang w:val="en-US" w:eastAsia="zh-CN"/>
              </w:rPr>
              <w:t>10</w:t>
            </w:r>
            <w:r>
              <w:rPr>
                <w:rFonts w:hint="default" w:ascii="Times New Roman" w:hAnsi="Times New Roman" w:eastAsia="宋体" w:cs="Times New Roman"/>
                <w:color w:val="auto"/>
                <w:sz w:val="24"/>
                <w:highlight w:val="none"/>
              </w:rPr>
              <w:t>分</w:t>
            </w:r>
          </w:p>
        </w:tc>
        <w:tc>
          <w:tcPr>
            <w:tcW w:w="879" w:type="dxa"/>
            <w:noWrap w:val="0"/>
            <w:vAlign w:val="center"/>
          </w:tcPr>
          <w:p w14:paraId="5034B59E">
            <w:pPr>
              <w:snapToGrid w:val="0"/>
              <w:spacing w:line="320" w:lineRule="exact"/>
              <w:ind w:firstLine="480" w:firstLineChars="200"/>
              <w:jc w:val="center"/>
              <w:rPr>
                <w:rFonts w:hint="default" w:ascii="Times New Roman" w:hAnsi="Times New Roman" w:eastAsia="宋体" w:cs="Times New Roman"/>
                <w:color w:val="auto"/>
                <w:sz w:val="24"/>
                <w:highlight w:val="none"/>
              </w:rPr>
            </w:pPr>
          </w:p>
        </w:tc>
        <w:tc>
          <w:tcPr>
            <w:tcW w:w="5054" w:type="dxa"/>
            <w:noWrap w:val="0"/>
            <w:tcMar>
              <w:top w:w="85" w:type="dxa"/>
              <w:bottom w:w="85" w:type="dxa"/>
            </w:tcMar>
            <w:vAlign w:val="center"/>
          </w:tcPr>
          <w:p w14:paraId="35D68C32">
            <w:pPr>
              <w:snapToGrid w:val="0"/>
              <w:spacing w:line="320" w:lineRule="exact"/>
              <w:ind w:firstLine="440" w:firstLineChars="200"/>
              <w:rPr>
                <w:rFonts w:hint="default" w:ascii="Times New Roman" w:hAnsi="Times New Roman" w:eastAsia="宋体" w:cs="Times New Roman"/>
                <w:color w:val="auto"/>
                <w:sz w:val="22"/>
                <w:szCs w:val="22"/>
                <w:highlight w:val="none"/>
              </w:rPr>
            </w:pPr>
            <w:r>
              <w:rPr>
                <w:rFonts w:hint="default" w:ascii="Times New Roman" w:hAnsi="Times New Roman" w:eastAsia="宋体" w:cs="Times New Roman"/>
                <w:color w:val="auto"/>
                <w:sz w:val="22"/>
                <w:szCs w:val="22"/>
                <w:highlight w:val="none"/>
              </w:rPr>
              <w:t>取得相应证书且在有效期内者得10分，缺一项不得分，其中资质证书8分，获得住房和城乡建设部颁发的综合甲级8分、行业甲级得5分，专业甲级的得3分，多一项不同行业的专业乙级以上加1分，最多加3分。</w:t>
            </w:r>
          </w:p>
        </w:tc>
      </w:tr>
      <w:tr w14:paraId="0CE13C2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240" w:hRule="atLeast"/>
          <w:jc w:val="center"/>
        </w:trPr>
        <w:tc>
          <w:tcPr>
            <w:tcW w:w="1559" w:type="dxa"/>
            <w:vMerge w:val="continue"/>
            <w:noWrap w:val="0"/>
            <w:vAlign w:val="center"/>
          </w:tcPr>
          <w:p w14:paraId="2E5E671D">
            <w:pPr>
              <w:spacing w:line="520" w:lineRule="exact"/>
              <w:ind w:left="354" w:right="-31" w:rightChars="-15" w:hanging="354" w:hangingChars="147"/>
              <w:rPr>
                <w:rFonts w:hint="default" w:ascii="Times New Roman" w:hAnsi="Times New Roman" w:eastAsia="宋体" w:cs="Times New Roman"/>
                <w:b/>
                <w:color w:val="auto"/>
                <w:sz w:val="24"/>
                <w:highlight w:val="none"/>
              </w:rPr>
            </w:pPr>
          </w:p>
        </w:tc>
        <w:tc>
          <w:tcPr>
            <w:tcW w:w="2127" w:type="dxa"/>
            <w:noWrap w:val="0"/>
            <w:vAlign w:val="center"/>
          </w:tcPr>
          <w:p w14:paraId="4559A06D">
            <w:pPr>
              <w:snapToGrid w:val="0"/>
              <w:spacing w:line="320" w:lineRule="exact"/>
              <w:ind w:firstLine="0" w:firstLineChars="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lang w:val="en-US" w:eastAsia="zh-CN"/>
              </w:rPr>
              <w:t>3</w:t>
            </w:r>
            <w:r>
              <w:rPr>
                <w:rFonts w:hint="default" w:ascii="Times New Roman" w:hAnsi="Times New Roman" w:eastAsia="宋体" w:cs="Times New Roman"/>
                <w:color w:val="auto"/>
                <w:sz w:val="24"/>
                <w:highlight w:val="none"/>
              </w:rPr>
              <w:t>、组织机构及各项规章制度建设</w:t>
            </w:r>
          </w:p>
        </w:tc>
        <w:tc>
          <w:tcPr>
            <w:tcW w:w="3446" w:type="dxa"/>
            <w:noWrap w:val="0"/>
            <w:vAlign w:val="center"/>
          </w:tcPr>
          <w:p w14:paraId="43907939">
            <w:pPr>
              <w:snapToGrid w:val="0"/>
              <w:spacing w:line="320" w:lineRule="exact"/>
              <w:ind w:firstLine="0" w:firstLineChars="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组织机构健全、合理；</w:t>
            </w:r>
          </w:p>
          <w:p w14:paraId="19CDE384">
            <w:pPr>
              <w:snapToGrid w:val="0"/>
              <w:spacing w:line="320" w:lineRule="exact"/>
              <w:ind w:firstLine="0" w:firstLineChars="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规章制度完备，运行有效</w:t>
            </w:r>
          </w:p>
        </w:tc>
        <w:tc>
          <w:tcPr>
            <w:tcW w:w="850" w:type="dxa"/>
            <w:noWrap w:val="0"/>
            <w:vAlign w:val="center"/>
          </w:tcPr>
          <w:p w14:paraId="7E2DB0D9">
            <w:pPr>
              <w:snapToGrid w:val="0"/>
              <w:spacing w:line="320" w:lineRule="exact"/>
              <w:ind w:firstLine="0" w:firstLineChars="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lang w:val="en-US" w:eastAsia="zh-CN"/>
              </w:rPr>
              <w:t>2</w:t>
            </w:r>
            <w:r>
              <w:rPr>
                <w:rFonts w:hint="default" w:ascii="Times New Roman" w:hAnsi="Times New Roman" w:eastAsia="宋体" w:cs="Times New Roman"/>
                <w:color w:val="auto"/>
                <w:sz w:val="24"/>
                <w:highlight w:val="none"/>
              </w:rPr>
              <w:t>分</w:t>
            </w:r>
          </w:p>
        </w:tc>
        <w:tc>
          <w:tcPr>
            <w:tcW w:w="879" w:type="dxa"/>
            <w:noWrap w:val="0"/>
            <w:vAlign w:val="center"/>
          </w:tcPr>
          <w:p w14:paraId="53E092BD">
            <w:pPr>
              <w:snapToGrid w:val="0"/>
              <w:spacing w:line="320" w:lineRule="exact"/>
              <w:ind w:firstLine="480" w:firstLineChars="200"/>
              <w:jc w:val="center"/>
              <w:rPr>
                <w:rFonts w:hint="default" w:ascii="Times New Roman" w:hAnsi="Times New Roman" w:eastAsia="宋体" w:cs="Times New Roman"/>
                <w:color w:val="auto"/>
                <w:sz w:val="24"/>
                <w:highlight w:val="none"/>
              </w:rPr>
            </w:pPr>
          </w:p>
        </w:tc>
        <w:tc>
          <w:tcPr>
            <w:tcW w:w="5054" w:type="dxa"/>
            <w:noWrap w:val="0"/>
            <w:tcMar>
              <w:top w:w="85" w:type="dxa"/>
              <w:bottom w:w="85" w:type="dxa"/>
            </w:tcMar>
            <w:vAlign w:val="center"/>
          </w:tcPr>
          <w:p w14:paraId="487A7F2F">
            <w:pPr>
              <w:spacing w:line="320" w:lineRule="exact"/>
              <w:ind w:firstLine="440" w:firstLineChars="200"/>
              <w:rPr>
                <w:rFonts w:hint="default" w:ascii="Times New Roman" w:hAnsi="Times New Roman" w:eastAsia="宋体" w:cs="Times New Roman"/>
                <w:color w:val="auto"/>
                <w:sz w:val="22"/>
                <w:szCs w:val="22"/>
                <w:highlight w:val="none"/>
              </w:rPr>
            </w:pPr>
            <w:r>
              <w:rPr>
                <w:rFonts w:hint="default" w:ascii="Times New Roman" w:hAnsi="Times New Roman" w:eastAsia="宋体" w:cs="Times New Roman"/>
                <w:color w:val="auto"/>
                <w:sz w:val="22"/>
                <w:szCs w:val="22"/>
                <w:highlight w:val="none"/>
              </w:rPr>
              <w:t>组织机构健全、合理，职责明确；各项规章制度严谨、健全，并能持续改进者得</w:t>
            </w:r>
            <w:r>
              <w:rPr>
                <w:rFonts w:hint="default" w:ascii="Times New Roman" w:hAnsi="Times New Roman" w:eastAsia="宋体" w:cs="Times New Roman"/>
                <w:color w:val="auto"/>
                <w:sz w:val="22"/>
                <w:szCs w:val="22"/>
                <w:highlight w:val="none"/>
                <w:lang w:val="en-US" w:eastAsia="zh-CN"/>
              </w:rPr>
              <w:t>2</w:t>
            </w:r>
            <w:r>
              <w:rPr>
                <w:rFonts w:hint="default" w:ascii="Times New Roman" w:hAnsi="Times New Roman" w:eastAsia="宋体" w:cs="Times New Roman"/>
                <w:color w:val="auto"/>
                <w:sz w:val="22"/>
                <w:szCs w:val="22"/>
                <w:highlight w:val="none"/>
              </w:rPr>
              <w:t>分。质量、安全、合同、廉洁等管理制度，每缺少一项减1分，减完为止。</w:t>
            </w:r>
          </w:p>
        </w:tc>
      </w:tr>
      <w:tr w14:paraId="029D1B1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620" w:hRule="atLeast"/>
          <w:jc w:val="center"/>
        </w:trPr>
        <w:tc>
          <w:tcPr>
            <w:tcW w:w="1559" w:type="dxa"/>
            <w:vMerge w:val="continue"/>
            <w:noWrap w:val="0"/>
            <w:vAlign w:val="center"/>
          </w:tcPr>
          <w:p w14:paraId="1AF69642">
            <w:pPr>
              <w:spacing w:line="520" w:lineRule="exact"/>
              <w:ind w:left="354" w:right="-31" w:rightChars="-15" w:hanging="354" w:hangingChars="147"/>
              <w:rPr>
                <w:rFonts w:hint="default" w:ascii="Times New Roman" w:hAnsi="Times New Roman" w:eastAsia="宋体" w:cs="Times New Roman"/>
                <w:b/>
                <w:color w:val="auto"/>
                <w:sz w:val="24"/>
                <w:highlight w:val="none"/>
              </w:rPr>
            </w:pPr>
          </w:p>
        </w:tc>
        <w:tc>
          <w:tcPr>
            <w:tcW w:w="2127" w:type="dxa"/>
            <w:noWrap w:val="0"/>
            <w:vAlign w:val="center"/>
          </w:tcPr>
          <w:p w14:paraId="00F0D12E">
            <w:pPr>
              <w:snapToGrid w:val="0"/>
              <w:spacing w:line="320" w:lineRule="exact"/>
              <w:ind w:firstLine="0" w:firstLineChars="0"/>
              <w:rPr>
                <w:rFonts w:hint="default" w:ascii="Times New Roman" w:hAnsi="Times New Roman" w:eastAsia="宋体" w:cs="Times New Roman"/>
                <w:color w:val="auto"/>
                <w:kern w:val="2"/>
                <w:sz w:val="24"/>
                <w:szCs w:val="24"/>
                <w:highlight w:val="none"/>
                <w:lang w:val="en-US" w:eastAsia="zh-CN" w:bidi="ar-SA"/>
              </w:rPr>
            </w:pPr>
            <w:r>
              <w:rPr>
                <w:rFonts w:hint="default" w:ascii="Times New Roman" w:hAnsi="Times New Roman" w:eastAsia="宋体" w:cs="Times New Roman"/>
                <w:color w:val="auto"/>
                <w:sz w:val="24"/>
                <w:highlight w:val="none"/>
              </w:rPr>
              <w:t>4、管理体系建立</w:t>
            </w:r>
          </w:p>
        </w:tc>
        <w:tc>
          <w:tcPr>
            <w:tcW w:w="3446" w:type="dxa"/>
            <w:noWrap w:val="0"/>
            <w:vAlign w:val="center"/>
          </w:tcPr>
          <w:p w14:paraId="098C6F0A">
            <w:pPr>
              <w:snapToGrid w:val="0"/>
              <w:spacing w:line="320" w:lineRule="exact"/>
              <w:ind w:firstLine="0" w:firstLineChars="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质量管理体系认证；</w:t>
            </w:r>
          </w:p>
          <w:p w14:paraId="5C2B392E">
            <w:pPr>
              <w:snapToGrid w:val="0"/>
              <w:spacing w:line="320" w:lineRule="exact"/>
              <w:ind w:firstLine="0" w:firstLineChars="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环境管理体系认证；</w:t>
            </w:r>
          </w:p>
          <w:p w14:paraId="2C26219A">
            <w:pPr>
              <w:snapToGrid w:val="0"/>
              <w:spacing w:line="320" w:lineRule="exact"/>
              <w:ind w:firstLine="0" w:firstLineChars="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职业健康安全管理体系认证；</w:t>
            </w:r>
          </w:p>
          <w:p w14:paraId="4DDD3DC3">
            <w:pPr>
              <w:snapToGrid w:val="0"/>
              <w:spacing w:line="320" w:lineRule="exact"/>
              <w:ind w:firstLine="0" w:firstLineChars="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企业诚信管理体系认证；</w:t>
            </w:r>
          </w:p>
          <w:p w14:paraId="1C85B5E2">
            <w:pPr>
              <w:snapToGrid w:val="0"/>
              <w:spacing w:line="320" w:lineRule="exact"/>
              <w:ind w:firstLine="0" w:firstLineChars="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社会责任管理体系</w:t>
            </w:r>
          </w:p>
          <w:p w14:paraId="614064D8">
            <w:pPr>
              <w:snapToGrid w:val="0"/>
              <w:spacing w:line="320" w:lineRule="exact"/>
              <w:ind w:firstLine="0" w:firstLineChars="0"/>
              <w:rPr>
                <w:rFonts w:hint="default" w:ascii="Times New Roman" w:hAnsi="Times New Roman" w:eastAsia="宋体" w:cs="Times New Roman"/>
                <w:color w:val="auto"/>
                <w:kern w:val="2"/>
                <w:sz w:val="24"/>
                <w:szCs w:val="24"/>
                <w:highlight w:val="none"/>
                <w:lang w:val="en-US" w:eastAsia="zh-CN" w:bidi="ar-SA"/>
              </w:rPr>
            </w:pPr>
            <w:r>
              <w:rPr>
                <w:rFonts w:hint="default" w:ascii="Times New Roman" w:hAnsi="Times New Roman" w:cs="Times New Roman"/>
                <w:color w:val="auto"/>
                <w:sz w:val="24"/>
                <w:highlight w:val="none"/>
              </w:rPr>
              <w:t>知识产权管理体系认证；</w:t>
            </w:r>
          </w:p>
        </w:tc>
        <w:tc>
          <w:tcPr>
            <w:tcW w:w="850" w:type="dxa"/>
            <w:noWrap w:val="0"/>
            <w:vAlign w:val="center"/>
          </w:tcPr>
          <w:p w14:paraId="1A81902A">
            <w:pPr>
              <w:snapToGrid w:val="0"/>
              <w:spacing w:line="320" w:lineRule="exact"/>
              <w:ind w:firstLine="0" w:firstLineChars="0"/>
              <w:rPr>
                <w:rFonts w:hint="default" w:ascii="Times New Roman" w:hAnsi="Times New Roman" w:eastAsia="宋体" w:cs="Times New Roman"/>
                <w:color w:val="auto"/>
                <w:kern w:val="2"/>
                <w:sz w:val="24"/>
                <w:szCs w:val="24"/>
                <w:highlight w:val="none"/>
                <w:lang w:val="en-US" w:eastAsia="zh-CN" w:bidi="ar-SA"/>
              </w:rPr>
            </w:pPr>
            <w:r>
              <w:rPr>
                <w:rFonts w:hint="default" w:ascii="Times New Roman" w:hAnsi="Times New Roman" w:eastAsia="宋体" w:cs="Times New Roman"/>
                <w:color w:val="auto"/>
                <w:sz w:val="24"/>
                <w:highlight w:val="none"/>
              </w:rPr>
              <w:t>2分</w:t>
            </w:r>
          </w:p>
        </w:tc>
        <w:tc>
          <w:tcPr>
            <w:tcW w:w="879" w:type="dxa"/>
            <w:noWrap w:val="0"/>
            <w:vAlign w:val="center"/>
          </w:tcPr>
          <w:p w14:paraId="43C787F0">
            <w:pPr>
              <w:snapToGrid w:val="0"/>
              <w:spacing w:line="320" w:lineRule="exact"/>
              <w:ind w:firstLine="480"/>
              <w:jc w:val="center"/>
              <w:rPr>
                <w:rFonts w:hint="default" w:ascii="Times New Roman" w:hAnsi="Times New Roman" w:eastAsia="宋体" w:cs="Times New Roman"/>
                <w:color w:val="auto"/>
                <w:kern w:val="2"/>
                <w:sz w:val="24"/>
                <w:szCs w:val="24"/>
                <w:highlight w:val="none"/>
                <w:lang w:val="en-US" w:eastAsia="zh-CN" w:bidi="ar-SA"/>
              </w:rPr>
            </w:pPr>
          </w:p>
        </w:tc>
        <w:tc>
          <w:tcPr>
            <w:tcW w:w="5054" w:type="dxa"/>
            <w:noWrap w:val="0"/>
            <w:tcMar>
              <w:top w:w="85" w:type="dxa"/>
              <w:bottom w:w="85" w:type="dxa"/>
            </w:tcMar>
            <w:vAlign w:val="center"/>
          </w:tcPr>
          <w:p w14:paraId="260B0DAE">
            <w:pPr>
              <w:snapToGrid w:val="0"/>
              <w:spacing w:line="320" w:lineRule="exact"/>
              <w:ind w:firstLine="440" w:firstLineChars="200"/>
              <w:rPr>
                <w:rFonts w:hint="default" w:ascii="Times New Roman" w:hAnsi="Times New Roman" w:eastAsia="宋体" w:cs="Times New Roman"/>
                <w:color w:val="auto"/>
                <w:kern w:val="2"/>
                <w:sz w:val="22"/>
                <w:szCs w:val="22"/>
                <w:highlight w:val="none"/>
                <w:lang w:val="en-US" w:eastAsia="zh-CN" w:bidi="ar-SA"/>
              </w:rPr>
            </w:pPr>
            <w:r>
              <w:rPr>
                <w:rFonts w:hint="default" w:ascii="Times New Roman" w:hAnsi="Times New Roman" w:eastAsia="宋体" w:cs="Times New Roman"/>
                <w:color w:val="auto"/>
                <w:sz w:val="22"/>
                <w:szCs w:val="22"/>
                <w:highlight w:val="none"/>
              </w:rPr>
              <w:t>获得国家认可的认证证书，实施效果良好，能持续改进者得2分。缺少一个管理体系认证减1分，减完为止。</w:t>
            </w:r>
          </w:p>
        </w:tc>
      </w:tr>
      <w:tr w14:paraId="5FAFDC8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559" w:type="dxa"/>
            <w:vMerge w:val="continue"/>
            <w:noWrap w:val="0"/>
            <w:vAlign w:val="center"/>
          </w:tcPr>
          <w:p w14:paraId="729F9E78">
            <w:pPr>
              <w:spacing w:line="520" w:lineRule="exact"/>
              <w:ind w:left="354" w:right="-31" w:rightChars="-15" w:hanging="354" w:hangingChars="147"/>
              <w:rPr>
                <w:rFonts w:hint="default" w:ascii="Times New Roman" w:hAnsi="Times New Roman" w:eastAsia="宋体" w:cs="Times New Roman"/>
                <w:b/>
                <w:color w:val="auto"/>
                <w:sz w:val="24"/>
                <w:highlight w:val="none"/>
              </w:rPr>
            </w:pPr>
          </w:p>
        </w:tc>
        <w:tc>
          <w:tcPr>
            <w:tcW w:w="2127" w:type="dxa"/>
            <w:noWrap w:val="0"/>
            <w:vAlign w:val="center"/>
          </w:tcPr>
          <w:p w14:paraId="0098F0E3">
            <w:pPr>
              <w:snapToGrid w:val="0"/>
              <w:spacing w:line="320" w:lineRule="exact"/>
              <w:ind w:firstLine="0" w:firstLineChars="0"/>
              <w:rPr>
                <w:rFonts w:hint="default" w:ascii="Times New Roman" w:hAnsi="Times New Roman" w:eastAsia="宋体" w:cs="Times New Roman"/>
                <w:color w:val="auto"/>
                <w:kern w:val="2"/>
                <w:sz w:val="24"/>
                <w:szCs w:val="24"/>
                <w:highlight w:val="none"/>
                <w:lang w:val="en-US" w:eastAsia="zh-CN" w:bidi="ar-SA"/>
              </w:rPr>
            </w:pPr>
            <w:r>
              <w:rPr>
                <w:rFonts w:hint="default" w:ascii="Times New Roman" w:hAnsi="Times New Roman" w:eastAsia="宋体" w:cs="Times New Roman"/>
                <w:color w:val="auto"/>
                <w:sz w:val="24"/>
                <w:highlight w:val="none"/>
              </w:rPr>
              <w:t>5、信息化管理</w:t>
            </w:r>
          </w:p>
        </w:tc>
        <w:tc>
          <w:tcPr>
            <w:tcW w:w="3446" w:type="dxa"/>
            <w:noWrap w:val="0"/>
            <w:vAlign w:val="center"/>
          </w:tcPr>
          <w:p w14:paraId="32F06E18">
            <w:pPr>
              <w:snapToGrid w:val="0"/>
              <w:spacing w:line="320" w:lineRule="exact"/>
              <w:ind w:firstLine="0" w:firstLineChars="0"/>
              <w:rPr>
                <w:rFonts w:hint="default" w:ascii="Times New Roman" w:hAnsi="Times New Roman" w:eastAsia="宋体" w:cs="Times New Roman"/>
                <w:color w:val="auto"/>
                <w:kern w:val="2"/>
                <w:sz w:val="24"/>
                <w:szCs w:val="24"/>
                <w:highlight w:val="none"/>
                <w:lang w:val="en-US" w:eastAsia="zh-CN" w:bidi="ar-SA"/>
              </w:rPr>
            </w:pPr>
            <w:r>
              <w:rPr>
                <w:rFonts w:hint="default" w:ascii="Times New Roman" w:hAnsi="Times New Roman" w:eastAsia="宋体" w:cs="Times New Roman"/>
                <w:color w:val="auto"/>
                <w:sz w:val="24"/>
                <w:highlight w:val="none"/>
              </w:rPr>
              <w:t>建立办公自动化系统、单位网站及公众号</w:t>
            </w:r>
          </w:p>
        </w:tc>
        <w:tc>
          <w:tcPr>
            <w:tcW w:w="850" w:type="dxa"/>
            <w:noWrap w:val="0"/>
            <w:vAlign w:val="center"/>
          </w:tcPr>
          <w:p w14:paraId="4C30C826">
            <w:pPr>
              <w:snapToGrid w:val="0"/>
              <w:spacing w:line="320" w:lineRule="exact"/>
              <w:ind w:firstLine="0" w:firstLineChars="0"/>
              <w:rPr>
                <w:rFonts w:hint="default" w:ascii="Times New Roman" w:hAnsi="Times New Roman" w:eastAsia="宋体" w:cs="Times New Roman"/>
                <w:color w:val="auto"/>
                <w:kern w:val="2"/>
                <w:sz w:val="24"/>
                <w:szCs w:val="24"/>
                <w:highlight w:val="none"/>
                <w:lang w:val="en-US" w:eastAsia="zh-CN" w:bidi="ar-SA"/>
              </w:rPr>
            </w:pPr>
            <w:r>
              <w:rPr>
                <w:rFonts w:hint="default" w:ascii="Times New Roman" w:hAnsi="Times New Roman" w:eastAsia="宋体" w:cs="Times New Roman"/>
                <w:color w:val="auto"/>
                <w:sz w:val="24"/>
                <w:highlight w:val="none"/>
              </w:rPr>
              <w:t>2分</w:t>
            </w:r>
          </w:p>
        </w:tc>
        <w:tc>
          <w:tcPr>
            <w:tcW w:w="879" w:type="dxa"/>
            <w:noWrap w:val="0"/>
            <w:vAlign w:val="center"/>
          </w:tcPr>
          <w:p w14:paraId="539C0316">
            <w:pPr>
              <w:snapToGrid w:val="0"/>
              <w:spacing w:line="320" w:lineRule="exact"/>
              <w:ind w:firstLine="480"/>
              <w:jc w:val="center"/>
              <w:rPr>
                <w:rFonts w:hint="default" w:ascii="Times New Roman" w:hAnsi="Times New Roman" w:eastAsia="宋体" w:cs="Times New Roman"/>
                <w:color w:val="auto"/>
                <w:kern w:val="2"/>
                <w:sz w:val="24"/>
                <w:szCs w:val="24"/>
                <w:highlight w:val="none"/>
                <w:lang w:val="en-US" w:eastAsia="zh-CN" w:bidi="ar-SA"/>
              </w:rPr>
            </w:pPr>
          </w:p>
        </w:tc>
        <w:tc>
          <w:tcPr>
            <w:tcW w:w="5054" w:type="dxa"/>
            <w:noWrap w:val="0"/>
            <w:tcMar>
              <w:top w:w="85" w:type="dxa"/>
              <w:bottom w:w="85" w:type="dxa"/>
            </w:tcMar>
            <w:vAlign w:val="center"/>
          </w:tcPr>
          <w:p w14:paraId="7B7A40B6">
            <w:pPr>
              <w:snapToGrid w:val="0"/>
              <w:spacing w:line="320" w:lineRule="exact"/>
              <w:ind w:firstLine="440" w:firstLineChars="200"/>
              <w:rPr>
                <w:rFonts w:hint="default" w:ascii="Times New Roman" w:hAnsi="Times New Roman" w:eastAsia="宋体" w:cs="Times New Roman"/>
                <w:color w:val="auto"/>
                <w:kern w:val="2"/>
                <w:sz w:val="22"/>
                <w:szCs w:val="22"/>
                <w:highlight w:val="none"/>
                <w:lang w:val="en-US" w:eastAsia="zh-CN" w:bidi="ar-SA"/>
              </w:rPr>
            </w:pPr>
            <w:r>
              <w:rPr>
                <w:rFonts w:hint="default" w:ascii="Times New Roman" w:hAnsi="Times New Roman" w:eastAsia="宋体" w:cs="Times New Roman"/>
                <w:color w:val="auto"/>
                <w:sz w:val="22"/>
                <w:szCs w:val="22"/>
                <w:highlight w:val="none"/>
              </w:rPr>
              <w:t>建立办公自动化系统、单位网站及公众号，信息沟通渠道顺畅者得2分。缺少一项减1分，减完为止。</w:t>
            </w:r>
          </w:p>
        </w:tc>
      </w:tr>
      <w:tr w14:paraId="3ECDA20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559" w:type="dxa"/>
            <w:vMerge w:val="continue"/>
            <w:noWrap w:val="0"/>
            <w:vAlign w:val="center"/>
          </w:tcPr>
          <w:p w14:paraId="0CB94117">
            <w:pPr>
              <w:spacing w:line="520" w:lineRule="exact"/>
              <w:ind w:left="354" w:right="-31" w:rightChars="-15" w:hanging="354" w:hangingChars="147"/>
              <w:rPr>
                <w:rFonts w:hint="default" w:ascii="Times New Roman" w:hAnsi="Times New Roman" w:eastAsia="宋体" w:cs="Times New Roman"/>
                <w:b/>
                <w:color w:val="auto"/>
                <w:sz w:val="24"/>
                <w:highlight w:val="none"/>
              </w:rPr>
            </w:pPr>
          </w:p>
        </w:tc>
        <w:tc>
          <w:tcPr>
            <w:tcW w:w="2127" w:type="dxa"/>
            <w:tcBorders>
              <w:top w:val="single" w:color="auto" w:sz="4" w:space="0"/>
              <w:left w:val="single" w:color="auto" w:sz="4" w:space="0"/>
              <w:bottom w:val="single" w:color="auto" w:sz="4" w:space="0"/>
              <w:right w:val="single" w:color="auto" w:sz="4" w:space="0"/>
            </w:tcBorders>
            <w:noWrap w:val="0"/>
            <w:vAlign w:val="center"/>
          </w:tcPr>
          <w:p w14:paraId="5F311B4F">
            <w:pPr>
              <w:snapToGrid w:val="0"/>
              <w:spacing w:line="320" w:lineRule="exact"/>
              <w:ind w:firstLine="0" w:firstLineChars="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6</w:t>
            </w:r>
            <w:r>
              <w:rPr>
                <w:rFonts w:hint="default"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rPr>
              <w:t>人力资源</w:t>
            </w:r>
          </w:p>
        </w:tc>
        <w:tc>
          <w:tcPr>
            <w:tcW w:w="3446" w:type="dxa"/>
            <w:tcBorders>
              <w:top w:val="single" w:color="auto" w:sz="4" w:space="0"/>
              <w:left w:val="single" w:color="auto" w:sz="4" w:space="0"/>
              <w:bottom w:val="single" w:color="auto" w:sz="4" w:space="0"/>
              <w:right w:val="single" w:color="auto" w:sz="4" w:space="0"/>
            </w:tcBorders>
            <w:noWrap w:val="0"/>
            <w:vAlign w:val="center"/>
          </w:tcPr>
          <w:p w14:paraId="52CD56CD">
            <w:pPr>
              <w:snapToGrid w:val="0"/>
              <w:spacing w:line="320" w:lineRule="exact"/>
              <w:ind w:firstLine="0" w:firstLineChars="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企业主要管理人员和专业技术人员配备满足资质等级要求</w:t>
            </w:r>
          </w:p>
        </w:tc>
        <w:tc>
          <w:tcPr>
            <w:tcW w:w="850" w:type="dxa"/>
            <w:tcBorders>
              <w:top w:val="single" w:color="auto" w:sz="4" w:space="0"/>
              <w:left w:val="single" w:color="auto" w:sz="4" w:space="0"/>
              <w:bottom w:val="single" w:color="auto" w:sz="4" w:space="0"/>
              <w:right w:val="single" w:color="auto" w:sz="4" w:space="0"/>
            </w:tcBorders>
            <w:noWrap w:val="0"/>
            <w:vAlign w:val="center"/>
          </w:tcPr>
          <w:p w14:paraId="024B7243">
            <w:pPr>
              <w:snapToGrid w:val="0"/>
              <w:spacing w:line="320" w:lineRule="exact"/>
              <w:ind w:firstLine="0" w:firstLineChars="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lang w:val="en-US" w:eastAsia="zh-CN"/>
              </w:rPr>
              <w:t>2</w:t>
            </w:r>
            <w:r>
              <w:rPr>
                <w:rFonts w:hint="default" w:ascii="Times New Roman" w:hAnsi="Times New Roman" w:eastAsia="宋体" w:cs="Times New Roman"/>
                <w:color w:val="auto"/>
                <w:sz w:val="24"/>
                <w:highlight w:val="none"/>
              </w:rPr>
              <w:t>分</w:t>
            </w:r>
          </w:p>
        </w:tc>
        <w:tc>
          <w:tcPr>
            <w:tcW w:w="879" w:type="dxa"/>
            <w:tcBorders>
              <w:top w:val="single" w:color="auto" w:sz="4" w:space="0"/>
              <w:left w:val="single" w:color="auto" w:sz="4" w:space="0"/>
              <w:bottom w:val="single" w:color="auto" w:sz="4" w:space="0"/>
              <w:right w:val="single" w:color="auto" w:sz="4" w:space="0"/>
            </w:tcBorders>
            <w:noWrap w:val="0"/>
            <w:vAlign w:val="center"/>
          </w:tcPr>
          <w:p w14:paraId="2CF91F5F">
            <w:pPr>
              <w:snapToGrid w:val="0"/>
              <w:spacing w:line="320" w:lineRule="exact"/>
              <w:ind w:firstLine="480"/>
              <w:jc w:val="center"/>
              <w:rPr>
                <w:rFonts w:hint="default" w:ascii="Times New Roman" w:hAnsi="Times New Roman" w:eastAsia="宋体" w:cs="Times New Roman"/>
                <w:color w:val="auto"/>
                <w:sz w:val="24"/>
                <w:highlight w:val="none"/>
              </w:rPr>
            </w:pPr>
          </w:p>
        </w:tc>
        <w:tc>
          <w:tcPr>
            <w:tcW w:w="5054" w:type="dxa"/>
            <w:tcBorders>
              <w:top w:val="single" w:color="auto" w:sz="4" w:space="0"/>
              <w:left w:val="single" w:color="auto" w:sz="4" w:space="0"/>
              <w:bottom w:val="single" w:color="auto" w:sz="4" w:space="0"/>
              <w:right w:val="single" w:color="auto" w:sz="12" w:space="0"/>
            </w:tcBorders>
            <w:noWrap w:val="0"/>
            <w:tcMar>
              <w:top w:w="85" w:type="dxa"/>
              <w:bottom w:w="85" w:type="dxa"/>
            </w:tcMar>
            <w:vAlign w:val="center"/>
          </w:tcPr>
          <w:p w14:paraId="1187C8CD">
            <w:pPr>
              <w:snapToGrid w:val="0"/>
              <w:spacing w:line="320" w:lineRule="exact"/>
              <w:ind w:firstLine="440" w:firstLineChars="200"/>
              <w:rPr>
                <w:rFonts w:hint="default" w:ascii="Times New Roman" w:hAnsi="Times New Roman" w:eastAsia="宋体" w:cs="Times New Roman"/>
                <w:color w:val="auto"/>
                <w:sz w:val="22"/>
                <w:szCs w:val="22"/>
                <w:highlight w:val="none"/>
              </w:rPr>
            </w:pPr>
            <w:r>
              <w:rPr>
                <w:rFonts w:hint="default" w:ascii="Times New Roman" w:hAnsi="Times New Roman" w:eastAsia="宋体" w:cs="Times New Roman"/>
                <w:color w:val="auto"/>
                <w:sz w:val="22"/>
                <w:szCs w:val="22"/>
                <w:highlight w:val="none"/>
              </w:rPr>
              <w:t>企业主要管理人员、专业技术人员、注册监理工程师等人员达到相应资质标准的得2分，不符合者每项减1分，减完为止。</w:t>
            </w:r>
          </w:p>
        </w:tc>
      </w:tr>
      <w:tr w14:paraId="1F5173A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559" w:type="dxa"/>
            <w:vMerge w:val="restart"/>
            <w:noWrap w:val="0"/>
            <w:vAlign w:val="center"/>
          </w:tcPr>
          <w:p w14:paraId="7A03DE7E">
            <w:pPr>
              <w:spacing w:line="520" w:lineRule="exact"/>
              <w:ind w:left="354" w:hanging="354" w:hangingChars="147"/>
              <w:rPr>
                <w:rFonts w:hint="default" w:ascii="Times New Roman" w:hAnsi="Times New Roman" w:eastAsia="宋体" w:cs="Times New Roman"/>
                <w:b/>
                <w:color w:val="auto"/>
                <w:sz w:val="21"/>
                <w:highlight w:val="none"/>
              </w:rPr>
            </w:pPr>
            <w:r>
              <w:rPr>
                <w:rFonts w:hint="default" w:ascii="Times New Roman" w:hAnsi="Times New Roman" w:eastAsia="宋体" w:cs="Times New Roman"/>
                <w:b/>
                <w:color w:val="auto"/>
                <w:sz w:val="24"/>
                <w:highlight w:val="none"/>
              </w:rPr>
              <w:t>二、经济财务指标</w:t>
            </w:r>
            <w:r>
              <w:rPr>
                <w:rFonts w:hint="default" w:ascii="Times New Roman" w:hAnsi="Times New Roman" w:eastAsia="宋体" w:cs="Times New Roman"/>
                <w:b/>
                <w:color w:val="auto"/>
                <w:sz w:val="24"/>
                <w:highlight w:val="none"/>
                <w:lang w:val="en-US" w:eastAsia="zh-CN"/>
              </w:rPr>
              <w:t>10</w:t>
            </w:r>
            <w:r>
              <w:rPr>
                <w:rFonts w:hint="default" w:ascii="Times New Roman" w:hAnsi="Times New Roman" w:eastAsia="宋体" w:cs="Times New Roman"/>
                <w:b/>
                <w:color w:val="auto"/>
                <w:sz w:val="24"/>
                <w:highlight w:val="none"/>
              </w:rPr>
              <w:t>分\</w:t>
            </w:r>
          </w:p>
        </w:tc>
        <w:tc>
          <w:tcPr>
            <w:tcW w:w="2127" w:type="dxa"/>
            <w:tcBorders>
              <w:top w:val="single" w:color="auto" w:sz="4" w:space="0"/>
              <w:left w:val="single" w:color="auto" w:sz="4" w:space="0"/>
              <w:bottom w:val="single" w:color="auto" w:sz="4" w:space="0"/>
              <w:right w:val="single" w:color="auto" w:sz="4" w:space="0"/>
            </w:tcBorders>
            <w:noWrap w:val="0"/>
            <w:vAlign w:val="center"/>
          </w:tcPr>
          <w:p w14:paraId="65ED4C60">
            <w:pPr>
              <w:spacing w:line="320" w:lineRule="exact"/>
              <w:ind w:firstLine="0" w:firstLineChars="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1、企业产值</w:t>
            </w:r>
          </w:p>
        </w:tc>
        <w:tc>
          <w:tcPr>
            <w:tcW w:w="3446" w:type="dxa"/>
            <w:tcBorders>
              <w:top w:val="single" w:color="auto" w:sz="4" w:space="0"/>
              <w:left w:val="single" w:color="auto" w:sz="4" w:space="0"/>
              <w:bottom w:val="single" w:color="auto" w:sz="4" w:space="0"/>
              <w:right w:val="single" w:color="auto" w:sz="4" w:space="0"/>
            </w:tcBorders>
            <w:noWrap w:val="0"/>
            <w:vAlign w:val="center"/>
          </w:tcPr>
          <w:p w14:paraId="738FD12A">
            <w:pPr>
              <w:spacing w:line="320" w:lineRule="exact"/>
              <w:ind w:firstLine="0" w:firstLineChars="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符合相应的资质标准</w:t>
            </w:r>
          </w:p>
        </w:tc>
        <w:tc>
          <w:tcPr>
            <w:tcW w:w="850" w:type="dxa"/>
            <w:tcBorders>
              <w:top w:val="single" w:color="auto" w:sz="4" w:space="0"/>
              <w:left w:val="single" w:color="auto" w:sz="4" w:space="0"/>
              <w:bottom w:val="single" w:color="auto" w:sz="4" w:space="0"/>
              <w:right w:val="single" w:color="auto" w:sz="4" w:space="0"/>
            </w:tcBorders>
            <w:noWrap w:val="0"/>
            <w:vAlign w:val="center"/>
          </w:tcPr>
          <w:p w14:paraId="7F34CA8F">
            <w:pPr>
              <w:spacing w:line="320" w:lineRule="exact"/>
              <w:ind w:firstLine="0" w:firstLineChars="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2分</w:t>
            </w:r>
          </w:p>
        </w:tc>
        <w:tc>
          <w:tcPr>
            <w:tcW w:w="879" w:type="dxa"/>
            <w:tcBorders>
              <w:top w:val="single" w:color="auto" w:sz="4" w:space="0"/>
              <w:left w:val="single" w:color="auto" w:sz="4" w:space="0"/>
              <w:bottom w:val="single" w:color="auto" w:sz="4" w:space="0"/>
              <w:right w:val="single" w:color="auto" w:sz="4" w:space="0"/>
            </w:tcBorders>
            <w:noWrap w:val="0"/>
            <w:vAlign w:val="center"/>
          </w:tcPr>
          <w:p w14:paraId="337901C9">
            <w:pPr>
              <w:spacing w:line="320" w:lineRule="exact"/>
              <w:ind w:firstLine="480"/>
              <w:jc w:val="center"/>
              <w:rPr>
                <w:rFonts w:hint="default" w:ascii="Times New Roman" w:hAnsi="Times New Roman" w:eastAsia="宋体" w:cs="Times New Roman"/>
                <w:color w:val="auto"/>
                <w:sz w:val="24"/>
                <w:highlight w:val="none"/>
              </w:rPr>
            </w:pPr>
          </w:p>
        </w:tc>
        <w:tc>
          <w:tcPr>
            <w:tcW w:w="5054" w:type="dxa"/>
            <w:tcBorders>
              <w:top w:val="single" w:color="auto" w:sz="4" w:space="0"/>
              <w:left w:val="single" w:color="auto" w:sz="4" w:space="0"/>
              <w:bottom w:val="single" w:color="auto" w:sz="4" w:space="0"/>
              <w:right w:val="single" w:color="auto" w:sz="12" w:space="0"/>
            </w:tcBorders>
            <w:noWrap w:val="0"/>
            <w:tcMar>
              <w:top w:w="85" w:type="dxa"/>
              <w:bottom w:w="85" w:type="dxa"/>
            </w:tcMar>
            <w:vAlign w:val="center"/>
          </w:tcPr>
          <w:p w14:paraId="2466529A">
            <w:pPr>
              <w:snapToGrid w:val="0"/>
              <w:spacing w:line="320" w:lineRule="exact"/>
              <w:ind w:firstLine="440" w:firstLineChars="200"/>
              <w:rPr>
                <w:rFonts w:hint="default" w:ascii="Times New Roman" w:hAnsi="Times New Roman" w:eastAsia="宋体" w:cs="Times New Roman"/>
                <w:color w:val="auto"/>
                <w:sz w:val="22"/>
                <w:szCs w:val="22"/>
                <w:highlight w:val="none"/>
                <w:lang w:eastAsia="zh-CN"/>
              </w:rPr>
            </w:pPr>
            <w:r>
              <w:rPr>
                <w:rFonts w:hint="default" w:ascii="Times New Roman" w:hAnsi="Times New Roman" w:eastAsia="宋体" w:cs="Times New Roman"/>
                <w:color w:val="auto"/>
                <w:sz w:val="22"/>
                <w:highlight w:val="none"/>
              </w:rPr>
              <w:t>达到相应的资质标准，满足《</w:t>
            </w:r>
            <w:r>
              <w:rPr>
                <w:rFonts w:hint="default" w:ascii="Times New Roman" w:hAnsi="Times New Roman" w:eastAsia="宋体" w:cs="Times New Roman"/>
                <w:bCs/>
                <w:color w:val="auto"/>
                <w:sz w:val="22"/>
                <w:highlight w:val="none"/>
              </w:rPr>
              <w:t>工程设计资质标准</w:t>
            </w:r>
            <w:r>
              <w:rPr>
                <w:rFonts w:hint="default" w:ascii="Times New Roman" w:hAnsi="Times New Roman" w:eastAsia="宋体" w:cs="Times New Roman"/>
                <w:color w:val="auto"/>
                <w:sz w:val="22"/>
                <w:highlight w:val="none"/>
              </w:rPr>
              <w:t>》或《</w:t>
            </w:r>
            <w:r>
              <w:rPr>
                <w:rFonts w:hint="default" w:ascii="Times New Roman" w:hAnsi="Times New Roman" w:eastAsia="宋体" w:cs="Times New Roman"/>
                <w:bCs/>
                <w:color w:val="auto"/>
                <w:sz w:val="22"/>
                <w:highlight w:val="none"/>
              </w:rPr>
              <w:t>工程勘察资质标准</w:t>
            </w:r>
            <w:r>
              <w:rPr>
                <w:rFonts w:hint="default" w:ascii="Times New Roman" w:hAnsi="Times New Roman" w:eastAsia="宋体" w:cs="Times New Roman"/>
                <w:bCs/>
                <w:color w:val="auto"/>
                <w:sz w:val="22"/>
                <w:highlight w:val="none"/>
                <w:lang w:eastAsia="zh-CN"/>
              </w:rPr>
              <w:t>》</w:t>
            </w:r>
          </w:p>
        </w:tc>
      </w:tr>
      <w:tr w14:paraId="6716E97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559" w:type="dxa"/>
            <w:vMerge w:val="continue"/>
            <w:noWrap w:val="0"/>
            <w:vAlign w:val="center"/>
          </w:tcPr>
          <w:p w14:paraId="1B8BD2EA">
            <w:pPr>
              <w:spacing w:line="520" w:lineRule="exact"/>
              <w:ind w:left="310" w:hanging="310" w:hangingChars="147"/>
              <w:rPr>
                <w:rFonts w:hint="default" w:ascii="Times New Roman" w:hAnsi="Times New Roman" w:eastAsia="宋体" w:cs="Times New Roman"/>
                <w:b/>
                <w:color w:val="auto"/>
                <w:sz w:val="21"/>
                <w:highlight w:val="none"/>
              </w:rPr>
            </w:pPr>
          </w:p>
        </w:tc>
        <w:tc>
          <w:tcPr>
            <w:tcW w:w="2127" w:type="dxa"/>
            <w:tcBorders>
              <w:top w:val="single" w:color="auto" w:sz="4" w:space="0"/>
              <w:left w:val="single" w:color="auto" w:sz="4" w:space="0"/>
              <w:bottom w:val="single" w:color="auto" w:sz="4" w:space="0"/>
              <w:right w:val="single" w:color="auto" w:sz="4" w:space="0"/>
            </w:tcBorders>
            <w:noWrap w:val="0"/>
            <w:vAlign w:val="center"/>
          </w:tcPr>
          <w:p w14:paraId="56F018B1">
            <w:pPr>
              <w:spacing w:line="320" w:lineRule="exact"/>
              <w:ind w:firstLine="0" w:firstLineChars="0"/>
              <w:rPr>
                <w:rFonts w:hint="default" w:ascii="Times New Roman" w:hAnsi="Times New Roman" w:eastAsia="宋体" w:cs="Times New Roman"/>
                <w:b/>
                <w:color w:val="auto"/>
                <w:sz w:val="24"/>
                <w:highlight w:val="none"/>
              </w:rPr>
            </w:pPr>
            <w:r>
              <w:rPr>
                <w:rFonts w:hint="default" w:ascii="Times New Roman" w:hAnsi="Times New Roman" w:eastAsia="宋体" w:cs="Times New Roman"/>
                <w:color w:val="auto"/>
                <w:sz w:val="24"/>
                <w:highlight w:val="none"/>
              </w:rPr>
              <w:t>2、纳税情况</w:t>
            </w:r>
          </w:p>
        </w:tc>
        <w:tc>
          <w:tcPr>
            <w:tcW w:w="3446" w:type="dxa"/>
            <w:tcBorders>
              <w:top w:val="single" w:color="auto" w:sz="4" w:space="0"/>
              <w:left w:val="single" w:color="auto" w:sz="4" w:space="0"/>
              <w:bottom w:val="single" w:color="auto" w:sz="4" w:space="0"/>
              <w:right w:val="single" w:color="auto" w:sz="4" w:space="0"/>
            </w:tcBorders>
            <w:noWrap w:val="0"/>
            <w:vAlign w:val="center"/>
          </w:tcPr>
          <w:p w14:paraId="1AE1B19F">
            <w:pPr>
              <w:spacing w:line="320" w:lineRule="exact"/>
              <w:ind w:firstLine="0" w:firstLineChars="0"/>
              <w:rPr>
                <w:rFonts w:hint="default" w:ascii="Times New Roman" w:hAnsi="Times New Roman" w:eastAsia="宋体" w:cs="Times New Roman"/>
                <w:b/>
                <w:color w:val="auto"/>
                <w:sz w:val="24"/>
                <w:highlight w:val="none"/>
              </w:rPr>
            </w:pPr>
            <w:r>
              <w:rPr>
                <w:rFonts w:hint="default" w:ascii="Times New Roman" w:hAnsi="Times New Roman" w:eastAsia="宋体" w:cs="Times New Roman"/>
                <w:color w:val="auto"/>
                <w:sz w:val="24"/>
                <w:highlight w:val="none"/>
              </w:rPr>
              <w:t>获得省直、广州市及各区税务部门认定</w:t>
            </w:r>
          </w:p>
        </w:tc>
        <w:tc>
          <w:tcPr>
            <w:tcW w:w="850" w:type="dxa"/>
            <w:tcBorders>
              <w:top w:val="single" w:color="auto" w:sz="4" w:space="0"/>
              <w:left w:val="single" w:color="auto" w:sz="4" w:space="0"/>
              <w:bottom w:val="single" w:color="auto" w:sz="4" w:space="0"/>
              <w:right w:val="single" w:color="auto" w:sz="4" w:space="0"/>
            </w:tcBorders>
            <w:noWrap w:val="0"/>
            <w:vAlign w:val="center"/>
          </w:tcPr>
          <w:p w14:paraId="5466B8B9">
            <w:pPr>
              <w:spacing w:line="320" w:lineRule="exact"/>
              <w:ind w:firstLine="0" w:firstLineChars="0"/>
              <w:rPr>
                <w:rFonts w:hint="default" w:ascii="Times New Roman" w:hAnsi="Times New Roman" w:eastAsia="宋体" w:cs="Times New Roman"/>
                <w:b/>
                <w:color w:val="auto"/>
                <w:sz w:val="24"/>
                <w:highlight w:val="none"/>
              </w:rPr>
            </w:pPr>
            <w:r>
              <w:rPr>
                <w:rFonts w:hint="default" w:ascii="Times New Roman" w:hAnsi="Times New Roman" w:eastAsia="宋体" w:cs="Times New Roman"/>
                <w:color w:val="auto"/>
                <w:sz w:val="24"/>
                <w:highlight w:val="none"/>
              </w:rPr>
              <w:t>2分</w:t>
            </w:r>
          </w:p>
        </w:tc>
        <w:tc>
          <w:tcPr>
            <w:tcW w:w="879" w:type="dxa"/>
            <w:tcBorders>
              <w:top w:val="single" w:color="auto" w:sz="4" w:space="0"/>
              <w:left w:val="single" w:color="auto" w:sz="4" w:space="0"/>
              <w:bottom w:val="single" w:color="auto" w:sz="4" w:space="0"/>
              <w:right w:val="single" w:color="auto" w:sz="4" w:space="0"/>
            </w:tcBorders>
            <w:noWrap w:val="0"/>
            <w:vAlign w:val="center"/>
          </w:tcPr>
          <w:p w14:paraId="33B0B669">
            <w:pPr>
              <w:spacing w:line="320" w:lineRule="exact"/>
              <w:ind w:firstLine="480"/>
              <w:jc w:val="center"/>
              <w:rPr>
                <w:rFonts w:hint="default" w:ascii="Times New Roman" w:hAnsi="Times New Roman" w:eastAsia="宋体" w:cs="Times New Roman"/>
                <w:b/>
                <w:color w:val="auto"/>
                <w:sz w:val="24"/>
                <w:highlight w:val="none"/>
              </w:rPr>
            </w:pPr>
          </w:p>
        </w:tc>
        <w:tc>
          <w:tcPr>
            <w:tcW w:w="5054" w:type="dxa"/>
            <w:tcBorders>
              <w:top w:val="single" w:color="auto" w:sz="4" w:space="0"/>
              <w:left w:val="single" w:color="auto" w:sz="4" w:space="0"/>
              <w:bottom w:val="single" w:color="auto" w:sz="4" w:space="0"/>
              <w:right w:val="single" w:color="auto" w:sz="12" w:space="0"/>
            </w:tcBorders>
            <w:noWrap w:val="0"/>
            <w:tcMar>
              <w:top w:w="85" w:type="dxa"/>
              <w:bottom w:w="85" w:type="dxa"/>
            </w:tcMar>
            <w:vAlign w:val="center"/>
          </w:tcPr>
          <w:p w14:paraId="7F0A8826">
            <w:pPr>
              <w:snapToGrid w:val="0"/>
              <w:spacing w:line="320" w:lineRule="exact"/>
              <w:ind w:firstLine="440" w:firstLineChars="200"/>
              <w:rPr>
                <w:rFonts w:hint="default" w:ascii="Times New Roman" w:hAnsi="Times New Roman" w:eastAsia="宋体" w:cs="Times New Roman"/>
                <w:b/>
                <w:color w:val="auto"/>
                <w:sz w:val="24"/>
                <w:highlight w:val="none"/>
              </w:rPr>
            </w:pPr>
            <w:r>
              <w:rPr>
                <w:rFonts w:hint="default" w:ascii="Times New Roman" w:hAnsi="Times New Roman" w:eastAsia="宋体" w:cs="Times New Roman"/>
                <w:color w:val="auto"/>
                <w:sz w:val="22"/>
                <w:szCs w:val="22"/>
                <w:highlight w:val="none"/>
              </w:rPr>
              <w:t>企业获得纳税A级得2分，依法按时、足额纳税的得1分，出现欠税、漏税行为及未达到相应资质标准的，每降低5%减0.5分，减完为止。</w:t>
            </w:r>
          </w:p>
        </w:tc>
      </w:tr>
      <w:tr w14:paraId="4D5B9F7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559" w:type="dxa"/>
            <w:vMerge w:val="continue"/>
            <w:noWrap w:val="0"/>
            <w:vAlign w:val="top"/>
          </w:tcPr>
          <w:p w14:paraId="0B2ABD1C">
            <w:pPr>
              <w:spacing w:line="520" w:lineRule="exact"/>
              <w:ind w:firstLine="420"/>
              <w:rPr>
                <w:rFonts w:hint="default" w:ascii="Times New Roman" w:hAnsi="Times New Roman" w:eastAsia="宋体" w:cs="Times New Roman"/>
                <w:color w:val="auto"/>
                <w:sz w:val="21"/>
                <w:highlight w:val="none"/>
              </w:rPr>
            </w:pPr>
          </w:p>
        </w:tc>
        <w:tc>
          <w:tcPr>
            <w:tcW w:w="2127" w:type="dxa"/>
            <w:tcBorders>
              <w:top w:val="single" w:color="auto" w:sz="4" w:space="0"/>
              <w:left w:val="single" w:color="auto" w:sz="4" w:space="0"/>
              <w:bottom w:val="single" w:color="auto" w:sz="4" w:space="0"/>
              <w:right w:val="single" w:color="auto" w:sz="4" w:space="0"/>
            </w:tcBorders>
            <w:noWrap w:val="0"/>
            <w:vAlign w:val="center"/>
          </w:tcPr>
          <w:p w14:paraId="57645051">
            <w:pPr>
              <w:spacing w:line="320" w:lineRule="exact"/>
              <w:ind w:firstLine="0" w:firstLineChars="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3、劳动生产率</w:t>
            </w:r>
          </w:p>
        </w:tc>
        <w:tc>
          <w:tcPr>
            <w:tcW w:w="3446" w:type="dxa"/>
            <w:tcBorders>
              <w:top w:val="single" w:color="auto" w:sz="4" w:space="0"/>
              <w:left w:val="single" w:color="auto" w:sz="4" w:space="0"/>
              <w:bottom w:val="single" w:color="auto" w:sz="4" w:space="0"/>
              <w:right w:val="single" w:color="auto" w:sz="4" w:space="0"/>
            </w:tcBorders>
            <w:noWrap w:val="0"/>
            <w:vAlign w:val="center"/>
          </w:tcPr>
          <w:p w14:paraId="64BC4254">
            <w:pPr>
              <w:spacing w:line="320" w:lineRule="exact"/>
              <w:ind w:firstLine="0" w:firstLineChars="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35万元人民币</w:t>
            </w:r>
          </w:p>
        </w:tc>
        <w:tc>
          <w:tcPr>
            <w:tcW w:w="850" w:type="dxa"/>
            <w:tcBorders>
              <w:top w:val="single" w:color="auto" w:sz="4" w:space="0"/>
              <w:left w:val="single" w:color="auto" w:sz="4" w:space="0"/>
              <w:bottom w:val="single" w:color="auto" w:sz="4" w:space="0"/>
              <w:right w:val="single" w:color="auto" w:sz="4" w:space="0"/>
            </w:tcBorders>
            <w:noWrap w:val="0"/>
            <w:vAlign w:val="center"/>
          </w:tcPr>
          <w:p w14:paraId="1ED52727">
            <w:pPr>
              <w:spacing w:line="320" w:lineRule="exact"/>
              <w:ind w:firstLine="0" w:firstLineChars="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2分</w:t>
            </w:r>
          </w:p>
        </w:tc>
        <w:tc>
          <w:tcPr>
            <w:tcW w:w="879" w:type="dxa"/>
            <w:tcBorders>
              <w:top w:val="single" w:color="auto" w:sz="4" w:space="0"/>
              <w:left w:val="single" w:color="auto" w:sz="4" w:space="0"/>
              <w:bottom w:val="single" w:color="auto" w:sz="4" w:space="0"/>
              <w:right w:val="single" w:color="auto" w:sz="4" w:space="0"/>
            </w:tcBorders>
            <w:noWrap w:val="0"/>
            <w:vAlign w:val="center"/>
          </w:tcPr>
          <w:p w14:paraId="4FA7E5C7">
            <w:pPr>
              <w:spacing w:line="320" w:lineRule="exact"/>
              <w:ind w:firstLine="480"/>
              <w:jc w:val="center"/>
              <w:rPr>
                <w:rFonts w:hint="default" w:ascii="Times New Roman" w:hAnsi="Times New Roman" w:eastAsia="宋体" w:cs="Times New Roman"/>
                <w:color w:val="auto"/>
                <w:sz w:val="24"/>
                <w:highlight w:val="none"/>
              </w:rPr>
            </w:pPr>
          </w:p>
        </w:tc>
        <w:tc>
          <w:tcPr>
            <w:tcW w:w="5054" w:type="dxa"/>
            <w:tcBorders>
              <w:top w:val="single" w:color="auto" w:sz="4" w:space="0"/>
              <w:left w:val="single" w:color="auto" w:sz="4" w:space="0"/>
              <w:bottom w:val="single" w:color="auto" w:sz="4" w:space="0"/>
              <w:right w:val="single" w:color="auto" w:sz="12" w:space="0"/>
            </w:tcBorders>
            <w:noWrap w:val="0"/>
            <w:tcMar>
              <w:top w:w="85" w:type="dxa"/>
              <w:bottom w:w="85" w:type="dxa"/>
            </w:tcMar>
            <w:vAlign w:val="center"/>
          </w:tcPr>
          <w:p w14:paraId="6984A5C2">
            <w:pPr>
              <w:snapToGrid w:val="0"/>
              <w:spacing w:line="320" w:lineRule="exact"/>
              <w:ind w:firstLine="440" w:firstLineChars="200"/>
              <w:rPr>
                <w:rFonts w:hint="default" w:ascii="Times New Roman" w:hAnsi="Times New Roman" w:eastAsia="宋体" w:cs="Times New Roman"/>
                <w:bCs/>
                <w:color w:val="auto"/>
                <w:sz w:val="24"/>
                <w:highlight w:val="none"/>
              </w:rPr>
            </w:pPr>
            <w:r>
              <w:rPr>
                <w:rFonts w:hint="default" w:ascii="Times New Roman" w:hAnsi="Times New Roman" w:eastAsia="宋体" w:cs="Times New Roman"/>
                <w:color w:val="auto"/>
                <w:sz w:val="22"/>
                <w:szCs w:val="22"/>
                <w:highlight w:val="none"/>
              </w:rPr>
              <w:t>按企业自有职工计算人均产值达到35万元人民币得2分，每降低5万减0.5分，减完为止。</w:t>
            </w:r>
          </w:p>
        </w:tc>
      </w:tr>
      <w:tr w14:paraId="36A9B90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559" w:type="dxa"/>
            <w:vMerge w:val="continue"/>
            <w:noWrap w:val="0"/>
            <w:vAlign w:val="top"/>
          </w:tcPr>
          <w:p w14:paraId="7D518045">
            <w:pPr>
              <w:spacing w:line="520" w:lineRule="exact"/>
              <w:ind w:firstLine="420"/>
              <w:rPr>
                <w:rFonts w:hint="default" w:ascii="Times New Roman" w:hAnsi="Times New Roman" w:eastAsia="宋体" w:cs="Times New Roman"/>
                <w:color w:val="auto"/>
                <w:sz w:val="21"/>
                <w:highlight w:val="none"/>
              </w:rPr>
            </w:pPr>
          </w:p>
        </w:tc>
        <w:tc>
          <w:tcPr>
            <w:tcW w:w="2127" w:type="dxa"/>
            <w:tcBorders>
              <w:top w:val="single" w:color="auto" w:sz="4" w:space="0"/>
              <w:left w:val="single" w:color="auto" w:sz="4" w:space="0"/>
              <w:bottom w:val="single" w:color="auto" w:sz="4" w:space="0"/>
              <w:right w:val="single" w:color="auto" w:sz="4" w:space="0"/>
            </w:tcBorders>
            <w:noWrap w:val="0"/>
            <w:vAlign w:val="center"/>
          </w:tcPr>
          <w:p w14:paraId="41A18D39">
            <w:pPr>
              <w:spacing w:line="320" w:lineRule="exact"/>
              <w:ind w:firstLine="0" w:firstLineChars="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4、净资产收益率</w:t>
            </w:r>
          </w:p>
        </w:tc>
        <w:tc>
          <w:tcPr>
            <w:tcW w:w="3446" w:type="dxa"/>
            <w:tcBorders>
              <w:top w:val="single" w:color="auto" w:sz="4" w:space="0"/>
              <w:left w:val="single" w:color="auto" w:sz="4" w:space="0"/>
              <w:bottom w:val="single" w:color="auto" w:sz="4" w:space="0"/>
              <w:right w:val="single" w:color="auto" w:sz="4" w:space="0"/>
            </w:tcBorders>
            <w:noWrap w:val="0"/>
            <w:vAlign w:val="center"/>
          </w:tcPr>
          <w:p w14:paraId="32BF6625">
            <w:pPr>
              <w:spacing w:line="320" w:lineRule="exact"/>
              <w:ind w:firstLine="0" w:firstLineChars="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大于20%</w:t>
            </w:r>
          </w:p>
        </w:tc>
        <w:tc>
          <w:tcPr>
            <w:tcW w:w="850" w:type="dxa"/>
            <w:tcBorders>
              <w:top w:val="single" w:color="auto" w:sz="4" w:space="0"/>
              <w:left w:val="single" w:color="auto" w:sz="4" w:space="0"/>
              <w:bottom w:val="single" w:color="auto" w:sz="4" w:space="0"/>
              <w:right w:val="single" w:color="auto" w:sz="4" w:space="0"/>
            </w:tcBorders>
            <w:noWrap w:val="0"/>
            <w:vAlign w:val="center"/>
          </w:tcPr>
          <w:p w14:paraId="090AF243">
            <w:pPr>
              <w:spacing w:line="320" w:lineRule="exact"/>
              <w:ind w:firstLine="0" w:firstLineChars="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2分</w:t>
            </w:r>
          </w:p>
        </w:tc>
        <w:tc>
          <w:tcPr>
            <w:tcW w:w="879" w:type="dxa"/>
            <w:tcBorders>
              <w:top w:val="single" w:color="auto" w:sz="4" w:space="0"/>
              <w:left w:val="single" w:color="auto" w:sz="4" w:space="0"/>
              <w:bottom w:val="single" w:color="auto" w:sz="4" w:space="0"/>
              <w:right w:val="single" w:color="auto" w:sz="4" w:space="0"/>
            </w:tcBorders>
            <w:noWrap w:val="0"/>
            <w:vAlign w:val="center"/>
          </w:tcPr>
          <w:p w14:paraId="554F347C">
            <w:pPr>
              <w:spacing w:line="320" w:lineRule="exact"/>
              <w:ind w:firstLine="480"/>
              <w:jc w:val="center"/>
              <w:rPr>
                <w:rFonts w:hint="default" w:ascii="Times New Roman" w:hAnsi="Times New Roman" w:eastAsia="宋体" w:cs="Times New Roman"/>
                <w:color w:val="auto"/>
                <w:sz w:val="24"/>
                <w:highlight w:val="none"/>
              </w:rPr>
            </w:pPr>
          </w:p>
        </w:tc>
        <w:tc>
          <w:tcPr>
            <w:tcW w:w="5054" w:type="dxa"/>
            <w:tcBorders>
              <w:top w:val="single" w:color="auto" w:sz="4" w:space="0"/>
              <w:left w:val="single" w:color="auto" w:sz="4" w:space="0"/>
              <w:bottom w:val="single" w:color="auto" w:sz="4" w:space="0"/>
              <w:right w:val="single" w:color="auto" w:sz="12" w:space="0"/>
            </w:tcBorders>
            <w:noWrap w:val="0"/>
            <w:tcMar>
              <w:top w:w="85" w:type="dxa"/>
              <w:bottom w:w="85" w:type="dxa"/>
            </w:tcMar>
            <w:vAlign w:val="center"/>
          </w:tcPr>
          <w:p w14:paraId="48984562">
            <w:pPr>
              <w:snapToGrid w:val="0"/>
              <w:spacing w:line="320" w:lineRule="exact"/>
              <w:ind w:firstLine="440" w:firstLineChars="200"/>
              <w:rPr>
                <w:rFonts w:hint="default" w:ascii="Times New Roman" w:hAnsi="Times New Roman" w:eastAsia="宋体" w:cs="Times New Roman"/>
                <w:color w:val="auto"/>
                <w:sz w:val="22"/>
                <w:szCs w:val="22"/>
                <w:highlight w:val="none"/>
              </w:rPr>
            </w:pPr>
            <w:r>
              <w:rPr>
                <w:rFonts w:hint="default" w:ascii="Times New Roman" w:hAnsi="Times New Roman" w:eastAsia="宋体" w:cs="Times New Roman"/>
                <w:color w:val="auto"/>
                <w:sz w:val="22"/>
                <w:szCs w:val="22"/>
                <w:highlight w:val="none"/>
              </w:rPr>
              <w:t>净资产收益率大于20%者得2分，每降低1%减0.5分，减完为止。</w:t>
            </w:r>
          </w:p>
        </w:tc>
      </w:tr>
      <w:tr w14:paraId="50FF217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559" w:type="dxa"/>
            <w:vMerge w:val="continue"/>
            <w:noWrap w:val="0"/>
            <w:vAlign w:val="top"/>
          </w:tcPr>
          <w:p w14:paraId="0AB468A0">
            <w:pPr>
              <w:spacing w:line="520" w:lineRule="exact"/>
              <w:ind w:firstLine="420"/>
              <w:rPr>
                <w:rFonts w:hint="default" w:ascii="Times New Roman" w:hAnsi="Times New Roman" w:eastAsia="宋体" w:cs="Times New Roman"/>
                <w:color w:val="auto"/>
                <w:sz w:val="21"/>
                <w:highlight w:val="none"/>
              </w:rPr>
            </w:pPr>
          </w:p>
        </w:tc>
        <w:tc>
          <w:tcPr>
            <w:tcW w:w="2127" w:type="dxa"/>
            <w:tcBorders>
              <w:top w:val="single" w:color="auto" w:sz="4" w:space="0"/>
              <w:left w:val="single" w:color="auto" w:sz="4" w:space="0"/>
              <w:bottom w:val="single" w:color="auto" w:sz="4" w:space="0"/>
              <w:right w:val="single" w:color="auto" w:sz="4" w:space="0"/>
            </w:tcBorders>
            <w:noWrap w:val="0"/>
            <w:vAlign w:val="center"/>
          </w:tcPr>
          <w:p w14:paraId="1A46EE52">
            <w:pPr>
              <w:spacing w:line="320" w:lineRule="exact"/>
              <w:ind w:firstLine="0" w:firstLineChars="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5、资产负债率</w:t>
            </w:r>
          </w:p>
        </w:tc>
        <w:tc>
          <w:tcPr>
            <w:tcW w:w="3446" w:type="dxa"/>
            <w:tcBorders>
              <w:top w:val="single" w:color="auto" w:sz="4" w:space="0"/>
              <w:left w:val="single" w:color="auto" w:sz="4" w:space="0"/>
              <w:bottom w:val="single" w:color="auto" w:sz="4" w:space="0"/>
              <w:right w:val="single" w:color="auto" w:sz="4" w:space="0"/>
            </w:tcBorders>
            <w:noWrap w:val="0"/>
            <w:vAlign w:val="center"/>
          </w:tcPr>
          <w:p w14:paraId="520252C1">
            <w:pPr>
              <w:spacing w:line="320" w:lineRule="exact"/>
              <w:ind w:firstLine="0" w:firstLineChars="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小于80%</w:t>
            </w:r>
          </w:p>
        </w:tc>
        <w:tc>
          <w:tcPr>
            <w:tcW w:w="850" w:type="dxa"/>
            <w:tcBorders>
              <w:top w:val="single" w:color="auto" w:sz="4" w:space="0"/>
              <w:left w:val="single" w:color="auto" w:sz="4" w:space="0"/>
              <w:bottom w:val="single" w:color="auto" w:sz="4" w:space="0"/>
              <w:right w:val="single" w:color="auto" w:sz="4" w:space="0"/>
            </w:tcBorders>
            <w:noWrap w:val="0"/>
            <w:vAlign w:val="center"/>
          </w:tcPr>
          <w:p w14:paraId="2D5E983B">
            <w:pPr>
              <w:spacing w:line="320" w:lineRule="exact"/>
              <w:ind w:firstLine="0" w:firstLineChars="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lang w:val="en-US" w:eastAsia="zh-CN"/>
              </w:rPr>
              <w:t>1</w:t>
            </w:r>
            <w:r>
              <w:rPr>
                <w:rFonts w:hint="default" w:ascii="Times New Roman" w:hAnsi="Times New Roman" w:eastAsia="宋体" w:cs="Times New Roman"/>
                <w:color w:val="auto"/>
                <w:sz w:val="24"/>
                <w:highlight w:val="none"/>
              </w:rPr>
              <w:t>分</w:t>
            </w:r>
          </w:p>
        </w:tc>
        <w:tc>
          <w:tcPr>
            <w:tcW w:w="879" w:type="dxa"/>
            <w:tcBorders>
              <w:top w:val="single" w:color="auto" w:sz="4" w:space="0"/>
              <w:left w:val="single" w:color="auto" w:sz="4" w:space="0"/>
              <w:bottom w:val="single" w:color="auto" w:sz="4" w:space="0"/>
              <w:right w:val="single" w:color="auto" w:sz="4" w:space="0"/>
            </w:tcBorders>
            <w:noWrap w:val="0"/>
            <w:vAlign w:val="center"/>
          </w:tcPr>
          <w:p w14:paraId="3563B567">
            <w:pPr>
              <w:spacing w:line="320" w:lineRule="exact"/>
              <w:ind w:firstLine="480"/>
              <w:jc w:val="center"/>
              <w:rPr>
                <w:rFonts w:hint="default" w:ascii="Times New Roman" w:hAnsi="Times New Roman" w:eastAsia="宋体" w:cs="Times New Roman"/>
                <w:color w:val="auto"/>
                <w:sz w:val="24"/>
                <w:highlight w:val="none"/>
              </w:rPr>
            </w:pPr>
          </w:p>
        </w:tc>
        <w:tc>
          <w:tcPr>
            <w:tcW w:w="5054" w:type="dxa"/>
            <w:tcBorders>
              <w:top w:val="single" w:color="auto" w:sz="4" w:space="0"/>
              <w:left w:val="single" w:color="auto" w:sz="4" w:space="0"/>
              <w:bottom w:val="single" w:color="auto" w:sz="4" w:space="0"/>
              <w:right w:val="single" w:color="auto" w:sz="12" w:space="0"/>
            </w:tcBorders>
            <w:noWrap w:val="0"/>
            <w:tcMar>
              <w:top w:w="85" w:type="dxa"/>
              <w:bottom w:w="85" w:type="dxa"/>
            </w:tcMar>
            <w:vAlign w:val="center"/>
          </w:tcPr>
          <w:p w14:paraId="27130B63">
            <w:pPr>
              <w:snapToGrid w:val="0"/>
              <w:spacing w:line="320" w:lineRule="exact"/>
              <w:ind w:firstLine="440" w:firstLineChars="200"/>
              <w:rPr>
                <w:rFonts w:hint="default" w:ascii="Times New Roman" w:hAnsi="Times New Roman" w:eastAsia="宋体" w:cs="Times New Roman"/>
                <w:color w:val="auto"/>
                <w:sz w:val="22"/>
                <w:szCs w:val="22"/>
                <w:highlight w:val="none"/>
              </w:rPr>
            </w:pPr>
            <w:r>
              <w:rPr>
                <w:rFonts w:hint="default" w:ascii="Times New Roman" w:hAnsi="Times New Roman" w:eastAsia="宋体" w:cs="Times New Roman"/>
                <w:color w:val="auto"/>
                <w:sz w:val="22"/>
                <w:szCs w:val="22"/>
                <w:highlight w:val="none"/>
              </w:rPr>
              <w:t>资产负债率小于80%者得</w:t>
            </w:r>
            <w:r>
              <w:rPr>
                <w:rFonts w:hint="default" w:ascii="Times New Roman" w:hAnsi="Times New Roman" w:eastAsia="宋体" w:cs="Times New Roman"/>
                <w:color w:val="auto"/>
                <w:sz w:val="22"/>
                <w:szCs w:val="22"/>
                <w:highlight w:val="none"/>
                <w:lang w:eastAsia="zh-CN"/>
              </w:rPr>
              <w:t>1</w:t>
            </w:r>
            <w:r>
              <w:rPr>
                <w:rFonts w:hint="default" w:ascii="Times New Roman" w:hAnsi="Times New Roman" w:eastAsia="宋体" w:cs="Times New Roman"/>
                <w:color w:val="auto"/>
                <w:sz w:val="22"/>
                <w:szCs w:val="22"/>
                <w:highlight w:val="none"/>
              </w:rPr>
              <w:t>分，每增加5%减</w:t>
            </w:r>
            <w:r>
              <w:rPr>
                <w:rFonts w:hint="default" w:ascii="Times New Roman" w:hAnsi="Times New Roman" w:eastAsia="宋体" w:cs="Times New Roman"/>
                <w:color w:val="auto"/>
                <w:sz w:val="22"/>
                <w:szCs w:val="22"/>
                <w:highlight w:val="none"/>
                <w:lang w:val="en-US" w:eastAsia="zh-CN"/>
              </w:rPr>
              <w:t>0.5</w:t>
            </w:r>
            <w:r>
              <w:rPr>
                <w:rFonts w:hint="default" w:ascii="Times New Roman" w:hAnsi="Times New Roman" w:eastAsia="宋体" w:cs="Times New Roman"/>
                <w:color w:val="auto"/>
                <w:sz w:val="22"/>
                <w:szCs w:val="22"/>
                <w:highlight w:val="none"/>
              </w:rPr>
              <w:t>分，减完为止。</w:t>
            </w:r>
          </w:p>
        </w:tc>
      </w:tr>
      <w:tr w14:paraId="56BB465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420" w:hRule="atLeast"/>
          <w:jc w:val="center"/>
        </w:trPr>
        <w:tc>
          <w:tcPr>
            <w:tcW w:w="1559" w:type="dxa"/>
            <w:vMerge w:val="continue"/>
            <w:noWrap w:val="0"/>
            <w:vAlign w:val="top"/>
          </w:tcPr>
          <w:p w14:paraId="1D3BB013">
            <w:pPr>
              <w:spacing w:line="520" w:lineRule="exact"/>
              <w:ind w:firstLine="420"/>
              <w:rPr>
                <w:rFonts w:hint="default" w:ascii="Times New Roman" w:hAnsi="Times New Roman" w:eastAsia="宋体" w:cs="Times New Roman"/>
                <w:color w:val="auto"/>
                <w:sz w:val="21"/>
                <w:highlight w:val="none"/>
              </w:rPr>
            </w:pPr>
          </w:p>
        </w:tc>
        <w:tc>
          <w:tcPr>
            <w:tcW w:w="2127" w:type="dxa"/>
            <w:tcBorders>
              <w:top w:val="single" w:color="auto" w:sz="4" w:space="0"/>
              <w:left w:val="single" w:color="auto" w:sz="4" w:space="0"/>
              <w:bottom w:val="single" w:color="auto" w:sz="12" w:space="0"/>
              <w:right w:val="single" w:color="auto" w:sz="4" w:space="0"/>
            </w:tcBorders>
            <w:noWrap w:val="0"/>
            <w:vAlign w:val="center"/>
          </w:tcPr>
          <w:p w14:paraId="097038B2">
            <w:pPr>
              <w:spacing w:line="320" w:lineRule="exact"/>
              <w:ind w:firstLine="0" w:firstLineChars="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6、产值利润率</w:t>
            </w:r>
          </w:p>
        </w:tc>
        <w:tc>
          <w:tcPr>
            <w:tcW w:w="3446" w:type="dxa"/>
            <w:tcBorders>
              <w:top w:val="single" w:color="auto" w:sz="4" w:space="0"/>
              <w:left w:val="single" w:color="auto" w:sz="4" w:space="0"/>
              <w:bottom w:val="single" w:color="auto" w:sz="12" w:space="0"/>
              <w:right w:val="single" w:color="auto" w:sz="4" w:space="0"/>
            </w:tcBorders>
            <w:noWrap w:val="0"/>
            <w:vAlign w:val="center"/>
          </w:tcPr>
          <w:p w14:paraId="22BE3FCE">
            <w:pPr>
              <w:spacing w:line="320" w:lineRule="exact"/>
              <w:ind w:firstLine="0" w:firstLineChars="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大于3%</w:t>
            </w:r>
          </w:p>
        </w:tc>
        <w:tc>
          <w:tcPr>
            <w:tcW w:w="850" w:type="dxa"/>
            <w:tcBorders>
              <w:top w:val="single" w:color="auto" w:sz="4" w:space="0"/>
              <w:left w:val="single" w:color="auto" w:sz="4" w:space="0"/>
              <w:bottom w:val="single" w:color="auto" w:sz="12" w:space="0"/>
              <w:right w:val="single" w:color="auto" w:sz="4" w:space="0"/>
            </w:tcBorders>
            <w:noWrap w:val="0"/>
            <w:vAlign w:val="center"/>
          </w:tcPr>
          <w:p w14:paraId="76D62D14">
            <w:pPr>
              <w:spacing w:line="320" w:lineRule="exact"/>
              <w:ind w:firstLine="0" w:firstLineChars="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lang w:val="en-US" w:eastAsia="zh-CN"/>
              </w:rPr>
              <w:t>1</w:t>
            </w:r>
            <w:r>
              <w:rPr>
                <w:rFonts w:hint="default" w:ascii="Times New Roman" w:hAnsi="Times New Roman" w:eastAsia="宋体" w:cs="Times New Roman"/>
                <w:color w:val="auto"/>
                <w:sz w:val="24"/>
                <w:highlight w:val="none"/>
              </w:rPr>
              <w:t>分</w:t>
            </w:r>
          </w:p>
        </w:tc>
        <w:tc>
          <w:tcPr>
            <w:tcW w:w="879" w:type="dxa"/>
            <w:tcBorders>
              <w:top w:val="single" w:color="auto" w:sz="4" w:space="0"/>
              <w:left w:val="single" w:color="auto" w:sz="4" w:space="0"/>
              <w:bottom w:val="single" w:color="auto" w:sz="12" w:space="0"/>
              <w:right w:val="single" w:color="auto" w:sz="4" w:space="0"/>
            </w:tcBorders>
            <w:noWrap w:val="0"/>
            <w:vAlign w:val="center"/>
          </w:tcPr>
          <w:p w14:paraId="52F8441A">
            <w:pPr>
              <w:spacing w:line="320" w:lineRule="exact"/>
              <w:ind w:firstLine="480"/>
              <w:jc w:val="center"/>
              <w:rPr>
                <w:rFonts w:hint="default" w:ascii="Times New Roman" w:hAnsi="Times New Roman" w:eastAsia="宋体" w:cs="Times New Roman"/>
                <w:color w:val="auto"/>
                <w:sz w:val="24"/>
                <w:highlight w:val="none"/>
              </w:rPr>
            </w:pPr>
          </w:p>
        </w:tc>
        <w:tc>
          <w:tcPr>
            <w:tcW w:w="5054" w:type="dxa"/>
            <w:tcBorders>
              <w:top w:val="single" w:color="auto" w:sz="4" w:space="0"/>
              <w:left w:val="single" w:color="auto" w:sz="4" w:space="0"/>
              <w:bottom w:val="single" w:color="auto" w:sz="12" w:space="0"/>
              <w:right w:val="single" w:color="auto" w:sz="12" w:space="0"/>
            </w:tcBorders>
            <w:noWrap w:val="0"/>
            <w:tcMar>
              <w:top w:w="85" w:type="dxa"/>
              <w:bottom w:w="85" w:type="dxa"/>
            </w:tcMar>
            <w:vAlign w:val="center"/>
          </w:tcPr>
          <w:p w14:paraId="03A691F7">
            <w:pPr>
              <w:snapToGrid w:val="0"/>
              <w:spacing w:line="320" w:lineRule="exact"/>
              <w:ind w:firstLine="440" w:firstLineChars="200"/>
              <w:rPr>
                <w:rFonts w:hint="default" w:ascii="Times New Roman" w:hAnsi="Times New Roman" w:eastAsia="宋体" w:cs="Times New Roman"/>
                <w:color w:val="auto"/>
                <w:sz w:val="22"/>
                <w:szCs w:val="22"/>
                <w:highlight w:val="none"/>
              </w:rPr>
            </w:pPr>
            <w:r>
              <w:rPr>
                <w:rFonts w:hint="default" w:ascii="Times New Roman" w:hAnsi="Times New Roman" w:eastAsia="宋体" w:cs="Times New Roman"/>
                <w:color w:val="auto"/>
                <w:sz w:val="22"/>
                <w:szCs w:val="22"/>
                <w:highlight w:val="none"/>
              </w:rPr>
              <w:t>产值利润率大于3%者得</w:t>
            </w:r>
            <w:r>
              <w:rPr>
                <w:rFonts w:hint="default" w:ascii="Times New Roman" w:hAnsi="Times New Roman" w:eastAsia="宋体" w:cs="Times New Roman"/>
                <w:color w:val="auto"/>
                <w:sz w:val="22"/>
                <w:szCs w:val="22"/>
                <w:highlight w:val="none"/>
                <w:lang w:eastAsia="zh-CN"/>
              </w:rPr>
              <w:t>1</w:t>
            </w:r>
            <w:r>
              <w:rPr>
                <w:rFonts w:hint="default" w:ascii="Times New Roman" w:hAnsi="Times New Roman" w:eastAsia="宋体" w:cs="Times New Roman"/>
                <w:color w:val="auto"/>
                <w:sz w:val="22"/>
                <w:szCs w:val="22"/>
                <w:highlight w:val="none"/>
              </w:rPr>
              <w:t>分，每减少0.5%减0.5分，减完为止。</w:t>
            </w:r>
          </w:p>
        </w:tc>
      </w:tr>
    </w:tbl>
    <w:p w14:paraId="4BC19717">
      <w:pPr>
        <w:spacing w:line="60" w:lineRule="exact"/>
        <w:ind w:firstLine="420"/>
        <w:rPr>
          <w:rFonts w:hint="default" w:ascii="Times New Roman" w:hAnsi="Times New Roman" w:eastAsia="宋体" w:cs="Times New Roman"/>
          <w:color w:val="auto"/>
          <w:sz w:val="21"/>
          <w:highlight w:val="none"/>
        </w:rPr>
      </w:pPr>
      <w:r>
        <w:rPr>
          <w:rFonts w:hint="default" w:ascii="Times New Roman" w:hAnsi="Times New Roman" w:eastAsia="宋体" w:cs="Times New Roman"/>
          <w:color w:val="auto"/>
          <w:sz w:val="21"/>
          <w:highlight w:val="none"/>
        </w:rPr>
        <w:br w:type="page"/>
      </w:r>
    </w:p>
    <w:tbl>
      <w:tblPr>
        <w:tblStyle w:val="27"/>
        <w:tblW w:w="13920"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1606"/>
        <w:gridCol w:w="2108"/>
        <w:gridCol w:w="3499"/>
        <w:gridCol w:w="895"/>
        <w:gridCol w:w="851"/>
        <w:gridCol w:w="4961"/>
      </w:tblGrid>
      <w:tr w14:paraId="39C372D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170" w:hRule="atLeast"/>
          <w:jc w:val="center"/>
        </w:trPr>
        <w:tc>
          <w:tcPr>
            <w:tcW w:w="1606" w:type="dxa"/>
            <w:vMerge w:val="restart"/>
            <w:noWrap w:val="0"/>
            <w:vAlign w:val="center"/>
          </w:tcPr>
          <w:p w14:paraId="4616AA49">
            <w:pPr>
              <w:spacing w:line="520" w:lineRule="exact"/>
              <w:ind w:left="354" w:right="-31" w:rightChars="-15" w:hanging="354" w:hangingChars="147"/>
              <w:rPr>
                <w:rFonts w:hint="default" w:ascii="Times New Roman" w:hAnsi="Times New Roman" w:eastAsia="宋体" w:cs="Times New Roman"/>
                <w:b/>
                <w:color w:val="auto"/>
                <w:sz w:val="24"/>
                <w:highlight w:val="none"/>
              </w:rPr>
            </w:pPr>
            <w:r>
              <w:rPr>
                <w:rFonts w:hint="default" w:ascii="Times New Roman" w:hAnsi="Times New Roman" w:eastAsia="宋体" w:cs="Times New Roman"/>
                <w:b/>
                <w:color w:val="auto"/>
                <w:sz w:val="24"/>
                <w:highlight w:val="none"/>
              </w:rPr>
              <w:t>三、管理指标25分</w:t>
            </w:r>
          </w:p>
        </w:tc>
        <w:tc>
          <w:tcPr>
            <w:tcW w:w="2108" w:type="dxa"/>
            <w:noWrap w:val="0"/>
            <w:vAlign w:val="center"/>
          </w:tcPr>
          <w:p w14:paraId="2098C5CE">
            <w:pPr>
              <w:spacing w:line="320" w:lineRule="exact"/>
              <w:ind w:firstLine="0" w:firstLineChars="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1、工程质量</w:t>
            </w:r>
          </w:p>
        </w:tc>
        <w:tc>
          <w:tcPr>
            <w:tcW w:w="3499" w:type="dxa"/>
            <w:noWrap w:val="0"/>
            <w:vAlign w:val="center"/>
          </w:tcPr>
          <w:p w14:paraId="7B38E30B">
            <w:pPr>
              <w:spacing w:line="360" w:lineRule="exact"/>
              <w:ind w:firstLine="0" w:firstLineChars="0"/>
              <w:rPr>
                <w:rFonts w:hint="default" w:ascii="Times New Roman" w:hAnsi="Times New Roman" w:eastAsia="宋体" w:cs="Times New Roman"/>
                <w:color w:val="auto"/>
                <w:sz w:val="24"/>
                <w:highlight w:val="none"/>
                <w:lang w:eastAsia="zh-CN"/>
              </w:rPr>
            </w:pPr>
            <w:r>
              <w:rPr>
                <w:rFonts w:hint="default" w:ascii="Times New Roman" w:hAnsi="Times New Roman" w:eastAsia="宋体" w:cs="Times New Roman"/>
                <w:color w:val="auto"/>
                <w:sz w:val="24"/>
                <w:highlight w:val="none"/>
              </w:rPr>
              <w:t>所勘察设计的工程质量合格率100%</w:t>
            </w:r>
            <w:r>
              <w:rPr>
                <w:rFonts w:hint="default"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rPr>
              <w:t>获得勘察设计奖</w:t>
            </w:r>
          </w:p>
        </w:tc>
        <w:tc>
          <w:tcPr>
            <w:tcW w:w="895" w:type="dxa"/>
            <w:noWrap w:val="0"/>
            <w:vAlign w:val="center"/>
          </w:tcPr>
          <w:p w14:paraId="68C246B1">
            <w:pPr>
              <w:spacing w:line="320" w:lineRule="exact"/>
              <w:ind w:firstLine="0" w:firstLineChars="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10分</w:t>
            </w:r>
          </w:p>
        </w:tc>
        <w:tc>
          <w:tcPr>
            <w:tcW w:w="851" w:type="dxa"/>
            <w:noWrap w:val="0"/>
            <w:vAlign w:val="center"/>
          </w:tcPr>
          <w:p w14:paraId="309C5E65">
            <w:pPr>
              <w:spacing w:line="320" w:lineRule="exact"/>
              <w:ind w:firstLine="480"/>
              <w:jc w:val="center"/>
              <w:rPr>
                <w:rFonts w:hint="default" w:ascii="Times New Roman" w:hAnsi="Times New Roman" w:eastAsia="宋体" w:cs="Times New Roman"/>
                <w:color w:val="auto"/>
                <w:sz w:val="24"/>
                <w:highlight w:val="none"/>
              </w:rPr>
            </w:pPr>
          </w:p>
        </w:tc>
        <w:tc>
          <w:tcPr>
            <w:tcW w:w="4961" w:type="dxa"/>
            <w:noWrap w:val="0"/>
            <w:tcMar>
              <w:top w:w="113" w:type="dxa"/>
              <w:bottom w:w="113" w:type="dxa"/>
            </w:tcMar>
            <w:vAlign w:val="center"/>
          </w:tcPr>
          <w:p w14:paraId="144A87EF">
            <w:pPr>
              <w:numPr>
                <w:ilvl w:val="0"/>
                <w:numId w:val="0"/>
              </w:numPr>
              <w:tabs>
                <w:tab w:val="left" w:pos="377"/>
              </w:tabs>
              <w:spacing w:line="320" w:lineRule="exact"/>
              <w:ind w:firstLine="440" w:firstLineChars="200"/>
              <w:rPr>
                <w:rFonts w:hint="eastAsia" w:ascii="Times New Roman" w:hAnsi="Times New Roman" w:eastAsia="宋体" w:cs="Times New Roman"/>
                <w:color w:val="auto"/>
                <w:sz w:val="22"/>
                <w:highlight w:val="none"/>
                <w:lang w:eastAsia="zh-CN"/>
              </w:rPr>
            </w:pPr>
            <w:r>
              <w:rPr>
                <w:rFonts w:hint="eastAsia" w:ascii="Times New Roman" w:hAnsi="Times New Roman" w:cs="Times New Roman"/>
                <w:color w:val="auto"/>
                <w:sz w:val="22"/>
                <w:highlight w:val="none"/>
                <w:lang w:val="en-US" w:eastAsia="zh-CN"/>
              </w:rPr>
              <w:t>1、</w:t>
            </w:r>
            <w:r>
              <w:rPr>
                <w:rFonts w:hint="default" w:ascii="Times New Roman" w:hAnsi="Times New Roman" w:eastAsia="宋体" w:cs="Times New Roman"/>
                <w:color w:val="auto"/>
                <w:sz w:val="22"/>
                <w:highlight w:val="none"/>
              </w:rPr>
              <w:t>已竣工工程质量合格率100%的得4分，不符合的不得分</w:t>
            </w:r>
            <w:r>
              <w:rPr>
                <w:rFonts w:hint="eastAsia" w:ascii="Times New Roman" w:hAnsi="Times New Roman" w:cs="Times New Roman"/>
                <w:color w:val="auto"/>
                <w:sz w:val="22"/>
                <w:highlight w:val="none"/>
                <w:lang w:eastAsia="zh-CN"/>
              </w:rPr>
              <w:t>。</w:t>
            </w:r>
          </w:p>
          <w:p w14:paraId="23522DE1">
            <w:pPr>
              <w:numPr>
                <w:ilvl w:val="0"/>
                <w:numId w:val="0"/>
              </w:numPr>
              <w:tabs>
                <w:tab w:val="left" w:pos="377"/>
              </w:tabs>
              <w:spacing w:line="320" w:lineRule="exact"/>
              <w:ind w:firstLine="440" w:firstLineChars="200"/>
              <w:rPr>
                <w:rFonts w:hint="default" w:ascii="Times New Roman" w:hAnsi="Times New Roman" w:eastAsia="宋体" w:cs="Times New Roman"/>
                <w:color w:val="auto"/>
                <w:sz w:val="22"/>
                <w:highlight w:val="none"/>
              </w:rPr>
            </w:pPr>
            <w:r>
              <w:rPr>
                <w:rFonts w:hint="eastAsia" w:ascii="Times New Roman" w:hAnsi="Times New Roman" w:cs="Times New Roman"/>
                <w:color w:val="auto"/>
                <w:sz w:val="22"/>
                <w:highlight w:val="none"/>
                <w:lang w:val="en-US" w:eastAsia="zh-CN"/>
              </w:rPr>
              <w:t>2、</w:t>
            </w:r>
            <w:r>
              <w:rPr>
                <w:rFonts w:hint="default" w:ascii="Times New Roman" w:hAnsi="Times New Roman" w:eastAsia="宋体" w:cs="Times New Roman"/>
                <w:color w:val="auto"/>
                <w:sz w:val="22"/>
                <w:highlight w:val="none"/>
              </w:rPr>
              <w:t>作为勘察设计单位，获得全国优秀工程</w:t>
            </w:r>
            <w:r>
              <w:rPr>
                <w:rFonts w:hint="default" w:ascii="Times New Roman" w:hAnsi="Times New Roman" w:eastAsia="宋体" w:cs="Times New Roman"/>
                <w:color w:val="auto"/>
                <w:sz w:val="22"/>
                <w:highlight w:val="none"/>
                <w:lang w:eastAsia="zh-CN"/>
              </w:rPr>
              <w:t>勘察</w:t>
            </w:r>
            <w:r>
              <w:rPr>
                <w:rFonts w:hint="default" w:ascii="Times New Roman" w:hAnsi="Times New Roman" w:eastAsia="宋体" w:cs="Times New Roman"/>
                <w:color w:val="auto"/>
                <w:sz w:val="22"/>
                <w:highlight w:val="none"/>
              </w:rPr>
              <w:t>设计奖一、二、三等奖的每项得2分，获得广东省优秀工程</w:t>
            </w:r>
            <w:r>
              <w:rPr>
                <w:rFonts w:hint="default" w:ascii="Times New Roman" w:hAnsi="Times New Roman" w:eastAsia="宋体" w:cs="Times New Roman"/>
                <w:color w:val="auto"/>
                <w:sz w:val="22"/>
                <w:highlight w:val="none"/>
                <w:lang w:eastAsia="zh-CN"/>
              </w:rPr>
              <w:t>勘察</w:t>
            </w:r>
            <w:r>
              <w:rPr>
                <w:rFonts w:hint="default" w:ascii="Times New Roman" w:hAnsi="Times New Roman" w:eastAsia="宋体" w:cs="Times New Roman"/>
                <w:color w:val="auto"/>
                <w:sz w:val="22"/>
                <w:highlight w:val="none"/>
              </w:rPr>
              <w:t>设计奖一、二、三等奖的每项得1分；获得广州市优秀工程</w:t>
            </w:r>
            <w:r>
              <w:rPr>
                <w:rFonts w:hint="default" w:ascii="Times New Roman" w:hAnsi="Times New Roman" w:eastAsia="宋体" w:cs="Times New Roman"/>
                <w:color w:val="auto"/>
                <w:sz w:val="22"/>
                <w:highlight w:val="none"/>
                <w:lang w:eastAsia="zh-CN"/>
              </w:rPr>
              <w:t>勘察</w:t>
            </w:r>
            <w:r>
              <w:rPr>
                <w:rFonts w:hint="default" w:ascii="Times New Roman" w:hAnsi="Times New Roman" w:eastAsia="宋体" w:cs="Times New Roman"/>
                <w:color w:val="auto"/>
                <w:sz w:val="22"/>
                <w:highlight w:val="none"/>
              </w:rPr>
              <w:t>设计奖一、二、三等奖的每项得0.5分，作为联合体勘察设计单位，分数减半（同一工程项目以最高奖计分）。</w:t>
            </w:r>
          </w:p>
          <w:p w14:paraId="09B53043">
            <w:pPr>
              <w:numPr>
                <w:ilvl w:val="0"/>
                <w:numId w:val="0"/>
              </w:numPr>
              <w:tabs>
                <w:tab w:val="left" w:pos="377"/>
              </w:tabs>
              <w:spacing w:line="320" w:lineRule="exact"/>
              <w:ind w:left="0" w:leftChars="0" w:firstLine="440" w:firstLineChars="200"/>
              <w:rPr>
                <w:rFonts w:hint="default" w:ascii="Times New Roman" w:hAnsi="Times New Roman" w:eastAsia="宋体" w:cs="Times New Roman"/>
                <w:color w:val="auto"/>
                <w:sz w:val="22"/>
                <w:highlight w:val="none"/>
              </w:rPr>
            </w:pPr>
            <w:r>
              <w:rPr>
                <w:rFonts w:hint="eastAsia" w:ascii="Times New Roman" w:hAnsi="Times New Roman" w:cs="Times New Roman"/>
                <w:color w:val="auto"/>
                <w:sz w:val="22"/>
                <w:highlight w:val="none"/>
                <w:lang w:val="en-US" w:eastAsia="zh-CN"/>
              </w:rPr>
              <w:t>3、</w:t>
            </w:r>
            <w:r>
              <w:rPr>
                <w:rFonts w:hint="default" w:ascii="Times New Roman" w:hAnsi="Times New Roman" w:eastAsia="宋体" w:cs="Times New Roman"/>
                <w:color w:val="auto"/>
                <w:sz w:val="22"/>
                <w:highlight w:val="none"/>
              </w:rPr>
              <w:t>勘察设计原因造成的直接经济损失100万元人民币以上的质量事故，每一起减1分，减完为止。</w:t>
            </w:r>
          </w:p>
          <w:p w14:paraId="014CC53A">
            <w:pPr>
              <w:numPr>
                <w:ilvl w:val="0"/>
                <w:numId w:val="0"/>
              </w:numPr>
              <w:tabs>
                <w:tab w:val="left" w:pos="377"/>
              </w:tabs>
              <w:spacing w:line="320" w:lineRule="exact"/>
              <w:ind w:left="0" w:leftChars="0" w:firstLine="440" w:firstLineChars="200"/>
              <w:rPr>
                <w:rFonts w:hint="default" w:ascii="Times New Roman" w:hAnsi="Times New Roman" w:eastAsia="宋体" w:cs="Times New Roman"/>
                <w:color w:val="auto"/>
                <w:sz w:val="24"/>
                <w:highlight w:val="none"/>
              </w:rPr>
            </w:pPr>
            <w:r>
              <w:rPr>
                <w:rFonts w:hint="eastAsia" w:ascii="Times New Roman" w:hAnsi="Times New Roman" w:cs="Times New Roman"/>
                <w:color w:val="auto"/>
                <w:sz w:val="22"/>
                <w:highlight w:val="none"/>
                <w:lang w:val="en-US" w:eastAsia="zh-CN"/>
              </w:rPr>
              <w:t>4、</w:t>
            </w:r>
            <w:r>
              <w:rPr>
                <w:rFonts w:hint="default" w:ascii="Times New Roman" w:hAnsi="Times New Roman" w:eastAsia="宋体" w:cs="Times New Roman"/>
                <w:color w:val="auto"/>
                <w:sz w:val="22"/>
                <w:highlight w:val="none"/>
              </w:rPr>
              <w:t>本项满分可得10分。</w:t>
            </w:r>
          </w:p>
        </w:tc>
      </w:tr>
      <w:tr w14:paraId="4AB1D68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86" w:hRule="atLeast"/>
          <w:jc w:val="center"/>
        </w:trPr>
        <w:tc>
          <w:tcPr>
            <w:tcW w:w="1606" w:type="dxa"/>
            <w:vMerge w:val="continue"/>
            <w:noWrap w:val="0"/>
            <w:vAlign w:val="center"/>
          </w:tcPr>
          <w:p w14:paraId="7324E6AF">
            <w:pPr>
              <w:spacing w:line="520" w:lineRule="exact"/>
              <w:ind w:left="354" w:right="-31" w:rightChars="-15" w:hanging="354" w:hangingChars="147"/>
              <w:rPr>
                <w:rFonts w:hint="default" w:ascii="Times New Roman" w:hAnsi="Times New Roman" w:eastAsia="宋体" w:cs="Times New Roman"/>
                <w:b/>
                <w:color w:val="auto"/>
                <w:sz w:val="24"/>
                <w:highlight w:val="none"/>
              </w:rPr>
            </w:pPr>
          </w:p>
        </w:tc>
        <w:tc>
          <w:tcPr>
            <w:tcW w:w="2108" w:type="dxa"/>
            <w:noWrap w:val="0"/>
            <w:vAlign w:val="center"/>
          </w:tcPr>
          <w:p w14:paraId="255B7833">
            <w:pPr>
              <w:spacing w:line="360" w:lineRule="exact"/>
              <w:ind w:firstLine="0" w:firstLineChars="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2、勘察设计服务</w:t>
            </w:r>
          </w:p>
        </w:tc>
        <w:tc>
          <w:tcPr>
            <w:tcW w:w="3499" w:type="dxa"/>
            <w:noWrap w:val="0"/>
            <w:vAlign w:val="center"/>
          </w:tcPr>
          <w:p w14:paraId="5A40681D">
            <w:pPr>
              <w:spacing w:line="360" w:lineRule="exact"/>
              <w:ind w:firstLine="0" w:firstLineChars="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企业建立勘察设计服务标准、监督、考评制度；所勘察设计的工程无违反国家法律法规、工程建设强制性标准</w:t>
            </w:r>
          </w:p>
        </w:tc>
        <w:tc>
          <w:tcPr>
            <w:tcW w:w="895" w:type="dxa"/>
            <w:noWrap w:val="0"/>
            <w:vAlign w:val="center"/>
          </w:tcPr>
          <w:p w14:paraId="79BF2950">
            <w:pPr>
              <w:spacing w:line="320" w:lineRule="exact"/>
              <w:ind w:firstLine="0" w:firstLineChars="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5分</w:t>
            </w:r>
          </w:p>
        </w:tc>
        <w:tc>
          <w:tcPr>
            <w:tcW w:w="851" w:type="dxa"/>
            <w:noWrap w:val="0"/>
            <w:vAlign w:val="center"/>
          </w:tcPr>
          <w:p w14:paraId="39C5FFEC">
            <w:pPr>
              <w:spacing w:line="320" w:lineRule="exact"/>
              <w:ind w:firstLine="480"/>
              <w:jc w:val="center"/>
              <w:rPr>
                <w:rFonts w:hint="default" w:ascii="Times New Roman" w:hAnsi="Times New Roman" w:eastAsia="宋体" w:cs="Times New Roman"/>
                <w:color w:val="auto"/>
                <w:sz w:val="24"/>
                <w:highlight w:val="none"/>
              </w:rPr>
            </w:pPr>
          </w:p>
        </w:tc>
        <w:tc>
          <w:tcPr>
            <w:tcW w:w="4961" w:type="dxa"/>
            <w:noWrap w:val="0"/>
            <w:tcMar>
              <w:top w:w="113" w:type="dxa"/>
              <w:bottom w:w="113" w:type="dxa"/>
            </w:tcMar>
            <w:vAlign w:val="center"/>
          </w:tcPr>
          <w:p w14:paraId="7924AB1E">
            <w:pPr>
              <w:numPr>
                <w:ilvl w:val="0"/>
                <w:numId w:val="0"/>
              </w:numPr>
              <w:tabs>
                <w:tab w:val="left" w:pos="377"/>
              </w:tabs>
              <w:spacing w:line="336" w:lineRule="exact"/>
              <w:ind w:left="0" w:leftChars="0" w:firstLine="440" w:firstLineChars="200"/>
              <w:rPr>
                <w:rFonts w:hint="default" w:ascii="Times New Roman" w:hAnsi="Times New Roman" w:eastAsia="宋体" w:cs="Times New Roman"/>
                <w:color w:val="auto"/>
                <w:sz w:val="22"/>
                <w:szCs w:val="22"/>
                <w:highlight w:val="none"/>
              </w:rPr>
            </w:pPr>
            <w:r>
              <w:rPr>
                <w:rFonts w:hint="eastAsia" w:ascii="Times New Roman" w:hAnsi="Times New Roman" w:cs="Times New Roman"/>
                <w:color w:val="auto"/>
                <w:sz w:val="22"/>
                <w:szCs w:val="22"/>
                <w:highlight w:val="none"/>
                <w:lang w:val="en-US" w:eastAsia="zh-CN"/>
              </w:rPr>
              <w:t>1、</w:t>
            </w:r>
            <w:r>
              <w:rPr>
                <w:rFonts w:hint="default" w:ascii="Times New Roman" w:hAnsi="Times New Roman" w:eastAsia="宋体" w:cs="Times New Roman"/>
                <w:color w:val="auto"/>
                <w:sz w:val="22"/>
                <w:szCs w:val="22"/>
                <w:highlight w:val="none"/>
              </w:rPr>
              <w:t>所勘察设计的工程无违反国家法律法规、工程建设强制性标准，得3分。违反不得分。</w:t>
            </w:r>
          </w:p>
          <w:p w14:paraId="088A1579">
            <w:pPr>
              <w:numPr>
                <w:ilvl w:val="0"/>
                <w:numId w:val="0"/>
              </w:numPr>
              <w:tabs>
                <w:tab w:val="left" w:pos="377"/>
              </w:tabs>
              <w:spacing w:line="336" w:lineRule="exact"/>
              <w:ind w:left="0" w:leftChars="0" w:firstLine="440" w:firstLineChars="200"/>
              <w:rPr>
                <w:rFonts w:hint="default" w:ascii="Times New Roman" w:hAnsi="Times New Roman" w:eastAsia="宋体" w:cs="Times New Roman"/>
                <w:color w:val="auto"/>
                <w:sz w:val="22"/>
                <w:szCs w:val="22"/>
                <w:highlight w:val="none"/>
              </w:rPr>
            </w:pPr>
            <w:r>
              <w:rPr>
                <w:rFonts w:hint="eastAsia" w:ascii="Times New Roman" w:hAnsi="Times New Roman" w:cs="Times New Roman"/>
                <w:color w:val="auto"/>
                <w:sz w:val="22"/>
                <w:szCs w:val="22"/>
                <w:highlight w:val="none"/>
                <w:lang w:val="en-US" w:eastAsia="zh-CN"/>
              </w:rPr>
              <w:t>2、</w:t>
            </w:r>
            <w:r>
              <w:rPr>
                <w:rFonts w:hint="default" w:ascii="Times New Roman" w:hAnsi="Times New Roman" w:eastAsia="宋体" w:cs="Times New Roman"/>
                <w:color w:val="auto"/>
                <w:sz w:val="22"/>
                <w:szCs w:val="22"/>
                <w:highlight w:val="none"/>
              </w:rPr>
              <w:t>企业建立勘察设计服务标准、监督、考评制度的不得分；每受一次住建部门的重大处罚的减0.5分，减完为止。</w:t>
            </w:r>
          </w:p>
          <w:p w14:paraId="02D496AD">
            <w:pPr>
              <w:numPr>
                <w:ilvl w:val="0"/>
                <w:numId w:val="0"/>
              </w:numPr>
              <w:tabs>
                <w:tab w:val="left" w:pos="377"/>
              </w:tabs>
              <w:spacing w:line="336" w:lineRule="exact"/>
              <w:ind w:left="0" w:leftChars="0" w:firstLine="440" w:firstLineChars="200"/>
              <w:rPr>
                <w:rFonts w:hint="default" w:ascii="Times New Roman" w:hAnsi="Times New Roman" w:eastAsia="宋体" w:cs="Times New Roman"/>
                <w:color w:val="auto"/>
                <w:sz w:val="24"/>
                <w:highlight w:val="none"/>
              </w:rPr>
            </w:pPr>
            <w:r>
              <w:rPr>
                <w:rFonts w:hint="eastAsia" w:ascii="Times New Roman" w:hAnsi="Times New Roman" w:cs="Times New Roman"/>
                <w:color w:val="auto"/>
                <w:sz w:val="22"/>
                <w:szCs w:val="22"/>
                <w:highlight w:val="none"/>
                <w:lang w:val="en-US" w:eastAsia="zh-CN"/>
              </w:rPr>
              <w:t>3、</w:t>
            </w:r>
            <w:r>
              <w:rPr>
                <w:rFonts w:hint="default" w:ascii="Times New Roman" w:hAnsi="Times New Roman" w:eastAsia="宋体" w:cs="Times New Roman"/>
                <w:color w:val="auto"/>
                <w:sz w:val="22"/>
                <w:szCs w:val="22"/>
                <w:highlight w:val="none"/>
              </w:rPr>
              <w:t>采用新结构、新材料、新工艺的建设工程和特殊结构的建设工程，未在勘察设计中提出保障施工作业人员安全和预防生产安全事故的措施建议的，每次扣0.5分。</w:t>
            </w:r>
          </w:p>
        </w:tc>
      </w:tr>
    </w:tbl>
    <w:p w14:paraId="12D8B4ED">
      <w:pPr>
        <w:spacing w:line="520" w:lineRule="exact"/>
        <w:ind w:firstLine="420"/>
        <w:rPr>
          <w:rFonts w:hint="default" w:ascii="Times New Roman" w:hAnsi="Times New Roman" w:eastAsia="宋体" w:cs="Times New Roman"/>
          <w:color w:val="auto"/>
          <w:sz w:val="21"/>
          <w:highlight w:val="none"/>
        </w:rPr>
      </w:pPr>
      <w:r>
        <w:rPr>
          <w:rFonts w:hint="default" w:ascii="Times New Roman" w:hAnsi="Times New Roman" w:eastAsia="宋体" w:cs="Times New Roman"/>
          <w:color w:val="auto"/>
          <w:sz w:val="21"/>
          <w:highlight w:val="none"/>
        </w:rPr>
        <w:br w:type="page"/>
      </w:r>
    </w:p>
    <w:tbl>
      <w:tblPr>
        <w:tblStyle w:val="27"/>
        <w:tblW w:w="13974"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1500"/>
        <w:gridCol w:w="2289"/>
        <w:gridCol w:w="3370"/>
        <w:gridCol w:w="818"/>
        <w:gridCol w:w="883"/>
        <w:gridCol w:w="5114"/>
      </w:tblGrid>
      <w:tr w14:paraId="767A762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240" w:hRule="atLeast"/>
          <w:jc w:val="center"/>
        </w:trPr>
        <w:tc>
          <w:tcPr>
            <w:tcW w:w="1500" w:type="dxa"/>
            <w:vMerge w:val="restart"/>
            <w:noWrap w:val="0"/>
            <w:vAlign w:val="center"/>
          </w:tcPr>
          <w:p w14:paraId="569D5D33">
            <w:pPr>
              <w:spacing w:line="520" w:lineRule="exact"/>
              <w:ind w:left="354" w:right="-42" w:rightChars="-20" w:hanging="354" w:hangingChars="147"/>
              <w:rPr>
                <w:rFonts w:hint="default" w:ascii="Times New Roman" w:hAnsi="Times New Roman" w:eastAsia="宋体" w:cs="Times New Roman"/>
                <w:b/>
                <w:color w:val="auto"/>
                <w:sz w:val="24"/>
                <w:highlight w:val="none"/>
              </w:rPr>
            </w:pPr>
            <w:r>
              <w:rPr>
                <w:rFonts w:hint="default" w:ascii="Times New Roman" w:hAnsi="Times New Roman" w:eastAsia="宋体" w:cs="Times New Roman"/>
                <w:b/>
                <w:color w:val="auto"/>
                <w:sz w:val="24"/>
                <w:highlight w:val="none"/>
              </w:rPr>
              <w:t>三、管理指标25分</w:t>
            </w:r>
          </w:p>
        </w:tc>
        <w:tc>
          <w:tcPr>
            <w:tcW w:w="2289" w:type="dxa"/>
            <w:noWrap w:val="0"/>
            <w:vAlign w:val="center"/>
          </w:tcPr>
          <w:p w14:paraId="7CB15C52">
            <w:pPr>
              <w:spacing w:line="320" w:lineRule="exact"/>
              <w:ind w:firstLine="0" w:firstLineChars="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3、绿色建筑勘察设计评价</w:t>
            </w:r>
          </w:p>
        </w:tc>
        <w:tc>
          <w:tcPr>
            <w:tcW w:w="3370" w:type="dxa"/>
            <w:noWrap w:val="0"/>
            <w:vAlign w:val="center"/>
          </w:tcPr>
          <w:p w14:paraId="530CFDC1">
            <w:pPr>
              <w:spacing w:line="360" w:lineRule="exact"/>
              <w:ind w:firstLine="48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贯彻执行节约资源和保护环境的国家技术经济政策，推进建筑业可持续发展</w:t>
            </w:r>
          </w:p>
        </w:tc>
        <w:tc>
          <w:tcPr>
            <w:tcW w:w="818" w:type="dxa"/>
            <w:noWrap w:val="0"/>
            <w:vAlign w:val="center"/>
          </w:tcPr>
          <w:p w14:paraId="32C95217">
            <w:pPr>
              <w:spacing w:line="320" w:lineRule="exact"/>
              <w:ind w:firstLine="0" w:firstLineChars="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5分</w:t>
            </w:r>
          </w:p>
        </w:tc>
        <w:tc>
          <w:tcPr>
            <w:tcW w:w="883" w:type="dxa"/>
            <w:noWrap w:val="0"/>
            <w:vAlign w:val="center"/>
          </w:tcPr>
          <w:p w14:paraId="07E24A8B">
            <w:pPr>
              <w:spacing w:line="320" w:lineRule="exact"/>
              <w:ind w:firstLine="480"/>
              <w:jc w:val="center"/>
              <w:rPr>
                <w:rFonts w:hint="default" w:ascii="Times New Roman" w:hAnsi="Times New Roman" w:eastAsia="宋体" w:cs="Times New Roman"/>
                <w:color w:val="auto"/>
                <w:sz w:val="24"/>
                <w:highlight w:val="none"/>
              </w:rPr>
            </w:pPr>
          </w:p>
        </w:tc>
        <w:tc>
          <w:tcPr>
            <w:tcW w:w="5114" w:type="dxa"/>
            <w:noWrap w:val="0"/>
            <w:tcMar>
              <w:top w:w="113" w:type="dxa"/>
              <w:bottom w:w="113" w:type="dxa"/>
            </w:tcMar>
            <w:vAlign w:val="center"/>
          </w:tcPr>
          <w:p w14:paraId="7F5B975D">
            <w:pPr>
              <w:keepNext w:val="0"/>
              <w:keepLines w:val="0"/>
              <w:pageBreakBefore w:val="0"/>
              <w:widowControl w:val="0"/>
              <w:kinsoku/>
              <w:wordWrap/>
              <w:overflowPunct/>
              <w:topLinePunct w:val="0"/>
              <w:autoSpaceDE/>
              <w:autoSpaceDN/>
              <w:bidi w:val="0"/>
              <w:adjustRightInd w:val="0"/>
              <w:snapToGrid/>
              <w:spacing w:line="336" w:lineRule="exact"/>
              <w:ind w:firstLine="442"/>
              <w:textAlignment w:val="auto"/>
              <w:rPr>
                <w:rFonts w:hint="default" w:ascii="Times New Roman" w:hAnsi="Times New Roman" w:eastAsia="宋体" w:cs="Times New Roman"/>
                <w:color w:val="auto"/>
                <w:sz w:val="22"/>
                <w:szCs w:val="22"/>
                <w:highlight w:val="none"/>
              </w:rPr>
            </w:pPr>
            <w:r>
              <w:rPr>
                <w:rFonts w:hint="default" w:ascii="Times New Roman" w:hAnsi="Times New Roman" w:eastAsia="宋体" w:cs="Times New Roman"/>
                <w:color w:val="auto"/>
                <w:sz w:val="22"/>
                <w:szCs w:val="22"/>
                <w:highlight w:val="none"/>
              </w:rPr>
              <w:t>执行绿色建筑相关标准，所勘察设计的工程获得绿色建筑勘察设计国家级奖项的每项得3分，获得省级奖项的每项得2分，获得市级奖项的每项得1分（同一工程项目以最高奖计分，满分5分）。</w:t>
            </w:r>
          </w:p>
        </w:tc>
      </w:tr>
      <w:tr w14:paraId="2DEB4C3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00" w:hRule="atLeast"/>
          <w:jc w:val="center"/>
        </w:trPr>
        <w:tc>
          <w:tcPr>
            <w:tcW w:w="1500" w:type="dxa"/>
            <w:vMerge w:val="continue"/>
            <w:noWrap w:val="0"/>
            <w:vAlign w:val="center"/>
          </w:tcPr>
          <w:p w14:paraId="4D21C3E8">
            <w:pPr>
              <w:spacing w:line="520" w:lineRule="exact"/>
              <w:ind w:left="354" w:right="-42" w:rightChars="-20" w:hanging="354" w:hangingChars="147"/>
              <w:rPr>
                <w:rFonts w:hint="default" w:ascii="Times New Roman" w:hAnsi="Times New Roman" w:eastAsia="宋体" w:cs="Times New Roman"/>
                <w:b/>
                <w:color w:val="auto"/>
                <w:sz w:val="24"/>
                <w:highlight w:val="none"/>
              </w:rPr>
            </w:pPr>
          </w:p>
        </w:tc>
        <w:tc>
          <w:tcPr>
            <w:tcW w:w="2289" w:type="dxa"/>
            <w:noWrap w:val="0"/>
            <w:vAlign w:val="center"/>
          </w:tcPr>
          <w:p w14:paraId="70D8C6BB">
            <w:pPr>
              <w:spacing w:line="320" w:lineRule="exact"/>
              <w:ind w:firstLine="0" w:firstLineChars="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4、劳资管理</w:t>
            </w:r>
          </w:p>
        </w:tc>
        <w:tc>
          <w:tcPr>
            <w:tcW w:w="3370" w:type="dxa"/>
            <w:noWrap w:val="0"/>
            <w:vAlign w:val="center"/>
          </w:tcPr>
          <w:p w14:paraId="7010677C">
            <w:pPr>
              <w:spacing w:line="360" w:lineRule="exact"/>
              <w:ind w:firstLine="48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不拖欠或克扣劳动者工资；劳务作业分包必须使用有资质的劳务企业</w:t>
            </w:r>
          </w:p>
        </w:tc>
        <w:tc>
          <w:tcPr>
            <w:tcW w:w="818" w:type="dxa"/>
            <w:noWrap w:val="0"/>
            <w:vAlign w:val="center"/>
          </w:tcPr>
          <w:p w14:paraId="0A8E946C">
            <w:pPr>
              <w:spacing w:line="320" w:lineRule="exact"/>
              <w:ind w:firstLine="0" w:firstLineChars="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4分</w:t>
            </w:r>
          </w:p>
        </w:tc>
        <w:tc>
          <w:tcPr>
            <w:tcW w:w="883" w:type="dxa"/>
            <w:noWrap w:val="0"/>
            <w:vAlign w:val="center"/>
          </w:tcPr>
          <w:p w14:paraId="15726301">
            <w:pPr>
              <w:spacing w:line="320" w:lineRule="exact"/>
              <w:ind w:firstLine="480"/>
              <w:jc w:val="center"/>
              <w:rPr>
                <w:rFonts w:hint="default" w:ascii="Times New Roman" w:hAnsi="Times New Roman" w:eastAsia="宋体" w:cs="Times New Roman"/>
                <w:color w:val="auto"/>
                <w:sz w:val="24"/>
                <w:highlight w:val="none"/>
              </w:rPr>
            </w:pPr>
          </w:p>
        </w:tc>
        <w:tc>
          <w:tcPr>
            <w:tcW w:w="5114" w:type="dxa"/>
            <w:noWrap w:val="0"/>
            <w:tcMar>
              <w:top w:w="113" w:type="dxa"/>
              <w:bottom w:w="113" w:type="dxa"/>
            </w:tcMar>
            <w:vAlign w:val="center"/>
          </w:tcPr>
          <w:p w14:paraId="701577EC">
            <w:pPr>
              <w:keepNext w:val="0"/>
              <w:keepLines w:val="0"/>
              <w:pageBreakBefore w:val="0"/>
              <w:widowControl w:val="0"/>
              <w:kinsoku/>
              <w:wordWrap/>
              <w:overflowPunct/>
              <w:topLinePunct w:val="0"/>
              <w:autoSpaceDE/>
              <w:autoSpaceDN/>
              <w:bidi w:val="0"/>
              <w:adjustRightInd w:val="0"/>
              <w:snapToGrid/>
              <w:spacing w:line="336" w:lineRule="exact"/>
              <w:ind w:firstLine="442"/>
              <w:textAlignment w:val="auto"/>
              <w:rPr>
                <w:rFonts w:hint="default" w:ascii="Times New Roman" w:hAnsi="Times New Roman" w:eastAsia="宋体" w:cs="Times New Roman"/>
                <w:color w:val="auto"/>
                <w:sz w:val="22"/>
                <w:szCs w:val="22"/>
                <w:highlight w:val="none"/>
              </w:rPr>
            </w:pPr>
            <w:r>
              <w:rPr>
                <w:rFonts w:hint="default" w:ascii="Times New Roman" w:hAnsi="Times New Roman" w:eastAsia="宋体" w:cs="Times New Roman"/>
                <w:color w:val="auto"/>
                <w:sz w:val="22"/>
                <w:szCs w:val="22"/>
                <w:highlight w:val="none"/>
              </w:rPr>
              <w:t>因劳资纠纷发生重大群体事件且负有责任者，不得分。</w:t>
            </w:r>
          </w:p>
        </w:tc>
      </w:tr>
      <w:tr w14:paraId="40A89CD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403" w:hRule="atLeast"/>
          <w:jc w:val="center"/>
        </w:trPr>
        <w:tc>
          <w:tcPr>
            <w:tcW w:w="1500" w:type="dxa"/>
            <w:vMerge w:val="continue"/>
            <w:noWrap w:val="0"/>
            <w:vAlign w:val="center"/>
          </w:tcPr>
          <w:p w14:paraId="44185285">
            <w:pPr>
              <w:spacing w:line="520" w:lineRule="exact"/>
              <w:ind w:left="354" w:right="-42" w:rightChars="-20" w:hanging="354" w:hangingChars="147"/>
              <w:rPr>
                <w:rFonts w:hint="default" w:ascii="Times New Roman" w:hAnsi="Times New Roman" w:eastAsia="宋体" w:cs="Times New Roman"/>
                <w:b/>
                <w:color w:val="auto"/>
                <w:sz w:val="24"/>
                <w:highlight w:val="none"/>
              </w:rPr>
            </w:pPr>
          </w:p>
        </w:tc>
        <w:tc>
          <w:tcPr>
            <w:tcW w:w="2289" w:type="dxa"/>
            <w:noWrap w:val="0"/>
            <w:vAlign w:val="center"/>
          </w:tcPr>
          <w:p w14:paraId="20D1292A">
            <w:pPr>
              <w:spacing w:line="320" w:lineRule="exact"/>
              <w:ind w:firstLine="0" w:firstLineChars="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5、职工教育经费</w:t>
            </w:r>
          </w:p>
        </w:tc>
        <w:tc>
          <w:tcPr>
            <w:tcW w:w="3370" w:type="dxa"/>
            <w:noWrap w:val="0"/>
            <w:vAlign w:val="center"/>
          </w:tcPr>
          <w:p w14:paraId="0D80E800">
            <w:pPr>
              <w:spacing w:line="360" w:lineRule="exact"/>
              <w:ind w:firstLine="48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本企业职工继续教育经费占企业总产值比率大于0.1%；建立职工绩效考核与激励制度</w:t>
            </w:r>
          </w:p>
        </w:tc>
        <w:tc>
          <w:tcPr>
            <w:tcW w:w="818" w:type="dxa"/>
            <w:noWrap w:val="0"/>
            <w:vAlign w:val="center"/>
          </w:tcPr>
          <w:p w14:paraId="304690E0">
            <w:pPr>
              <w:spacing w:line="320" w:lineRule="exact"/>
              <w:ind w:firstLine="0" w:firstLineChars="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1分</w:t>
            </w:r>
          </w:p>
        </w:tc>
        <w:tc>
          <w:tcPr>
            <w:tcW w:w="883" w:type="dxa"/>
            <w:noWrap w:val="0"/>
            <w:vAlign w:val="center"/>
          </w:tcPr>
          <w:p w14:paraId="56FC7F47">
            <w:pPr>
              <w:spacing w:line="320" w:lineRule="exact"/>
              <w:ind w:firstLine="480"/>
              <w:jc w:val="center"/>
              <w:rPr>
                <w:rFonts w:hint="default" w:ascii="Times New Roman" w:hAnsi="Times New Roman" w:eastAsia="宋体" w:cs="Times New Roman"/>
                <w:color w:val="auto"/>
                <w:sz w:val="24"/>
                <w:highlight w:val="none"/>
              </w:rPr>
            </w:pPr>
          </w:p>
        </w:tc>
        <w:tc>
          <w:tcPr>
            <w:tcW w:w="5114" w:type="dxa"/>
            <w:noWrap w:val="0"/>
            <w:tcMar>
              <w:top w:w="113" w:type="dxa"/>
              <w:bottom w:w="113" w:type="dxa"/>
            </w:tcMar>
            <w:vAlign w:val="center"/>
          </w:tcPr>
          <w:p w14:paraId="0AC25D28">
            <w:pPr>
              <w:keepNext w:val="0"/>
              <w:keepLines w:val="0"/>
              <w:pageBreakBefore w:val="0"/>
              <w:widowControl w:val="0"/>
              <w:kinsoku/>
              <w:wordWrap/>
              <w:overflowPunct/>
              <w:topLinePunct w:val="0"/>
              <w:autoSpaceDE/>
              <w:autoSpaceDN/>
              <w:bidi w:val="0"/>
              <w:adjustRightInd w:val="0"/>
              <w:snapToGrid/>
              <w:spacing w:line="336" w:lineRule="exact"/>
              <w:ind w:firstLine="442"/>
              <w:textAlignment w:val="auto"/>
              <w:rPr>
                <w:rFonts w:hint="default" w:ascii="Times New Roman" w:hAnsi="Times New Roman" w:eastAsia="宋体" w:cs="Times New Roman"/>
                <w:color w:val="auto"/>
                <w:sz w:val="22"/>
                <w:szCs w:val="22"/>
                <w:highlight w:val="none"/>
              </w:rPr>
            </w:pPr>
            <w:r>
              <w:rPr>
                <w:rFonts w:hint="default" w:ascii="Times New Roman" w:hAnsi="Times New Roman" w:eastAsia="宋体" w:cs="Times New Roman"/>
                <w:color w:val="auto"/>
                <w:sz w:val="22"/>
                <w:szCs w:val="22"/>
                <w:highlight w:val="none"/>
              </w:rPr>
              <w:t>职工继续教育经费占企业总产值比率大于0.1%，并建立合理有效的职工绩效考核与激励制度得1分。</w:t>
            </w:r>
          </w:p>
        </w:tc>
      </w:tr>
    </w:tbl>
    <w:p w14:paraId="655C9CC2">
      <w:pPr>
        <w:spacing w:line="60" w:lineRule="exact"/>
        <w:ind w:firstLine="420"/>
        <w:rPr>
          <w:rFonts w:hint="default" w:ascii="Times New Roman" w:hAnsi="Times New Roman" w:eastAsia="宋体" w:cs="Times New Roman"/>
          <w:color w:val="auto"/>
          <w:sz w:val="21"/>
          <w:highlight w:val="none"/>
        </w:rPr>
      </w:pPr>
      <w:r>
        <w:rPr>
          <w:rFonts w:hint="default" w:ascii="Times New Roman" w:hAnsi="Times New Roman" w:eastAsia="宋体" w:cs="Times New Roman"/>
          <w:color w:val="auto"/>
          <w:sz w:val="21"/>
          <w:highlight w:val="none"/>
        </w:rPr>
        <w:br w:type="page"/>
      </w:r>
    </w:p>
    <w:tbl>
      <w:tblPr>
        <w:tblStyle w:val="27"/>
        <w:tblW w:w="13979"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1418"/>
        <w:gridCol w:w="2341"/>
        <w:gridCol w:w="3260"/>
        <w:gridCol w:w="851"/>
        <w:gridCol w:w="850"/>
        <w:gridCol w:w="5259"/>
      </w:tblGrid>
      <w:tr w14:paraId="2AFFA99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82" w:hRule="atLeast"/>
          <w:jc w:val="center"/>
        </w:trPr>
        <w:tc>
          <w:tcPr>
            <w:tcW w:w="1418" w:type="dxa"/>
            <w:vMerge w:val="restart"/>
            <w:noWrap w:val="0"/>
            <w:vAlign w:val="center"/>
          </w:tcPr>
          <w:p w14:paraId="277A74F3">
            <w:pPr>
              <w:spacing w:line="520" w:lineRule="exact"/>
              <w:ind w:left="354" w:right="-31" w:rightChars="-15" w:hanging="354" w:hangingChars="147"/>
              <w:jc w:val="center"/>
              <w:rPr>
                <w:rFonts w:hint="default" w:ascii="Times New Roman" w:hAnsi="Times New Roman" w:eastAsia="宋体" w:cs="Times New Roman"/>
                <w:color w:val="auto"/>
                <w:sz w:val="21"/>
                <w:highlight w:val="none"/>
              </w:rPr>
            </w:pPr>
            <w:r>
              <w:rPr>
                <w:rFonts w:hint="default" w:ascii="Times New Roman" w:hAnsi="Times New Roman" w:eastAsia="宋体" w:cs="Times New Roman"/>
                <w:b/>
                <w:color w:val="auto"/>
                <w:sz w:val="24"/>
                <w:highlight w:val="none"/>
              </w:rPr>
              <w:t>四、科技创新指标20分</w:t>
            </w:r>
          </w:p>
        </w:tc>
        <w:tc>
          <w:tcPr>
            <w:tcW w:w="2341" w:type="dxa"/>
            <w:noWrap w:val="0"/>
            <w:vAlign w:val="center"/>
          </w:tcPr>
          <w:p w14:paraId="25AFECDC">
            <w:pPr>
              <w:spacing w:line="320" w:lineRule="exact"/>
              <w:ind w:firstLine="0" w:firstLineChars="0"/>
              <w:jc w:val="both"/>
              <w:rPr>
                <w:rFonts w:hint="default" w:ascii="Times New Roman" w:hAnsi="Times New Roman" w:eastAsia="宋体" w:cs="Times New Roman"/>
                <w:color w:val="auto"/>
                <w:sz w:val="24"/>
                <w:highlight w:val="none"/>
                <w:lang w:eastAsia="zh-CN"/>
              </w:rPr>
            </w:pPr>
            <w:r>
              <w:rPr>
                <w:rFonts w:hint="default" w:ascii="Times New Roman" w:hAnsi="Times New Roman" w:eastAsia="宋体" w:cs="Times New Roman"/>
                <w:color w:val="auto"/>
                <w:sz w:val="24"/>
                <w:highlight w:val="none"/>
              </w:rPr>
              <w:t>1、科技创新</w:t>
            </w:r>
            <w:r>
              <w:rPr>
                <w:rFonts w:hint="default" w:ascii="Times New Roman" w:hAnsi="Times New Roman" w:eastAsia="宋体" w:cs="Times New Roman"/>
                <w:color w:val="auto"/>
                <w:sz w:val="24"/>
                <w:highlight w:val="none"/>
                <w:lang w:val="en-US" w:eastAsia="zh-CN"/>
              </w:rPr>
              <w:t>和认定</w:t>
            </w:r>
          </w:p>
        </w:tc>
        <w:tc>
          <w:tcPr>
            <w:tcW w:w="3260" w:type="dxa"/>
            <w:noWrap w:val="0"/>
            <w:vAlign w:val="center"/>
          </w:tcPr>
          <w:p w14:paraId="6573E5D0">
            <w:pPr>
              <w:spacing w:line="360" w:lineRule="exact"/>
              <w:ind w:firstLine="48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高新技术企业、科技型中小企业、创新型中小企业、专精特新</w:t>
            </w:r>
            <w:r>
              <w:rPr>
                <w:rFonts w:hint="default" w:ascii="Times New Roman" w:hAnsi="Times New Roman" w:eastAsia="宋体" w:cs="Times New Roman"/>
                <w:color w:val="auto"/>
                <w:sz w:val="24"/>
                <w:highlight w:val="none"/>
                <w:lang w:eastAsia="zh-CN"/>
              </w:rPr>
              <w:t>中小</w:t>
            </w:r>
            <w:r>
              <w:rPr>
                <w:rFonts w:hint="default" w:ascii="Times New Roman" w:hAnsi="Times New Roman" w:eastAsia="宋体" w:cs="Times New Roman"/>
                <w:color w:val="auto"/>
                <w:sz w:val="24"/>
                <w:highlight w:val="none"/>
              </w:rPr>
              <w:t>企业</w:t>
            </w:r>
          </w:p>
        </w:tc>
        <w:tc>
          <w:tcPr>
            <w:tcW w:w="851" w:type="dxa"/>
            <w:noWrap w:val="0"/>
            <w:vAlign w:val="center"/>
          </w:tcPr>
          <w:p w14:paraId="41840547">
            <w:pPr>
              <w:spacing w:line="320" w:lineRule="exact"/>
              <w:ind w:firstLine="0" w:firstLineChars="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6分</w:t>
            </w:r>
          </w:p>
        </w:tc>
        <w:tc>
          <w:tcPr>
            <w:tcW w:w="850" w:type="dxa"/>
            <w:noWrap w:val="0"/>
            <w:vAlign w:val="center"/>
          </w:tcPr>
          <w:p w14:paraId="4558708A">
            <w:pPr>
              <w:spacing w:line="320" w:lineRule="exact"/>
              <w:ind w:firstLine="480"/>
              <w:jc w:val="center"/>
              <w:rPr>
                <w:rFonts w:hint="default" w:ascii="Times New Roman" w:hAnsi="Times New Roman" w:eastAsia="宋体" w:cs="Times New Roman"/>
                <w:color w:val="auto"/>
                <w:sz w:val="24"/>
                <w:highlight w:val="none"/>
              </w:rPr>
            </w:pPr>
          </w:p>
        </w:tc>
        <w:tc>
          <w:tcPr>
            <w:tcW w:w="5259" w:type="dxa"/>
            <w:noWrap w:val="0"/>
            <w:tcMar>
              <w:top w:w="113" w:type="dxa"/>
              <w:bottom w:w="113" w:type="dxa"/>
            </w:tcMar>
            <w:vAlign w:val="center"/>
          </w:tcPr>
          <w:p w14:paraId="73E638AE">
            <w:pPr>
              <w:keepNext w:val="0"/>
              <w:keepLines w:val="0"/>
              <w:pageBreakBefore w:val="0"/>
              <w:widowControl w:val="0"/>
              <w:kinsoku/>
              <w:wordWrap/>
              <w:overflowPunct/>
              <w:topLinePunct w:val="0"/>
              <w:autoSpaceDE/>
              <w:autoSpaceDN/>
              <w:bidi w:val="0"/>
              <w:adjustRightInd w:val="0"/>
              <w:snapToGrid/>
              <w:spacing w:line="336" w:lineRule="exact"/>
              <w:ind w:firstLine="442"/>
              <w:textAlignment w:val="auto"/>
              <w:rPr>
                <w:rFonts w:hint="default" w:ascii="Times New Roman" w:hAnsi="Times New Roman" w:eastAsia="宋体" w:cs="Times New Roman"/>
                <w:color w:val="auto"/>
                <w:sz w:val="22"/>
                <w:szCs w:val="22"/>
                <w:highlight w:val="none"/>
              </w:rPr>
            </w:pPr>
            <w:r>
              <w:rPr>
                <w:rFonts w:hint="eastAsia" w:ascii="Times New Roman" w:hAnsi="Times New Roman" w:cs="Times New Roman"/>
                <w:color w:val="auto"/>
                <w:sz w:val="22"/>
                <w:szCs w:val="22"/>
                <w:highlight w:val="none"/>
                <w:lang w:val="en-US" w:eastAsia="zh-CN"/>
              </w:rPr>
              <w:t>1、</w:t>
            </w:r>
            <w:r>
              <w:rPr>
                <w:rFonts w:hint="default" w:ascii="Times New Roman" w:hAnsi="Times New Roman" w:eastAsia="宋体" w:cs="Times New Roman"/>
                <w:color w:val="auto"/>
                <w:sz w:val="22"/>
                <w:szCs w:val="22"/>
                <w:highlight w:val="none"/>
              </w:rPr>
              <w:t>近6年连</w:t>
            </w:r>
            <w:r>
              <w:rPr>
                <w:rFonts w:hint="default" w:ascii="Times New Roman" w:hAnsi="Times New Roman" w:eastAsia="宋体" w:cs="Times New Roman"/>
                <w:color w:val="auto"/>
                <w:sz w:val="22"/>
                <w:szCs w:val="22"/>
                <w:highlight w:val="none"/>
                <w:lang w:eastAsia="zh-CN"/>
              </w:rPr>
              <w:t>续</w:t>
            </w:r>
            <w:r>
              <w:rPr>
                <w:rFonts w:hint="default" w:ascii="Times New Roman" w:hAnsi="Times New Roman" w:eastAsia="宋体" w:cs="Times New Roman"/>
                <w:color w:val="auto"/>
                <w:sz w:val="22"/>
                <w:szCs w:val="22"/>
                <w:highlight w:val="none"/>
              </w:rPr>
              <w:t>两次认定高新技术企业，以证书为准，得6分。</w:t>
            </w:r>
          </w:p>
          <w:p w14:paraId="46E1B5F0">
            <w:pPr>
              <w:keepNext w:val="0"/>
              <w:keepLines w:val="0"/>
              <w:pageBreakBefore w:val="0"/>
              <w:widowControl w:val="0"/>
              <w:kinsoku/>
              <w:wordWrap/>
              <w:overflowPunct/>
              <w:topLinePunct w:val="0"/>
              <w:autoSpaceDE/>
              <w:autoSpaceDN/>
              <w:bidi w:val="0"/>
              <w:adjustRightInd w:val="0"/>
              <w:snapToGrid/>
              <w:spacing w:line="336" w:lineRule="exact"/>
              <w:ind w:firstLine="442"/>
              <w:textAlignment w:val="auto"/>
              <w:rPr>
                <w:rFonts w:hint="default" w:ascii="Times New Roman" w:hAnsi="Times New Roman" w:eastAsia="宋体" w:cs="Times New Roman"/>
                <w:color w:val="auto"/>
                <w:sz w:val="22"/>
                <w:szCs w:val="22"/>
                <w:highlight w:val="none"/>
              </w:rPr>
            </w:pPr>
            <w:r>
              <w:rPr>
                <w:rFonts w:hint="eastAsia" w:ascii="Times New Roman" w:hAnsi="Times New Roman" w:cs="Times New Roman"/>
                <w:color w:val="auto"/>
                <w:sz w:val="22"/>
                <w:szCs w:val="22"/>
                <w:highlight w:val="none"/>
                <w:lang w:val="en-US" w:eastAsia="zh-CN"/>
              </w:rPr>
              <w:t>2、</w:t>
            </w:r>
            <w:r>
              <w:rPr>
                <w:rFonts w:hint="default" w:ascii="Times New Roman" w:hAnsi="Times New Roman" w:eastAsia="宋体" w:cs="Times New Roman"/>
                <w:color w:val="auto"/>
                <w:sz w:val="22"/>
                <w:szCs w:val="22"/>
                <w:highlight w:val="none"/>
              </w:rPr>
              <w:t>近3年获认定高新技术企业，以证书为准，得3分。</w:t>
            </w:r>
          </w:p>
          <w:p w14:paraId="68B66D66">
            <w:pPr>
              <w:keepNext w:val="0"/>
              <w:keepLines w:val="0"/>
              <w:pageBreakBefore w:val="0"/>
              <w:widowControl w:val="0"/>
              <w:kinsoku/>
              <w:wordWrap/>
              <w:overflowPunct/>
              <w:topLinePunct w:val="0"/>
              <w:autoSpaceDE/>
              <w:autoSpaceDN/>
              <w:bidi w:val="0"/>
              <w:adjustRightInd w:val="0"/>
              <w:snapToGrid/>
              <w:spacing w:line="336" w:lineRule="exact"/>
              <w:ind w:firstLine="442"/>
              <w:textAlignment w:val="auto"/>
              <w:rPr>
                <w:rFonts w:hint="default" w:ascii="Times New Roman" w:hAnsi="Times New Roman" w:eastAsia="宋体" w:cs="Times New Roman"/>
                <w:color w:val="auto"/>
                <w:sz w:val="22"/>
                <w:szCs w:val="22"/>
                <w:highlight w:val="none"/>
              </w:rPr>
            </w:pPr>
            <w:r>
              <w:rPr>
                <w:rFonts w:hint="eastAsia" w:ascii="Times New Roman" w:hAnsi="Times New Roman" w:cs="Times New Roman"/>
                <w:color w:val="auto"/>
                <w:sz w:val="22"/>
                <w:szCs w:val="22"/>
                <w:highlight w:val="none"/>
                <w:lang w:val="en-US" w:eastAsia="zh-CN"/>
              </w:rPr>
              <w:t>3、</w:t>
            </w:r>
            <w:r>
              <w:rPr>
                <w:rFonts w:hint="default" w:ascii="Times New Roman" w:hAnsi="Times New Roman" w:eastAsia="宋体" w:cs="Times New Roman"/>
                <w:color w:val="auto"/>
                <w:sz w:val="22"/>
                <w:szCs w:val="22"/>
                <w:highlight w:val="none"/>
              </w:rPr>
              <w:t>近6年连</w:t>
            </w:r>
            <w:r>
              <w:rPr>
                <w:rFonts w:hint="default" w:ascii="Times New Roman" w:hAnsi="Times New Roman" w:eastAsia="宋体" w:cs="Times New Roman"/>
                <w:color w:val="auto"/>
                <w:sz w:val="22"/>
                <w:szCs w:val="22"/>
                <w:highlight w:val="none"/>
                <w:lang w:eastAsia="zh-CN"/>
              </w:rPr>
              <w:t>续</w:t>
            </w:r>
            <w:r>
              <w:rPr>
                <w:rFonts w:hint="default" w:ascii="Times New Roman" w:hAnsi="Times New Roman" w:eastAsia="宋体" w:cs="Times New Roman"/>
                <w:color w:val="auto"/>
                <w:sz w:val="22"/>
                <w:szCs w:val="22"/>
                <w:highlight w:val="none"/>
              </w:rPr>
              <w:t>5次认定科技型中小企业，提供申报界面截图，得5分。</w:t>
            </w:r>
          </w:p>
          <w:p w14:paraId="535E3FB5">
            <w:pPr>
              <w:keepNext w:val="0"/>
              <w:keepLines w:val="0"/>
              <w:pageBreakBefore w:val="0"/>
              <w:widowControl w:val="0"/>
              <w:kinsoku/>
              <w:wordWrap/>
              <w:overflowPunct/>
              <w:topLinePunct w:val="0"/>
              <w:autoSpaceDE/>
              <w:autoSpaceDN/>
              <w:bidi w:val="0"/>
              <w:adjustRightInd w:val="0"/>
              <w:snapToGrid/>
              <w:spacing w:line="336" w:lineRule="exact"/>
              <w:ind w:firstLine="442"/>
              <w:textAlignment w:val="auto"/>
              <w:rPr>
                <w:rFonts w:hint="default" w:ascii="Times New Roman" w:hAnsi="Times New Roman" w:eastAsia="宋体" w:cs="Times New Roman"/>
                <w:color w:val="auto"/>
                <w:sz w:val="22"/>
                <w:szCs w:val="22"/>
                <w:highlight w:val="none"/>
              </w:rPr>
            </w:pPr>
            <w:r>
              <w:rPr>
                <w:rFonts w:hint="eastAsia" w:ascii="Times New Roman" w:hAnsi="Times New Roman" w:cs="Times New Roman"/>
                <w:color w:val="auto"/>
                <w:sz w:val="22"/>
                <w:szCs w:val="22"/>
                <w:highlight w:val="none"/>
                <w:lang w:val="en-US" w:eastAsia="zh-CN"/>
              </w:rPr>
              <w:t>4、</w:t>
            </w:r>
            <w:r>
              <w:rPr>
                <w:rFonts w:hint="default" w:ascii="Times New Roman" w:hAnsi="Times New Roman" w:eastAsia="宋体" w:cs="Times New Roman"/>
                <w:color w:val="auto"/>
                <w:sz w:val="22"/>
                <w:szCs w:val="22"/>
                <w:highlight w:val="none"/>
              </w:rPr>
              <w:t>创新型中小企业，提供公告文件截图，得2分。</w:t>
            </w:r>
          </w:p>
          <w:p w14:paraId="539C50CC">
            <w:pPr>
              <w:keepNext w:val="0"/>
              <w:keepLines w:val="0"/>
              <w:pageBreakBefore w:val="0"/>
              <w:widowControl w:val="0"/>
              <w:kinsoku/>
              <w:wordWrap/>
              <w:overflowPunct/>
              <w:topLinePunct w:val="0"/>
              <w:autoSpaceDE/>
              <w:autoSpaceDN/>
              <w:bidi w:val="0"/>
              <w:adjustRightInd w:val="0"/>
              <w:snapToGrid/>
              <w:spacing w:line="336" w:lineRule="exact"/>
              <w:ind w:firstLine="442"/>
              <w:textAlignment w:val="auto"/>
              <w:rPr>
                <w:rFonts w:hint="default" w:ascii="Times New Roman" w:hAnsi="Times New Roman" w:eastAsia="宋体" w:cs="Times New Roman"/>
                <w:color w:val="auto"/>
                <w:sz w:val="22"/>
                <w:szCs w:val="22"/>
                <w:highlight w:val="none"/>
              </w:rPr>
            </w:pPr>
            <w:r>
              <w:rPr>
                <w:rFonts w:hint="eastAsia" w:ascii="Times New Roman" w:hAnsi="Times New Roman" w:cs="Times New Roman"/>
                <w:color w:val="auto"/>
                <w:sz w:val="22"/>
                <w:szCs w:val="22"/>
                <w:highlight w:val="none"/>
                <w:lang w:val="en-US" w:eastAsia="zh-CN"/>
              </w:rPr>
              <w:t>5、</w:t>
            </w:r>
            <w:r>
              <w:rPr>
                <w:rFonts w:hint="default" w:ascii="Times New Roman" w:hAnsi="Times New Roman" w:eastAsia="宋体" w:cs="Times New Roman"/>
                <w:color w:val="auto"/>
                <w:sz w:val="22"/>
                <w:szCs w:val="22"/>
                <w:highlight w:val="none"/>
              </w:rPr>
              <w:t>专精特新小中企业，提供公告文件截图，得2分。</w:t>
            </w:r>
          </w:p>
          <w:p w14:paraId="59BFD9A4">
            <w:pPr>
              <w:keepNext w:val="0"/>
              <w:keepLines w:val="0"/>
              <w:pageBreakBefore w:val="0"/>
              <w:widowControl w:val="0"/>
              <w:kinsoku/>
              <w:wordWrap/>
              <w:overflowPunct/>
              <w:topLinePunct w:val="0"/>
              <w:autoSpaceDE/>
              <w:autoSpaceDN/>
              <w:bidi w:val="0"/>
              <w:adjustRightInd w:val="0"/>
              <w:snapToGrid/>
              <w:spacing w:line="336" w:lineRule="exact"/>
              <w:ind w:firstLine="442"/>
              <w:textAlignment w:val="auto"/>
              <w:rPr>
                <w:rFonts w:hint="default" w:ascii="Times New Roman" w:hAnsi="Times New Roman" w:eastAsia="宋体" w:cs="Times New Roman"/>
                <w:color w:val="auto"/>
                <w:sz w:val="22"/>
                <w:szCs w:val="22"/>
                <w:highlight w:val="none"/>
              </w:rPr>
            </w:pPr>
            <w:r>
              <w:rPr>
                <w:rFonts w:hint="default" w:ascii="Times New Roman" w:hAnsi="Times New Roman" w:eastAsia="宋体" w:cs="Times New Roman"/>
                <w:color w:val="auto"/>
                <w:sz w:val="22"/>
                <w:szCs w:val="22"/>
                <w:highlight w:val="none"/>
              </w:rPr>
              <w:t>同一项目按最高得分，不重复加分。</w:t>
            </w:r>
          </w:p>
        </w:tc>
      </w:tr>
      <w:tr w14:paraId="51A46B5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35" w:hRule="atLeast"/>
          <w:jc w:val="center"/>
        </w:trPr>
        <w:tc>
          <w:tcPr>
            <w:tcW w:w="1418" w:type="dxa"/>
            <w:vMerge w:val="continue"/>
            <w:noWrap w:val="0"/>
            <w:vAlign w:val="center"/>
          </w:tcPr>
          <w:p w14:paraId="1AB22519">
            <w:pPr>
              <w:spacing w:line="520" w:lineRule="exact"/>
              <w:ind w:left="354" w:right="-31" w:rightChars="-15" w:hanging="354" w:hangingChars="147"/>
              <w:jc w:val="center"/>
              <w:rPr>
                <w:rFonts w:hint="default" w:ascii="Times New Roman" w:hAnsi="Times New Roman" w:eastAsia="宋体" w:cs="Times New Roman"/>
                <w:b/>
                <w:color w:val="auto"/>
                <w:sz w:val="24"/>
                <w:highlight w:val="none"/>
              </w:rPr>
            </w:pPr>
          </w:p>
        </w:tc>
        <w:tc>
          <w:tcPr>
            <w:tcW w:w="2341" w:type="dxa"/>
            <w:noWrap w:val="0"/>
            <w:vAlign w:val="center"/>
          </w:tcPr>
          <w:p w14:paraId="70EB5248">
            <w:pPr>
              <w:spacing w:line="320" w:lineRule="exact"/>
              <w:ind w:firstLine="0" w:firstLineChars="0"/>
              <w:jc w:val="both"/>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2、科技活动经费</w:t>
            </w:r>
          </w:p>
        </w:tc>
        <w:tc>
          <w:tcPr>
            <w:tcW w:w="3260" w:type="dxa"/>
            <w:noWrap w:val="0"/>
            <w:vAlign w:val="center"/>
          </w:tcPr>
          <w:p w14:paraId="5C2C527A">
            <w:pPr>
              <w:spacing w:line="360" w:lineRule="exact"/>
              <w:ind w:firstLine="48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科技研发经费投入占企业总产值大于0.5%</w:t>
            </w:r>
          </w:p>
        </w:tc>
        <w:tc>
          <w:tcPr>
            <w:tcW w:w="851" w:type="dxa"/>
            <w:noWrap w:val="0"/>
            <w:vAlign w:val="center"/>
          </w:tcPr>
          <w:p w14:paraId="196B5B3E">
            <w:pPr>
              <w:spacing w:line="320" w:lineRule="exact"/>
              <w:ind w:firstLine="0" w:firstLineChars="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4分</w:t>
            </w:r>
          </w:p>
        </w:tc>
        <w:tc>
          <w:tcPr>
            <w:tcW w:w="850" w:type="dxa"/>
            <w:noWrap w:val="0"/>
            <w:vAlign w:val="center"/>
          </w:tcPr>
          <w:p w14:paraId="592ED232">
            <w:pPr>
              <w:spacing w:line="320" w:lineRule="exact"/>
              <w:ind w:firstLine="480"/>
              <w:jc w:val="center"/>
              <w:rPr>
                <w:rFonts w:hint="default" w:ascii="Times New Roman" w:hAnsi="Times New Roman" w:eastAsia="宋体" w:cs="Times New Roman"/>
                <w:color w:val="auto"/>
                <w:sz w:val="24"/>
                <w:highlight w:val="none"/>
              </w:rPr>
            </w:pPr>
          </w:p>
        </w:tc>
        <w:tc>
          <w:tcPr>
            <w:tcW w:w="5259" w:type="dxa"/>
            <w:noWrap w:val="0"/>
            <w:tcMar>
              <w:top w:w="113" w:type="dxa"/>
              <w:bottom w:w="113" w:type="dxa"/>
            </w:tcMar>
            <w:vAlign w:val="center"/>
          </w:tcPr>
          <w:p w14:paraId="663B9314">
            <w:pPr>
              <w:keepNext w:val="0"/>
              <w:keepLines w:val="0"/>
              <w:pageBreakBefore w:val="0"/>
              <w:widowControl w:val="0"/>
              <w:kinsoku/>
              <w:wordWrap/>
              <w:overflowPunct/>
              <w:topLinePunct w:val="0"/>
              <w:autoSpaceDE/>
              <w:autoSpaceDN/>
              <w:bidi w:val="0"/>
              <w:adjustRightInd w:val="0"/>
              <w:snapToGrid/>
              <w:spacing w:line="336" w:lineRule="exact"/>
              <w:ind w:firstLine="442"/>
              <w:textAlignment w:val="auto"/>
              <w:rPr>
                <w:rFonts w:hint="default" w:ascii="Times New Roman" w:hAnsi="Times New Roman" w:eastAsia="宋体" w:cs="Times New Roman"/>
                <w:color w:val="auto"/>
                <w:sz w:val="22"/>
                <w:szCs w:val="22"/>
                <w:highlight w:val="none"/>
              </w:rPr>
            </w:pPr>
            <w:r>
              <w:rPr>
                <w:rFonts w:hint="default" w:ascii="Times New Roman" w:hAnsi="Times New Roman" w:eastAsia="宋体" w:cs="Times New Roman"/>
                <w:color w:val="auto"/>
                <w:sz w:val="22"/>
                <w:szCs w:val="22"/>
                <w:highlight w:val="none"/>
              </w:rPr>
              <w:t>财务审计报告的利润表反映，年均企业科技活动经费投入占总产值比率达到0.5%的得4分，达到0.3%的得2分，低于0.1%得1分，不足0.05%的不得分。</w:t>
            </w:r>
          </w:p>
        </w:tc>
      </w:tr>
      <w:tr w14:paraId="52E63B3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582" w:hRule="atLeast"/>
          <w:jc w:val="center"/>
        </w:trPr>
        <w:tc>
          <w:tcPr>
            <w:tcW w:w="1418" w:type="dxa"/>
            <w:vMerge w:val="continue"/>
            <w:noWrap w:val="0"/>
            <w:vAlign w:val="center"/>
          </w:tcPr>
          <w:p w14:paraId="4A6315F9">
            <w:pPr>
              <w:spacing w:line="520" w:lineRule="exact"/>
              <w:ind w:left="354" w:right="-31" w:rightChars="-15" w:hanging="354" w:hangingChars="147"/>
              <w:jc w:val="center"/>
              <w:rPr>
                <w:rFonts w:hint="default" w:ascii="Times New Roman" w:hAnsi="Times New Roman" w:eastAsia="宋体" w:cs="Times New Roman"/>
                <w:b/>
                <w:color w:val="auto"/>
                <w:sz w:val="24"/>
                <w:highlight w:val="none"/>
              </w:rPr>
            </w:pPr>
          </w:p>
        </w:tc>
        <w:tc>
          <w:tcPr>
            <w:tcW w:w="2341" w:type="dxa"/>
            <w:noWrap w:val="0"/>
            <w:vAlign w:val="center"/>
          </w:tcPr>
          <w:p w14:paraId="23A579DD">
            <w:pPr>
              <w:spacing w:line="320" w:lineRule="exact"/>
              <w:ind w:firstLine="0" w:firstLineChars="0"/>
              <w:jc w:val="both"/>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3、技术创新成果</w:t>
            </w:r>
          </w:p>
        </w:tc>
        <w:tc>
          <w:tcPr>
            <w:tcW w:w="3260" w:type="dxa"/>
            <w:noWrap w:val="0"/>
            <w:vAlign w:val="center"/>
          </w:tcPr>
          <w:p w14:paraId="2B8D48A4">
            <w:pPr>
              <w:spacing w:line="360" w:lineRule="exact"/>
              <w:ind w:firstLine="48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有科技进步奖、专利、</w:t>
            </w:r>
            <w:r>
              <w:rPr>
                <w:rFonts w:hint="default" w:ascii="Times New Roman" w:hAnsi="Times New Roman" w:eastAsia="宋体" w:cs="Times New Roman"/>
                <w:color w:val="auto"/>
                <w:sz w:val="22"/>
                <w:szCs w:val="22"/>
                <w:highlight w:val="none"/>
              </w:rPr>
              <w:t>计算机软件著作权</w:t>
            </w:r>
            <w:r>
              <w:rPr>
                <w:rFonts w:hint="default" w:ascii="Times New Roman" w:hAnsi="Times New Roman" w:eastAsia="宋体" w:cs="Times New Roman"/>
                <w:color w:val="auto"/>
                <w:sz w:val="24"/>
                <w:highlight w:val="none"/>
              </w:rPr>
              <w:t>等</w:t>
            </w:r>
          </w:p>
        </w:tc>
        <w:tc>
          <w:tcPr>
            <w:tcW w:w="851" w:type="dxa"/>
            <w:noWrap w:val="0"/>
            <w:vAlign w:val="center"/>
          </w:tcPr>
          <w:p w14:paraId="1D47260E">
            <w:pPr>
              <w:spacing w:line="320" w:lineRule="exact"/>
              <w:ind w:firstLine="0" w:firstLineChars="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5分</w:t>
            </w:r>
          </w:p>
        </w:tc>
        <w:tc>
          <w:tcPr>
            <w:tcW w:w="850" w:type="dxa"/>
            <w:noWrap w:val="0"/>
            <w:vAlign w:val="center"/>
          </w:tcPr>
          <w:p w14:paraId="191E4E1F">
            <w:pPr>
              <w:spacing w:line="320" w:lineRule="exact"/>
              <w:ind w:firstLine="480"/>
              <w:jc w:val="center"/>
              <w:rPr>
                <w:rFonts w:hint="default" w:ascii="Times New Roman" w:hAnsi="Times New Roman" w:eastAsia="宋体" w:cs="Times New Roman"/>
                <w:color w:val="auto"/>
                <w:sz w:val="24"/>
                <w:highlight w:val="none"/>
              </w:rPr>
            </w:pPr>
          </w:p>
        </w:tc>
        <w:tc>
          <w:tcPr>
            <w:tcW w:w="5259" w:type="dxa"/>
            <w:noWrap w:val="0"/>
            <w:tcMar>
              <w:top w:w="113" w:type="dxa"/>
              <w:bottom w:w="113" w:type="dxa"/>
            </w:tcMar>
            <w:vAlign w:val="top"/>
          </w:tcPr>
          <w:p w14:paraId="7A91DEE0">
            <w:pPr>
              <w:keepNext w:val="0"/>
              <w:keepLines w:val="0"/>
              <w:pageBreakBefore w:val="0"/>
              <w:widowControl w:val="0"/>
              <w:kinsoku/>
              <w:wordWrap/>
              <w:overflowPunct/>
              <w:topLinePunct w:val="0"/>
              <w:autoSpaceDE/>
              <w:autoSpaceDN/>
              <w:bidi w:val="0"/>
              <w:adjustRightInd w:val="0"/>
              <w:snapToGrid/>
              <w:spacing w:line="336" w:lineRule="exact"/>
              <w:ind w:firstLine="442"/>
              <w:textAlignment w:val="auto"/>
              <w:rPr>
                <w:rFonts w:hint="default" w:ascii="Times New Roman" w:hAnsi="Times New Roman" w:eastAsia="宋体" w:cs="Times New Roman"/>
                <w:color w:val="auto"/>
                <w:sz w:val="22"/>
                <w:szCs w:val="22"/>
                <w:highlight w:val="none"/>
              </w:rPr>
            </w:pPr>
            <w:r>
              <w:rPr>
                <w:rFonts w:hint="default" w:ascii="Times New Roman" w:hAnsi="Times New Roman" w:eastAsia="宋体" w:cs="Times New Roman"/>
                <w:color w:val="auto"/>
                <w:sz w:val="22"/>
                <w:szCs w:val="22"/>
                <w:highlight w:val="none"/>
              </w:rPr>
              <w:t>专利（发明专利，得2分；实用新型专利，得1分）、计算机软件著作权（得2分）、科技进步奖（国家级，得3分；省级，得2分；地市级，得1分）。以提供证书为准。</w:t>
            </w:r>
          </w:p>
        </w:tc>
      </w:tr>
      <w:tr w14:paraId="1837E7E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607" w:hRule="atLeast"/>
          <w:jc w:val="center"/>
        </w:trPr>
        <w:tc>
          <w:tcPr>
            <w:tcW w:w="1418" w:type="dxa"/>
            <w:vMerge w:val="continue"/>
            <w:noWrap w:val="0"/>
            <w:vAlign w:val="center"/>
          </w:tcPr>
          <w:p w14:paraId="27AD91B5">
            <w:pPr>
              <w:spacing w:line="520" w:lineRule="exact"/>
              <w:ind w:left="354" w:right="-31" w:rightChars="-15" w:hanging="354" w:hangingChars="147"/>
              <w:jc w:val="center"/>
              <w:rPr>
                <w:rFonts w:hint="default" w:ascii="Times New Roman" w:hAnsi="Times New Roman" w:eastAsia="宋体" w:cs="Times New Roman"/>
                <w:b/>
                <w:color w:val="auto"/>
                <w:sz w:val="24"/>
                <w:highlight w:val="none"/>
              </w:rPr>
            </w:pPr>
          </w:p>
        </w:tc>
        <w:tc>
          <w:tcPr>
            <w:tcW w:w="2341" w:type="dxa"/>
            <w:noWrap w:val="0"/>
            <w:vAlign w:val="center"/>
          </w:tcPr>
          <w:p w14:paraId="304E2A36">
            <w:pPr>
              <w:spacing w:line="320" w:lineRule="exact"/>
              <w:ind w:firstLine="0" w:firstLineChars="0"/>
              <w:jc w:val="both"/>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4、标准化工作</w:t>
            </w:r>
          </w:p>
        </w:tc>
        <w:tc>
          <w:tcPr>
            <w:tcW w:w="3260" w:type="dxa"/>
            <w:noWrap w:val="0"/>
            <w:vAlign w:val="center"/>
          </w:tcPr>
          <w:p w14:paraId="593DB291">
            <w:pPr>
              <w:spacing w:line="360" w:lineRule="exact"/>
              <w:ind w:firstLine="48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企业具有详细的技术和管理标准，并得到有效实施；参与过国家标准、行业标准或省级地方标准的制订</w:t>
            </w:r>
          </w:p>
        </w:tc>
        <w:tc>
          <w:tcPr>
            <w:tcW w:w="851" w:type="dxa"/>
            <w:noWrap w:val="0"/>
            <w:vAlign w:val="center"/>
          </w:tcPr>
          <w:p w14:paraId="1A0F729D">
            <w:pPr>
              <w:spacing w:line="320" w:lineRule="exact"/>
              <w:ind w:firstLine="0" w:firstLineChars="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5分</w:t>
            </w:r>
          </w:p>
        </w:tc>
        <w:tc>
          <w:tcPr>
            <w:tcW w:w="850" w:type="dxa"/>
            <w:noWrap w:val="0"/>
            <w:vAlign w:val="center"/>
          </w:tcPr>
          <w:p w14:paraId="7C0189D8">
            <w:pPr>
              <w:spacing w:line="320" w:lineRule="exact"/>
              <w:ind w:firstLine="480"/>
              <w:jc w:val="center"/>
              <w:rPr>
                <w:rFonts w:hint="default" w:ascii="Times New Roman" w:hAnsi="Times New Roman" w:eastAsia="宋体" w:cs="Times New Roman"/>
                <w:color w:val="auto"/>
                <w:sz w:val="24"/>
                <w:highlight w:val="none"/>
              </w:rPr>
            </w:pPr>
          </w:p>
        </w:tc>
        <w:tc>
          <w:tcPr>
            <w:tcW w:w="5259" w:type="dxa"/>
            <w:noWrap w:val="0"/>
            <w:tcMar>
              <w:top w:w="113" w:type="dxa"/>
              <w:bottom w:w="113" w:type="dxa"/>
            </w:tcMar>
            <w:vAlign w:val="center"/>
          </w:tcPr>
          <w:p w14:paraId="234FCBA9">
            <w:pPr>
              <w:keepNext w:val="0"/>
              <w:keepLines w:val="0"/>
              <w:pageBreakBefore w:val="0"/>
              <w:widowControl w:val="0"/>
              <w:kinsoku/>
              <w:wordWrap/>
              <w:overflowPunct/>
              <w:topLinePunct w:val="0"/>
              <w:autoSpaceDE/>
              <w:autoSpaceDN/>
              <w:bidi w:val="0"/>
              <w:adjustRightInd/>
              <w:snapToGrid/>
              <w:spacing w:line="240" w:lineRule="exact"/>
              <w:ind w:firstLine="440"/>
              <w:textAlignment w:val="auto"/>
              <w:rPr>
                <w:rFonts w:hint="default" w:ascii="Times New Roman" w:hAnsi="Times New Roman" w:eastAsia="宋体" w:cs="Times New Roman"/>
                <w:color w:val="auto"/>
                <w:sz w:val="22"/>
                <w:szCs w:val="22"/>
                <w:highlight w:val="none"/>
              </w:rPr>
            </w:pPr>
            <w:r>
              <w:rPr>
                <w:rFonts w:hint="default" w:ascii="Times New Roman" w:hAnsi="Times New Roman" w:eastAsia="宋体" w:cs="Times New Roman"/>
                <w:color w:val="auto"/>
                <w:sz w:val="22"/>
                <w:szCs w:val="22"/>
                <w:highlight w:val="none"/>
              </w:rPr>
              <w:t>国家标准，得4分</w:t>
            </w:r>
            <w:r>
              <w:rPr>
                <w:rFonts w:hint="default" w:ascii="Times New Roman" w:hAnsi="Times New Roman" w:eastAsia="宋体" w:cs="Times New Roman"/>
                <w:color w:val="auto"/>
                <w:sz w:val="22"/>
                <w:szCs w:val="22"/>
                <w:highlight w:val="none"/>
                <w:lang w:eastAsia="zh-CN"/>
              </w:rPr>
              <w:t>；</w:t>
            </w:r>
            <w:r>
              <w:rPr>
                <w:rFonts w:hint="default" w:ascii="Times New Roman" w:hAnsi="Times New Roman" w:eastAsia="宋体" w:cs="Times New Roman"/>
                <w:color w:val="auto"/>
                <w:sz w:val="22"/>
                <w:szCs w:val="22"/>
                <w:highlight w:val="none"/>
              </w:rPr>
              <w:t>行业标准，得3分</w:t>
            </w:r>
            <w:r>
              <w:rPr>
                <w:rFonts w:hint="default" w:ascii="Times New Roman" w:hAnsi="Times New Roman" w:eastAsia="宋体" w:cs="Times New Roman"/>
                <w:color w:val="auto"/>
                <w:sz w:val="22"/>
                <w:szCs w:val="22"/>
                <w:highlight w:val="none"/>
                <w:lang w:eastAsia="zh-CN"/>
              </w:rPr>
              <w:t>；</w:t>
            </w:r>
            <w:r>
              <w:rPr>
                <w:rFonts w:hint="default" w:ascii="Times New Roman" w:hAnsi="Times New Roman" w:eastAsia="宋体" w:cs="Times New Roman"/>
                <w:color w:val="auto"/>
                <w:sz w:val="22"/>
                <w:szCs w:val="22"/>
                <w:highlight w:val="none"/>
              </w:rPr>
              <w:t>地方标准</w:t>
            </w:r>
            <w:r>
              <w:rPr>
                <w:rFonts w:hint="default" w:ascii="Times New Roman" w:hAnsi="Times New Roman" w:eastAsia="宋体" w:cs="Times New Roman"/>
                <w:color w:val="auto"/>
                <w:sz w:val="22"/>
                <w:szCs w:val="22"/>
                <w:highlight w:val="none"/>
                <w:lang w:eastAsia="zh-CN"/>
              </w:rPr>
              <w:t>，</w:t>
            </w:r>
            <w:r>
              <w:rPr>
                <w:rFonts w:hint="default" w:ascii="Times New Roman" w:hAnsi="Times New Roman" w:eastAsia="宋体" w:cs="Times New Roman"/>
                <w:color w:val="auto"/>
                <w:sz w:val="22"/>
                <w:szCs w:val="22"/>
                <w:highlight w:val="none"/>
              </w:rPr>
              <w:t>得2分</w:t>
            </w:r>
            <w:r>
              <w:rPr>
                <w:rFonts w:hint="default" w:ascii="Times New Roman" w:hAnsi="Times New Roman" w:eastAsia="宋体" w:cs="Times New Roman"/>
                <w:color w:val="auto"/>
                <w:sz w:val="22"/>
                <w:szCs w:val="22"/>
                <w:highlight w:val="none"/>
                <w:lang w:eastAsia="zh-CN"/>
              </w:rPr>
              <w:t>；</w:t>
            </w:r>
            <w:r>
              <w:rPr>
                <w:rFonts w:hint="default" w:ascii="Times New Roman" w:hAnsi="Times New Roman" w:eastAsia="宋体" w:cs="Times New Roman"/>
                <w:color w:val="auto"/>
                <w:sz w:val="22"/>
                <w:szCs w:val="22"/>
                <w:highlight w:val="none"/>
              </w:rPr>
              <w:t>团体标准</w:t>
            </w:r>
            <w:r>
              <w:rPr>
                <w:rFonts w:hint="default" w:ascii="Times New Roman" w:hAnsi="Times New Roman" w:eastAsia="宋体" w:cs="Times New Roman"/>
                <w:color w:val="auto"/>
                <w:sz w:val="22"/>
                <w:szCs w:val="22"/>
                <w:highlight w:val="none"/>
                <w:lang w:eastAsia="zh-CN"/>
              </w:rPr>
              <w:t>，</w:t>
            </w:r>
            <w:r>
              <w:rPr>
                <w:rFonts w:hint="default" w:ascii="Times New Roman" w:hAnsi="Times New Roman" w:eastAsia="宋体" w:cs="Times New Roman"/>
                <w:color w:val="auto"/>
                <w:sz w:val="22"/>
                <w:szCs w:val="22"/>
                <w:highlight w:val="none"/>
              </w:rPr>
              <w:t>得2分</w:t>
            </w:r>
            <w:r>
              <w:rPr>
                <w:rFonts w:hint="default" w:ascii="Times New Roman" w:hAnsi="Times New Roman" w:eastAsia="宋体" w:cs="Times New Roman"/>
                <w:color w:val="auto"/>
                <w:sz w:val="22"/>
                <w:szCs w:val="22"/>
                <w:highlight w:val="none"/>
                <w:lang w:eastAsia="zh-CN"/>
              </w:rPr>
              <w:t>；</w:t>
            </w:r>
            <w:r>
              <w:rPr>
                <w:rFonts w:hint="default" w:ascii="Times New Roman" w:hAnsi="Times New Roman" w:eastAsia="宋体" w:cs="Times New Roman"/>
                <w:color w:val="auto"/>
                <w:sz w:val="22"/>
                <w:szCs w:val="22"/>
                <w:highlight w:val="none"/>
              </w:rPr>
              <w:t>企业标准</w:t>
            </w:r>
            <w:r>
              <w:rPr>
                <w:rFonts w:hint="default" w:ascii="Times New Roman" w:hAnsi="Times New Roman" w:eastAsia="宋体" w:cs="Times New Roman"/>
                <w:color w:val="auto"/>
                <w:sz w:val="22"/>
                <w:szCs w:val="22"/>
                <w:highlight w:val="none"/>
                <w:lang w:eastAsia="zh-CN"/>
              </w:rPr>
              <w:t>，</w:t>
            </w:r>
            <w:r>
              <w:rPr>
                <w:rFonts w:hint="default" w:ascii="Times New Roman" w:hAnsi="Times New Roman" w:eastAsia="宋体" w:cs="Times New Roman"/>
                <w:color w:val="auto"/>
                <w:sz w:val="22"/>
                <w:szCs w:val="22"/>
                <w:highlight w:val="none"/>
              </w:rPr>
              <w:t>得2分</w:t>
            </w:r>
            <w:r>
              <w:rPr>
                <w:rFonts w:hint="default" w:ascii="Times New Roman" w:hAnsi="Times New Roman" w:eastAsia="宋体" w:cs="Times New Roman"/>
                <w:color w:val="auto"/>
                <w:sz w:val="22"/>
                <w:szCs w:val="22"/>
                <w:highlight w:val="none"/>
                <w:lang w:eastAsia="zh-CN"/>
              </w:rPr>
              <w:t>，</w:t>
            </w:r>
            <w:r>
              <w:rPr>
                <w:rFonts w:hint="default" w:ascii="Times New Roman" w:hAnsi="Times New Roman" w:eastAsia="宋体" w:cs="Times New Roman"/>
                <w:color w:val="auto"/>
                <w:sz w:val="22"/>
                <w:szCs w:val="22"/>
                <w:highlight w:val="none"/>
              </w:rPr>
              <w:t>同一项目按最高得分，不重复加分。作为主编单位加1分，以全国标准信息公共服务平台查询为准。</w:t>
            </w:r>
          </w:p>
        </w:tc>
      </w:tr>
    </w:tbl>
    <w:p w14:paraId="0422D5DC">
      <w:pPr>
        <w:spacing w:line="60" w:lineRule="exact"/>
        <w:ind w:firstLine="420"/>
        <w:rPr>
          <w:rFonts w:hint="default" w:ascii="Times New Roman" w:hAnsi="Times New Roman" w:eastAsia="宋体" w:cs="Times New Roman"/>
          <w:color w:val="auto"/>
          <w:sz w:val="21"/>
          <w:highlight w:val="none"/>
        </w:rPr>
      </w:pPr>
    </w:p>
    <w:tbl>
      <w:tblPr>
        <w:tblStyle w:val="27"/>
        <w:tblW w:w="13961"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1333"/>
        <w:gridCol w:w="2402"/>
        <w:gridCol w:w="3285"/>
        <w:gridCol w:w="840"/>
        <w:gridCol w:w="825"/>
        <w:gridCol w:w="5276"/>
      </w:tblGrid>
      <w:tr w14:paraId="502F522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329" w:hRule="atLeast"/>
          <w:jc w:val="center"/>
        </w:trPr>
        <w:tc>
          <w:tcPr>
            <w:tcW w:w="1333" w:type="dxa"/>
            <w:vMerge w:val="restart"/>
            <w:noWrap w:val="0"/>
            <w:vAlign w:val="center"/>
          </w:tcPr>
          <w:p w14:paraId="1086EEDE">
            <w:pPr>
              <w:spacing w:line="520" w:lineRule="exact"/>
              <w:ind w:left="388" w:right="-34" w:rightChars="-16" w:hanging="388" w:hangingChars="161"/>
              <w:jc w:val="left"/>
              <w:rPr>
                <w:rFonts w:hint="default" w:ascii="Times New Roman" w:hAnsi="Times New Roman" w:eastAsia="宋体" w:cs="Times New Roman"/>
                <w:b/>
                <w:color w:val="auto"/>
                <w:sz w:val="24"/>
                <w:highlight w:val="none"/>
              </w:rPr>
            </w:pPr>
            <w:r>
              <w:rPr>
                <w:rFonts w:hint="default" w:ascii="Times New Roman" w:hAnsi="Times New Roman" w:eastAsia="宋体" w:cs="Times New Roman"/>
                <w:b/>
                <w:color w:val="auto"/>
                <w:sz w:val="24"/>
                <w:highlight w:val="none"/>
              </w:rPr>
              <w:t>五、信用记录指标</w:t>
            </w:r>
          </w:p>
          <w:p w14:paraId="0F3C96ED">
            <w:pPr>
              <w:spacing w:line="520" w:lineRule="exact"/>
              <w:ind w:left="494" w:right="-34" w:rightChars="-16" w:hanging="494" w:hangingChars="205"/>
              <w:jc w:val="center"/>
              <w:rPr>
                <w:rFonts w:hint="default" w:ascii="Times New Roman" w:hAnsi="Times New Roman" w:eastAsia="宋体" w:cs="Times New Roman"/>
                <w:b/>
                <w:color w:val="auto"/>
                <w:sz w:val="21"/>
                <w:highlight w:val="none"/>
              </w:rPr>
            </w:pPr>
            <w:r>
              <w:rPr>
                <w:rFonts w:hint="default" w:ascii="Times New Roman" w:hAnsi="Times New Roman" w:eastAsia="宋体" w:cs="Times New Roman"/>
                <w:b/>
                <w:color w:val="auto"/>
                <w:sz w:val="24"/>
                <w:highlight w:val="none"/>
                <w:lang w:val="en-US" w:eastAsia="zh-CN"/>
              </w:rPr>
              <w:t>25</w:t>
            </w:r>
            <w:r>
              <w:rPr>
                <w:rFonts w:hint="default" w:ascii="Times New Roman" w:hAnsi="Times New Roman" w:eastAsia="宋体" w:cs="Times New Roman"/>
                <w:b/>
                <w:color w:val="auto"/>
                <w:sz w:val="24"/>
                <w:highlight w:val="none"/>
              </w:rPr>
              <w:t>分</w:t>
            </w:r>
          </w:p>
        </w:tc>
        <w:tc>
          <w:tcPr>
            <w:tcW w:w="2402" w:type="dxa"/>
            <w:noWrap w:val="0"/>
            <w:vAlign w:val="center"/>
          </w:tcPr>
          <w:p w14:paraId="3F63EE42">
            <w:pPr>
              <w:spacing w:line="320" w:lineRule="exact"/>
              <w:ind w:firstLine="0" w:firstLineChars="0"/>
              <w:jc w:val="left"/>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lang w:val="en-US" w:eastAsia="zh-CN"/>
              </w:rPr>
              <w:t>1、</w:t>
            </w:r>
            <w:r>
              <w:rPr>
                <w:rFonts w:hint="default" w:ascii="Times New Roman" w:hAnsi="Times New Roman" w:eastAsia="宋体" w:cs="Times New Roman"/>
                <w:color w:val="auto"/>
                <w:sz w:val="24"/>
                <w:highlight w:val="none"/>
              </w:rPr>
              <w:t>企业履约评价</w:t>
            </w:r>
          </w:p>
        </w:tc>
        <w:tc>
          <w:tcPr>
            <w:tcW w:w="3285" w:type="dxa"/>
            <w:noWrap w:val="0"/>
            <w:vAlign w:val="center"/>
          </w:tcPr>
          <w:p w14:paraId="3955D9A3">
            <w:pPr>
              <w:spacing w:line="280" w:lineRule="exact"/>
              <w:ind w:firstLine="480" w:firstLineChars="20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企业履行合同、诚信经营、获得广东省市场协会颁发的广东省守合同重信用企业称号</w:t>
            </w:r>
          </w:p>
        </w:tc>
        <w:tc>
          <w:tcPr>
            <w:tcW w:w="840" w:type="dxa"/>
            <w:noWrap w:val="0"/>
            <w:vAlign w:val="center"/>
          </w:tcPr>
          <w:p w14:paraId="3A2661FB">
            <w:pPr>
              <w:spacing w:line="280" w:lineRule="exact"/>
              <w:ind w:firstLine="0" w:firstLineChars="0"/>
              <w:jc w:val="center"/>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5分</w:t>
            </w:r>
          </w:p>
        </w:tc>
        <w:tc>
          <w:tcPr>
            <w:tcW w:w="825" w:type="dxa"/>
            <w:noWrap w:val="0"/>
            <w:vAlign w:val="center"/>
          </w:tcPr>
          <w:p w14:paraId="22C26BB9">
            <w:pPr>
              <w:spacing w:line="280" w:lineRule="exact"/>
              <w:ind w:firstLine="480" w:firstLineChars="200"/>
              <w:jc w:val="center"/>
              <w:rPr>
                <w:rFonts w:hint="default" w:ascii="Times New Roman" w:hAnsi="Times New Roman" w:eastAsia="宋体" w:cs="Times New Roman"/>
                <w:color w:val="auto"/>
                <w:sz w:val="24"/>
                <w:highlight w:val="none"/>
              </w:rPr>
            </w:pPr>
          </w:p>
        </w:tc>
        <w:tc>
          <w:tcPr>
            <w:tcW w:w="5276" w:type="dxa"/>
            <w:noWrap w:val="0"/>
            <w:tcMar>
              <w:top w:w="113" w:type="dxa"/>
              <w:bottom w:w="113" w:type="dxa"/>
            </w:tcMar>
            <w:vAlign w:val="center"/>
          </w:tcPr>
          <w:p w14:paraId="0301BF84">
            <w:pPr>
              <w:keepNext w:val="0"/>
              <w:keepLines w:val="0"/>
              <w:pageBreakBefore w:val="0"/>
              <w:widowControl w:val="0"/>
              <w:kinsoku/>
              <w:wordWrap/>
              <w:overflowPunct/>
              <w:topLinePunct w:val="0"/>
              <w:autoSpaceDE/>
              <w:autoSpaceDN/>
              <w:bidi w:val="0"/>
              <w:adjustRightInd w:val="0"/>
              <w:snapToGrid/>
              <w:spacing w:line="336" w:lineRule="exact"/>
              <w:ind w:firstLine="442"/>
              <w:textAlignment w:val="auto"/>
              <w:rPr>
                <w:rFonts w:hint="default" w:ascii="Times New Roman" w:hAnsi="Times New Roman" w:eastAsia="宋体" w:cs="Times New Roman"/>
                <w:color w:val="auto"/>
                <w:sz w:val="22"/>
                <w:szCs w:val="22"/>
                <w:highlight w:val="none"/>
              </w:rPr>
            </w:pPr>
            <w:r>
              <w:rPr>
                <w:rFonts w:hint="default" w:ascii="Times New Roman" w:hAnsi="Times New Roman" w:eastAsia="宋体" w:cs="Times New Roman"/>
                <w:color w:val="auto"/>
                <w:sz w:val="22"/>
                <w:szCs w:val="22"/>
                <w:highlight w:val="none"/>
              </w:rPr>
              <w:t>最近一年度，获得AAAAA级称号的得5分；获得AAAA级称号的得4分；获得AAA级称号的得3分；没有获得称号的不得分。</w:t>
            </w:r>
          </w:p>
        </w:tc>
      </w:tr>
      <w:tr w14:paraId="35808DF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61" w:hRule="atLeast"/>
          <w:jc w:val="center"/>
        </w:trPr>
        <w:tc>
          <w:tcPr>
            <w:tcW w:w="1333" w:type="dxa"/>
            <w:vMerge w:val="continue"/>
            <w:noWrap w:val="0"/>
            <w:vAlign w:val="center"/>
          </w:tcPr>
          <w:p w14:paraId="2F6A58AF">
            <w:pPr>
              <w:spacing w:line="520" w:lineRule="exact"/>
              <w:ind w:left="388" w:right="-34" w:rightChars="-16" w:hanging="388" w:hangingChars="161"/>
              <w:jc w:val="left"/>
              <w:rPr>
                <w:rFonts w:hint="default" w:ascii="Times New Roman" w:hAnsi="Times New Roman" w:eastAsia="宋体" w:cs="Times New Roman"/>
                <w:b/>
                <w:color w:val="auto"/>
                <w:sz w:val="24"/>
                <w:highlight w:val="none"/>
              </w:rPr>
            </w:pPr>
          </w:p>
        </w:tc>
        <w:tc>
          <w:tcPr>
            <w:tcW w:w="2402" w:type="dxa"/>
            <w:noWrap w:val="0"/>
            <w:vAlign w:val="center"/>
          </w:tcPr>
          <w:p w14:paraId="19A5D2F4">
            <w:pPr>
              <w:spacing w:line="320" w:lineRule="exact"/>
              <w:ind w:firstLine="0" w:firstLineChars="0"/>
              <w:jc w:val="left"/>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lang w:val="en-US" w:eastAsia="zh-CN"/>
              </w:rPr>
              <w:t>2、</w:t>
            </w:r>
            <w:r>
              <w:rPr>
                <w:rFonts w:hint="default" w:ascii="Times New Roman" w:hAnsi="Times New Roman" w:eastAsia="宋体" w:cs="Times New Roman"/>
                <w:color w:val="auto"/>
                <w:sz w:val="24"/>
                <w:highlight w:val="none"/>
              </w:rPr>
              <w:t>行为记录</w:t>
            </w:r>
          </w:p>
        </w:tc>
        <w:tc>
          <w:tcPr>
            <w:tcW w:w="3285" w:type="dxa"/>
            <w:noWrap w:val="0"/>
            <w:vAlign w:val="center"/>
          </w:tcPr>
          <w:p w14:paraId="6B0F8A7E">
            <w:pPr>
              <w:spacing w:line="360" w:lineRule="exact"/>
              <w:ind w:firstLine="48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企业经营中无违反有关法律、法规、规章或强制性标准和执业行为规范，无构成不良行为</w:t>
            </w:r>
          </w:p>
        </w:tc>
        <w:tc>
          <w:tcPr>
            <w:tcW w:w="840" w:type="dxa"/>
            <w:noWrap w:val="0"/>
            <w:vAlign w:val="center"/>
          </w:tcPr>
          <w:p w14:paraId="521099D8">
            <w:pPr>
              <w:spacing w:line="320" w:lineRule="exact"/>
              <w:ind w:firstLine="0" w:firstLineChars="0"/>
              <w:jc w:val="center"/>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lang w:val="en-US" w:eastAsia="zh-CN"/>
              </w:rPr>
              <w:t>20</w:t>
            </w:r>
            <w:r>
              <w:rPr>
                <w:rFonts w:hint="default" w:ascii="Times New Roman" w:hAnsi="Times New Roman" w:eastAsia="宋体" w:cs="Times New Roman"/>
                <w:color w:val="auto"/>
                <w:sz w:val="24"/>
                <w:highlight w:val="none"/>
              </w:rPr>
              <w:t>分</w:t>
            </w:r>
          </w:p>
        </w:tc>
        <w:tc>
          <w:tcPr>
            <w:tcW w:w="825" w:type="dxa"/>
            <w:noWrap w:val="0"/>
            <w:vAlign w:val="center"/>
          </w:tcPr>
          <w:p w14:paraId="09FD0A2F">
            <w:pPr>
              <w:spacing w:line="320" w:lineRule="exact"/>
              <w:ind w:firstLine="480"/>
              <w:jc w:val="center"/>
              <w:rPr>
                <w:rFonts w:hint="default" w:ascii="Times New Roman" w:hAnsi="Times New Roman" w:eastAsia="宋体" w:cs="Times New Roman"/>
                <w:color w:val="auto"/>
                <w:sz w:val="24"/>
                <w:highlight w:val="none"/>
              </w:rPr>
            </w:pPr>
          </w:p>
        </w:tc>
        <w:tc>
          <w:tcPr>
            <w:tcW w:w="5276" w:type="dxa"/>
            <w:noWrap w:val="0"/>
            <w:tcMar>
              <w:top w:w="113" w:type="dxa"/>
              <w:bottom w:w="113" w:type="dxa"/>
            </w:tcMar>
            <w:vAlign w:val="center"/>
          </w:tcPr>
          <w:p w14:paraId="71378198">
            <w:pPr>
              <w:keepNext w:val="0"/>
              <w:keepLines w:val="0"/>
              <w:pageBreakBefore w:val="0"/>
              <w:widowControl w:val="0"/>
              <w:kinsoku/>
              <w:wordWrap/>
              <w:overflowPunct/>
              <w:topLinePunct w:val="0"/>
              <w:autoSpaceDE/>
              <w:autoSpaceDN/>
              <w:bidi w:val="0"/>
              <w:adjustRightInd w:val="0"/>
              <w:snapToGrid/>
              <w:spacing w:line="336" w:lineRule="exact"/>
              <w:ind w:firstLine="442"/>
              <w:textAlignment w:val="auto"/>
              <w:rPr>
                <w:rFonts w:hint="default" w:ascii="Times New Roman" w:hAnsi="Times New Roman" w:eastAsia="宋体" w:cs="Times New Roman"/>
                <w:color w:val="auto"/>
                <w:sz w:val="22"/>
                <w:szCs w:val="22"/>
                <w:highlight w:val="none"/>
              </w:rPr>
            </w:pPr>
            <w:r>
              <w:rPr>
                <w:rFonts w:hint="default" w:ascii="Times New Roman" w:hAnsi="Times New Roman" w:eastAsia="宋体" w:cs="Times New Roman"/>
                <w:color w:val="auto"/>
                <w:sz w:val="22"/>
                <w:szCs w:val="22"/>
                <w:highlight w:val="none"/>
              </w:rPr>
              <w:t>企业没有不良行为记录得</w:t>
            </w:r>
            <w:r>
              <w:rPr>
                <w:rFonts w:hint="default" w:ascii="Times New Roman" w:hAnsi="Times New Roman" w:eastAsia="宋体" w:cs="Times New Roman"/>
                <w:color w:val="auto"/>
                <w:sz w:val="22"/>
                <w:szCs w:val="22"/>
                <w:highlight w:val="none"/>
                <w:lang w:val="en-US" w:eastAsia="zh-CN"/>
              </w:rPr>
              <w:t>20</w:t>
            </w:r>
            <w:r>
              <w:rPr>
                <w:rFonts w:hint="default" w:ascii="Times New Roman" w:hAnsi="Times New Roman" w:eastAsia="宋体" w:cs="Times New Roman"/>
                <w:color w:val="auto"/>
                <w:sz w:val="22"/>
                <w:szCs w:val="22"/>
                <w:highlight w:val="none"/>
              </w:rPr>
              <w:t>分。根据国家和本省有关违法违规、不良行为的规定，企业或企业法人被列入法院被执行对象的每起扣15分，受建设行政主管部门或其委托的执行监督机构处罚的每起扣5分，受其他行政部门处罚的视不良行为严重程度酌情扣分（以上不良行为处罚信息以政府部门信息公开平台查实并公布的信息为准，同一行为按最重的扣分）。每年不按建设主管部门要求在统计系统平台申报企业统计数据的扣5分。</w:t>
            </w:r>
          </w:p>
        </w:tc>
      </w:tr>
      <w:tr w14:paraId="650D4A3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109" w:hRule="atLeast"/>
          <w:jc w:val="center"/>
        </w:trPr>
        <w:tc>
          <w:tcPr>
            <w:tcW w:w="1333" w:type="dxa"/>
            <w:noWrap w:val="0"/>
            <w:vAlign w:val="center"/>
          </w:tcPr>
          <w:p w14:paraId="205F4118">
            <w:pPr>
              <w:spacing w:line="520" w:lineRule="exact"/>
              <w:ind w:left="354" w:right="-34" w:rightChars="-16" w:hanging="354" w:hangingChars="147"/>
              <w:rPr>
                <w:rFonts w:hint="default" w:ascii="Times New Roman" w:hAnsi="Times New Roman" w:eastAsia="宋体" w:cs="Times New Roman"/>
                <w:b/>
                <w:color w:val="auto"/>
                <w:sz w:val="21"/>
                <w:highlight w:val="none"/>
              </w:rPr>
            </w:pPr>
            <w:r>
              <w:rPr>
                <w:rFonts w:hint="default" w:ascii="Times New Roman" w:hAnsi="Times New Roman" w:eastAsia="宋体" w:cs="Times New Roman"/>
                <w:b/>
                <w:color w:val="auto"/>
                <w:sz w:val="24"/>
                <w:highlight w:val="none"/>
              </w:rPr>
              <w:t>六、社会责任</w:t>
            </w:r>
            <w:r>
              <w:rPr>
                <w:rFonts w:hint="default" w:ascii="Times New Roman" w:hAnsi="Times New Roman" w:cs="Times New Roman"/>
                <w:b/>
                <w:color w:val="auto"/>
                <w:sz w:val="24"/>
                <w:highlight w:val="none"/>
                <w:lang w:val="en-US" w:eastAsia="zh-CN"/>
              </w:rPr>
              <w:t>5</w:t>
            </w:r>
            <w:r>
              <w:rPr>
                <w:rFonts w:hint="default" w:ascii="Times New Roman" w:hAnsi="Times New Roman" w:eastAsia="宋体" w:cs="Times New Roman"/>
                <w:b/>
                <w:color w:val="auto"/>
                <w:sz w:val="24"/>
                <w:highlight w:val="none"/>
              </w:rPr>
              <w:t>分</w:t>
            </w:r>
          </w:p>
        </w:tc>
        <w:tc>
          <w:tcPr>
            <w:tcW w:w="2402" w:type="dxa"/>
            <w:noWrap w:val="0"/>
            <w:vAlign w:val="center"/>
          </w:tcPr>
          <w:p w14:paraId="1C0AC4E9">
            <w:pPr>
              <w:spacing w:line="320" w:lineRule="exact"/>
              <w:ind w:firstLine="48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社会责任</w:t>
            </w:r>
          </w:p>
        </w:tc>
        <w:tc>
          <w:tcPr>
            <w:tcW w:w="3285" w:type="dxa"/>
            <w:noWrap w:val="0"/>
            <w:vAlign w:val="center"/>
          </w:tcPr>
          <w:p w14:paraId="24F9C1E7">
            <w:pPr>
              <w:spacing w:line="320" w:lineRule="exact"/>
              <w:ind w:firstLine="48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企业在从事建筑业活动、参与抢险救灾或社会其他公益活动中获得政府主管部门表彰、表扬的</w:t>
            </w:r>
          </w:p>
        </w:tc>
        <w:tc>
          <w:tcPr>
            <w:tcW w:w="840" w:type="dxa"/>
            <w:noWrap w:val="0"/>
            <w:vAlign w:val="center"/>
          </w:tcPr>
          <w:p w14:paraId="2118D2F8">
            <w:pPr>
              <w:spacing w:line="320" w:lineRule="exact"/>
              <w:ind w:firstLine="0" w:firstLineChars="0"/>
              <w:jc w:val="center"/>
              <w:rPr>
                <w:rFonts w:hint="default" w:ascii="Times New Roman" w:hAnsi="Times New Roman" w:eastAsia="宋体" w:cs="Times New Roman"/>
                <w:color w:val="auto"/>
                <w:sz w:val="24"/>
                <w:highlight w:val="none"/>
              </w:rPr>
            </w:pPr>
            <w:r>
              <w:rPr>
                <w:rFonts w:hint="default" w:ascii="Times New Roman" w:hAnsi="Times New Roman" w:cs="Times New Roman"/>
                <w:color w:val="auto"/>
                <w:sz w:val="24"/>
                <w:highlight w:val="none"/>
                <w:lang w:val="en-US" w:eastAsia="zh-CN"/>
              </w:rPr>
              <w:t>5</w:t>
            </w:r>
            <w:r>
              <w:rPr>
                <w:rFonts w:hint="default" w:ascii="Times New Roman" w:hAnsi="Times New Roman" w:eastAsia="宋体" w:cs="Times New Roman"/>
                <w:color w:val="auto"/>
                <w:sz w:val="24"/>
                <w:highlight w:val="none"/>
              </w:rPr>
              <w:t>分</w:t>
            </w:r>
          </w:p>
        </w:tc>
        <w:tc>
          <w:tcPr>
            <w:tcW w:w="825" w:type="dxa"/>
            <w:noWrap w:val="0"/>
            <w:vAlign w:val="center"/>
          </w:tcPr>
          <w:p w14:paraId="38BA3408">
            <w:pPr>
              <w:spacing w:line="320" w:lineRule="exact"/>
              <w:ind w:firstLine="480"/>
              <w:jc w:val="center"/>
              <w:rPr>
                <w:rFonts w:hint="default" w:ascii="Times New Roman" w:hAnsi="Times New Roman" w:eastAsia="宋体" w:cs="Times New Roman"/>
                <w:color w:val="auto"/>
                <w:sz w:val="24"/>
                <w:highlight w:val="none"/>
              </w:rPr>
            </w:pPr>
          </w:p>
        </w:tc>
        <w:tc>
          <w:tcPr>
            <w:tcW w:w="5276" w:type="dxa"/>
            <w:noWrap w:val="0"/>
            <w:tcMar>
              <w:top w:w="113" w:type="dxa"/>
              <w:bottom w:w="113" w:type="dxa"/>
            </w:tcMar>
            <w:vAlign w:val="center"/>
          </w:tcPr>
          <w:p w14:paraId="5BDFF368">
            <w:pPr>
              <w:keepNext w:val="0"/>
              <w:keepLines w:val="0"/>
              <w:pageBreakBefore w:val="0"/>
              <w:widowControl w:val="0"/>
              <w:kinsoku/>
              <w:wordWrap/>
              <w:overflowPunct/>
              <w:topLinePunct w:val="0"/>
              <w:autoSpaceDE/>
              <w:autoSpaceDN/>
              <w:bidi w:val="0"/>
              <w:adjustRightInd w:val="0"/>
              <w:snapToGrid/>
              <w:spacing w:line="336" w:lineRule="exact"/>
              <w:ind w:firstLine="442"/>
              <w:textAlignment w:val="auto"/>
              <w:rPr>
                <w:rFonts w:hint="default" w:ascii="Times New Roman" w:hAnsi="Times New Roman" w:eastAsia="宋体" w:cs="Times New Roman"/>
                <w:color w:val="auto"/>
                <w:sz w:val="22"/>
                <w:szCs w:val="22"/>
                <w:highlight w:val="none"/>
              </w:rPr>
            </w:pPr>
            <w:r>
              <w:rPr>
                <w:rFonts w:hint="default" w:ascii="Times New Roman" w:hAnsi="Times New Roman" w:eastAsia="宋体" w:cs="Times New Roman"/>
                <w:color w:val="auto"/>
                <w:sz w:val="22"/>
                <w:szCs w:val="22"/>
                <w:highlight w:val="none"/>
              </w:rPr>
              <w:t>企业在从事建筑业活动、参与抢险救灾、扶贫、援建项目、“百千万工程”或社会其他公益活动中获得政府主管部门表彰、表扬的；获国家级加5分，部级加4分，省级加3分，地市级加2分。（本项满分5分）。</w:t>
            </w:r>
          </w:p>
        </w:tc>
      </w:tr>
    </w:tbl>
    <w:p w14:paraId="6B33C516">
      <w:pPr>
        <w:snapToGrid w:val="0"/>
        <w:spacing w:line="240" w:lineRule="auto"/>
        <w:ind w:left="1027" w:leftChars="95" w:right="-323" w:rightChars="-154" w:hanging="828" w:hangingChars="345"/>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注：1.本表所称生产安全较大事故，是指《生产安全事故报告和调查处理条例》（国务院令第493号）规定的“造成3人以上10人以下死亡，或者10人以上50人以下重伤，或者1000万元以上5000万元以下直接经济损失的事故”。</w:t>
      </w:r>
    </w:p>
    <w:p w14:paraId="5CC7E43A">
      <w:pPr>
        <w:snapToGrid w:val="0"/>
        <w:spacing w:line="240" w:lineRule="auto"/>
        <w:ind w:left="935" w:leftChars="250" w:hanging="410" w:hangingChars="171"/>
        <w:rPr>
          <w:rFonts w:hint="default" w:ascii="Times New Roman" w:hAnsi="Times New Roman" w:eastAsia="宋体" w:cs="Times New Roman"/>
          <w:color w:val="auto"/>
          <w:sz w:val="24"/>
          <w:highlight w:val="none"/>
          <w:lang w:val="en-US" w:eastAsia="zh-CN"/>
        </w:rPr>
      </w:pPr>
      <w:r>
        <w:rPr>
          <w:rFonts w:hint="default" w:ascii="Times New Roman" w:hAnsi="Times New Roman" w:eastAsia="宋体" w:cs="Times New Roman"/>
          <w:color w:val="auto"/>
          <w:sz w:val="24"/>
          <w:highlight w:val="none"/>
        </w:rPr>
        <w:t>2.本表所要求提供的指标均为申报年度前3年的指标。</w:t>
      </w:r>
      <w:r>
        <w:rPr>
          <w:rFonts w:hint="default"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lang w:val="en-US" w:eastAsia="zh-CN"/>
        </w:rPr>
        <w:t>申报前3年的1月1日到申报前1年的12月30日</w:t>
      </w:r>
      <w:r>
        <w:rPr>
          <w:rFonts w:hint="default" w:ascii="Times New Roman" w:hAnsi="Times New Roman" w:cs="Times New Roman"/>
          <w:color w:val="auto"/>
          <w:sz w:val="24"/>
          <w:highlight w:val="none"/>
          <w:lang w:eastAsia="zh-CN"/>
        </w:rPr>
        <w:t>，</w:t>
      </w:r>
      <w:r>
        <w:rPr>
          <w:rFonts w:hint="default" w:ascii="Times New Roman" w:hAnsi="Times New Roman" w:cs="Times New Roman"/>
          <w:color w:val="auto"/>
          <w:sz w:val="24"/>
          <w:highlight w:val="none"/>
          <w:lang w:val="en-US" w:eastAsia="zh-CN"/>
        </w:rPr>
        <w:t>例如：2025年评审，需要提供2022年1月1日~2024年12月30日的证明材料。）</w:t>
      </w:r>
    </w:p>
    <w:p w14:paraId="12447898">
      <w:pPr>
        <w:snapToGrid w:val="0"/>
        <w:spacing w:line="240" w:lineRule="auto"/>
        <w:ind w:left="935" w:leftChars="250" w:hanging="410" w:hangingChars="171"/>
        <w:rPr>
          <w:rFonts w:hint="default" w:ascii="Times New Roman" w:hAnsi="Times New Roman" w:eastAsia="宋体" w:cs="Times New Roman"/>
          <w:color w:val="auto"/>
          <w:sz w:val="24"/>
          <w:highlight w:val="none"/>
          <w:lang w:eastAsia="zh-CN"/>
        </w:rPr>
      </w:pPr>
      <w:r>
        <w:rPr>
          <w:rFonts w:hint="default" w:ascii="Times New Roman" w:hAnsi="Times New Roman" w:eastAsia="宋体" w:cs="Times New Roman"/>
          <w:color w:val="auto"/>
          <w:sz w:val="24"/>
          <w:highlight w:val="none"/>
        </w:rPr>
        <w:t>3.所有采分项，同一项目均按最高级别奖项采分，不重复叠加分</w:t>
      </w:r>
      <w:r>
        <w:rPr>
          <w:rFonts w:hint="default" w:ascii="Times New Roman" w:hAnsi="Times New Roman" w:eastAsia="宋体" w:cs="Times New Roman"/>
          <w:color w:val="auto"/>
          <w:sz w:val="24"/>
          <w:highlight w:val="none"/>
          <w:lang w:eastAsia="zh-CN"/>
        </w:rPr>
        <w:t>。</w:t>
      </w:r>
    </w:p>
    <w:p w14:paraId="7CE7A391">
      <w:pPr>
        <w:snapToGrid w:val="0"/>
        <w:spacing w:line="240" w:lineRule="auto"/>
        <w:ind w:left="0" w:leftChars="0" w:firstLine="0" w:firstLineChars="0"/>
        <w:rPr>
          <w:rFonts w:hint="default" w:ascii="Times New Roman" w:hAnsi="Times New Roman" w:eastAsia="宋体" w:cs="Times New Roman"/>
          <w:color w:val="auto"/>
          <w:sz w:val="24"/>
          <w:highlight w:val="none"/>
          <w:lang w:eastAsia="zh-CN"/>
        </w:rPr>
      </w:pPr>
    </w:p>
    <w:p w14:paraId="3AA1843B">
      <w:pPr>
        <w:spacing w:line="520" w:lineRule="exact"/>
        <w:ind w:firstLine="0" w:firstLineChars="0"/>
        <w:jc w:val="center"/>
        <w:rPr>
          <w:rFonts w:hint="default" w:ascii="Times New Roman" w:hAnsi="Times New Roman" w:eastAsia="方正公文小标宋" w:cs="Times New Roman"/>
          <w:color w:val="auto"/>
          <w:sz w:val="30"/>
          <w:szCs w:val="30"/>
          <w:highlight w:val="none"/>
          <w:lang w:val="en-US" w:eastAsia="zh-CN"/>
        </w:rPr>
      </w:pPr>
      <w:r>
        <w:rPr>
          <w:rFonts w:hint="default" w:ascii="Times New Roman" w:hAnsi="Times New Roman" w:eastAsia="宋体" w:cs="Times New Roman"/>
          <w:color w:val="auto"/>
          <w:sz w:val="24"/>
          <w:highlight w:val="none"/>
          <w:lang w:eastAsia="zh-CN"/>
        </w:rPr>
        <w:br w:type="page"/>
      </w:r>
      <w:r>
        <w:rPr>
          <w:rFonts w:hint="default" w:ascii="Times New Roman" w:hAnsi="Times New Roman" w:eastAsia="方正公文小标宋" w:cs="Times New Roman"/>
          <w:b w:val="0"/>
          <w:bCs w:val="0"/>
          <w:color w:val="auto"/>
          <w:sz w:val="44"/>
          <w:szCs w:val="44"/>
          <w:highlight w:val="none"/>
          <w:lang w:val="en-US" w:eastAsia="zh-CN"/>
        </w:rPr>
        <w:t>附录C</w:t>
      </w:r>
    </w:p>
    <w:p w14:paraId="4841B5EB">
      <w:pPr>
        <w:spacing w:line="360" w:lineRule="auto"/>
        <w:ind w:firstLine="720"/>
        <w:jc w:val="center"/>
        <w:rPr>
          <w:rFonts w:hint="default" w:ascii="Times New Roman" w:hAnsi="Times New Roman" w:eastAsia="方正公文小标宋" w:cs="Times New Roman"/>
          <w:color w:val="auto"/>
          <w:sz w:val="44"/>
          <w:szCs w:val="44"/>
          <w:highlight w:val="none"/>
        </w:rPr>
      </w:pPr>
      <w:r>
        <w:rPr>
          <w:rFonts w:hint="default" w:ascii="Times New Roman" w:hAnsi="Times New Roman" w:eastAsia="方正公文小标宋" w:cs="Times New Roman"/>
          <w:color w:val="auto"/>
          <w:sz w:val="44"/>
          <w:szCs w:val="44"/>
          <w:highlight w:val="none"/>
        </w:rPr>
        <w:t>广州市工程建设企业信用等级评价指标（监理）</w:t>
      </w:r>
    </w:p>
    <w:tbl>
      <w:tblPr>
        <w:tblStyle w:val="27"/>
        <w:tblW w:w="1391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59"/>
        <w:gridCol w:w="2127"/>
        <w:gridCol w:w="3446"/>
        <w:gridCol w:w="850"/>
        <w:gridCol w:w="879"/>
        <w:gridCol w:w="5054"/>
      </w:tblGrid>
      <w:tr w14:paraId="38E7DF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559" w:type="dxa"/>
            <w:tcBorders>
              <w:tl2br w:val="nil"/>
              <w:tr2bl w:val="nil"/>
            </w:tcBorders>
            <w:noWrap w:val="0"/>
            <w:vAlign w:val="center"/>
          </w:tcPr>
          <w:p w14:paraId="24E8D4FC">
            <w:pPr>
              <w:spacing w:line="400" w:lineRule="exact"/>
              <w:ind w:firstLine="0" w:firstLineChars="0"/>
              <w:jc w:val="center"/>
              <w:rPr>
                <w:rFonts w:hint="default" w:ascii="Times New Roman" w:hAnsi="Times New Roman" w:eastAsia="宋体" w:cs="Times New Roman"/>
                <w:b/>
                <w:color w:val="auto"/>
                <w:sz w:val="24"/>
                <w:highlight w:val="none"/>
              </w:rPr>
            </w:pPr>
            <w:r>
              <w:rPr>
                <w:rFonts w:hint="default" w:ascii="Times New Roman" w:hAnsi="Times New Roman" w:eastAsia="宋体" w:cs="Times New Roman"/>
                <w:b/>
                <w:color w:val="auto"/>
                <w:sz w:val="24"/>
                <w:highlight w:val="none"/>
              </w:rPr>
              <w:t>评价内容</w:t>
            </w:r>
          </w:p>
        </w:tc>
        <w:tc>
          <w:tcPr>
            <w:tcW w:w="2127" w:type="dxa"/>
            <w:tcBorders>
              <w:tl2br w:val="nil"/>
              <w:tr2bl w:val="nil"/>
            </w:tcBorders>
            <w:noWrap w:val="0"/>
            <w:vAlign w:val="center"/>
          </w:tcPr>
          <w:p w14:paraId="0AAAAE3C">
            <w:pPr>
              <w:spacing w:line="400" w:lineRule="exact"/>
              <w:ind w:firstLine="0" w:firstLineChars="0"/>
              <w:jc w:val="center"/>
              <w:rPr>
                <w:rFonts w:hint="default" w:ascii="Times New Roman" w:hAnsi="Times New Roman" w:eastAsia="宋体" w:cs="Times New Roman"/>
                <w:b/>
                <w:color w:val="auto"/>
                <w:sz w:val="24"/>
                <w:highlight w:val="none"/>
              </w:rPr>
            </w:pPr>
            <w:r>
              <w:rPr>
                <w:rFonts w:hint="default" w:ascii="Times New Roman" w:hAnsi="Times New Roman" w:eastAsia="宋体" w:cs="Times New Roman"/>
                <w:b/>
                <w:color w:val="auto"/>
                <w:sz w:val="24"/>
                <w:highlight w:val="none"/>
              </w:rPr>
              <w:t>主要评价指标</w:t>
            </w:r>
          </w:p>
        </w:tc>
        <w:tc>
          <w:tcPr>
            <w:tcW w:w="3446" w:type="dxa"/>
            <w:tcBorders>
              <w:tl2br w:val="nil"/>
              <w:tr2bl w:val="nil"/>
            </w:tcBorders>
            <w:noWrap w:val="0"/>
            <w:vAlign w:val="center"/>
          </w:tcPr>
          <w:p w14:paraId="575B09A5">
            <w:pPr>
              <w:tabs>
                <w:tab w:val="left" w:pos="1602"/>
              </w:tabs>
              <w:spacing w:line="400" w:lineRule="exact"/>
              <w:ind w:firstLine="198" w:firstLineChars="82"/>
              <w:jc w:val="center"/>
              <w:rPr>
                <w:rFonts w:hint="default" w:ascii="Times New Roman" w:hAnsi="Times New Roman" w:eastAsia="宋体" w:cs="Times New Roman"/>
                <w:b/>
                <w:color w:val="auto"/>
                <w:sz w:val="24"/>
                <w:highlight w:val="none"/>
              </w:rPr>
            </w:pPr>
            <w:r>
              <w:rPr>
                <w:rFonts w:hint="default" w:ascii="Times New Roman" w:hAnsi="Times New Roman" w:eastAsia="宋体" w:cs="Times New Roman"/>
                <w:b/>
                <w:color w:val="auto"/>
                <w:sz w:val="24"/>
                <w:highlight w:val="none"/>
              </w:rPr>
              <w:t>标准内容</w:t>
            </w:r>
          </w:p>
        </w:tc>
        <w:tc>
          <w:tcPr>
            <w:tcW w:w="850" w:type="dxa"/>
            <w:tcBorders>
              <w:tl2br w:val="nil"/>
              <w:tr2bl w:val="nil"/>
            </w:tcBorders>
            <w:noWrap w:val="0"/>
            <w:vAlign w:val="center"/>
          </w:tcPr>
          <w:p w14:paraId="08BE4437">
            <w:pPr>
              <w:spacing w:line="400" w:lineRule="exact"/>
              <w:ind w:firstLine="0" w:firstLineChars="0"/>
              <w:jc w:val="center"/>
              <w:rPr>
                <w:rFonts w:hint="default" w:ascii="Times New Roman" w:hAnsi="Times New Roman" w:eastAsia="宋体" w:cs="Times New Roman"/>
                <w:b/>
                <w:color w:val="auto"/>
                <w:sz w:val="24"/>
                <w:highlight w:val="none"/>
              </w:rPr>
            </w:pPr>
            <w:r>
              <w:rPr>
                <w:rFonts w:hint="default" w:ascii="Times New Roman" w:hAnsi="Times New Roman" w:eastAsia="宋体" w:cs="Times New Roman"/>
                <w:b/>
                <w:color w:val="auto"/>
                <w:sz w:val="24"/>
                <w:highlight w:val="none"/>
              </w:rPr>
              <w:t>标准</w:t>
            </w:r>
          </w:p>
          <w:p w14:paraId="4BF711CA">
            <w:pPr>
              <w:spacing w:line="400" w:lineRule="exact"/>
              <w:ind w:firstLine="0" w:firstLineChars="0"/>
              <w:jc w:val="center"/>
              <w:rPr>
                <w:rFonts w:hint="default" w:ascii="Times New Roman" w:hAnsi="Times New Roman" w:eastAsia="宋体" w:cs="Times New Roman"/>
                <w:b/>
                <w:color w:val="auto"/>
                <w:sz w:val="24"/>
                <w:highlight w:val="none"/>
              </w:rPr>
            </w:pPr>
            <w:r>
              <w:rPr>
                <w:rFonts w:hint="default" w:ascii="Times New Roman" w:hAnsi="Times New Roman" w:eastAsia="宋体" w:cs="Times New Roman"/>
                <w:b/>
                <w:color w:val="auto"/>
                <w:sz w:val="24"/>
                <w:highlight w:val="none"/>
              </w:rPr>
              <w:t>分数</w:t>
            </w:r>
          </w:p>
        </w:tc>
        <w:tc>
          <w:tcPr>
            <w:tcW w:w="879" w:type="dxa"/>
            <w:tcBorders>
              <w:tl2br w:val="nil"/>
              <w:tr2bl w:val="nil"/>
            </w:tcBorders>
            <w:noWrap w:val="0"/>
            <w:vAlign w:val="center"/>
          </w:tcPr>
          <w:p w14:paraId="6434609B">
            <w:pPr>
              <w:spacing w:line="400" w:lineRule="exact"/>
              <w:ind w:firstLine="0" w:firstLineChars="0"/>
              <w:jc w:val="center"/>
              <w:rPr>
                <w:rFonts w:hint="default" w:ascii="Times New Roman" w:hAnsi="Times New Roman" w:eastAsia="宋体" w:cs="Times New Roman"/>
                <w:b/>
                <w:color w:val="auto"/>
                <w:sz w:val="24"/>
                <w:highlight w:val="none"/>
              </w:rPr>
            </w:pPr>
            <w:r>
              <w:rPr>
                <w:rFonts w:hint="default" w:ascii="Times New Roman" w:hAnsi="Times New Roman" w:eastAsia="宋体" w:cs="Times New Roman"/>
                <w:b/>
                <w:color w:val="auto"/>
                <w:sz w:val="24"/>
                <w:highlight w:val="none"/>
              </w:rPr>
              <w:t>自评</w:t>
            </w:r>
          </w:p>
          <w:p w14:paraId="3478C4BC">
            <w:pPr>
              <w:spacing w:line="400" w:lineRule="exact"/>
              <w:ind w:firstLine="0" w:firstLineChars="0"/>
              <w:jc w:val="center"/>
              <w:rPr>
                <w:rFonts w:hint="default" w:ascii="Times New Roman" w:hAnsi="Times New Roman" w:eastAsia="宋体" w:cs="Times New Roman"/>
                <w:b/>
                <w:color w:val="auto"/>
                <w:sz w:val="24"/>
                <w:highlight w:val="none"/>
              </w:rPr>
            </w:pPr>
            <w:r>
              <w:rPr>
                <w:rFonts w:hint="default" w:ascii="Times New Roman" w:hAnsi="Times New Roman" w:eastAsia="宋体" w:cs="Times New Roman"/>
                <w:b/>
                <w:color w:val="auto"/>
                <w:sz w:val="24"/>
                <w:highlight w:val="none"/>
              </w:rPr>
              <w:t>分数</w:t>
            </w:r>
          </w:p>
        </w:tc>
        <w:tc>
          <w:tcPr>
            <w:tcW w:w="5054" w:type="dxa"/>
            <w:tcBorders>
              <w:tl2br w:val="nil"/>
              <w:tr2bl w:val="nil"/>
            </w:tcBorders>
            <w:noWrap w:val="0"/>
            <w:vAlign w:val="center"/>
          </w:tcPr>
          <w:p w14:paraId="3BBBF240">
            <w:pPr>
              <w:spacing w:line="400" w:lineRule="exact"/>
              <w:ind w:firstLine="482"/>
              <w:jc w:val="center"/>
              <w:rPr>
                <w:rFonts w:hint="default" w:ascii="Times New Roman" w:hAnsi="Times New Roman" w:eastAsia="宋体" w:cs="Times New Roman"/>
                <w:b/>
                <w:color w:val="auto"/>
                <w:sz w:val="24"/>
                <w:highlight w:val="none"/>
              </w:rPr>
            </w:pPr>
            <w:r>
              <w:rPr>
                <w:rFonts w:hint="default" w:ascii="Times New Roman" w:hAnsi="Times New Roman" w:eastAsia="宋体" w:cs="Times New Roman"/>
                <w:b/>
                <w:color w:val="auto"/>
                <w:sz w:val="24"/>
                <w:highlight w:val="none"/>
              </w:rPr>
              <w:t>评分办法</w:t>
            </w:r>
          </w:p>
        </w:tc>
      </w:tr>
      <w:tr w14:paraId="30466A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559" w:type="dxa"/>
            <w:vMerge w:val="restart"/>
            <w:tcBorders>
              <w:tl2br w:val="nil"/>
              <w:tr2bl w:val="nil"/>
            </w:tcBorders>
            <w:noWrap w:val="0"/>
            <w:vAlign w:val="center"/>
          </w:tcPr>
          <w:p w14:paraId="0D8DF6CC">
            <w:pPr>
              <w:spacing w:line="300" w:lineRule="exact"/>
              <w:ind w:left="354" w:right="-31" w:rightChars="-15" w:hanging="354" w:hangingChars="147"/>
              <w:rPr>
                <w:rFonts w:hint="default" w:ascii="Times New Roman" w:hAnsi="Times New Roman" w:eastAsia="宋体" w:cs="Times New Roman"/>
                <w:b/>
                <w:color w:val="auto"/>
                <w:sz w:val="24"/>
                <w:highlight w:val="none"/>
              </w:rPr>
            </w:pPr>
            <w:r>
              <w:rPr>
                <w:rFonts w:hint="default" w:ascii="Times New Roman" w:hAnsi="Times New Roman" w:eastAsia="宋体" w:cs="Times New Roman"/>
                <w:b/>
                <w:color w:val="auto"/>
                <w:sz w:val="24"/>
                <w:highlight w:val="none"/>
              </w:rPr>
              <w:t>一、基本素质</w:t>
            </w:r>
            <w:r>
              <w:rPr>
                <w:rFonts w:hint="default" w:ascii="Times New Roman" w:hAnsi="Times New Roman" w:eastAsia="宋体" w:cs="Times New Roman"/>
                <w:b/>
                <w:color w:val="auto"/>
                <w:sz w:val="24"/>
                <w:highlight w:val="none"/>
                <w:lang w:val="en-US" w:eastAsia="zh-CN"/>
              </w:rPr>
              <w:t>13</w:t>
            </w:r>
            <w:r>
              <w:rPr>
                <w:rFonts w:hint="default" w:ascii="Times New Roman" w:hAnsi="Times New Roman" w:eastAsia="宋体" w:cs="Times New Roman"/>
                <w:b/>
                <w:color w:val="auto"/>
                <w:sz w:val="24"/>
                <w:highlight w:val="none"/>
              </w:rPr>
              <w:t>分</w:t>
            </w:r>
          </w:p>
        </w:tc>
        <w:tc>
          <w:tcPr>
            <w:tcW w:w="2127" w:type="dxa"/>
            <w:tcBorders>
              <w:tl2br w:val="nil"/>
              <w:tr2bl w:val="nil"/>
            </w:tcBorders>
            <w:noWrap w:val="0"/>
            <w:vAlign w:val="center"/>
          </w:tcPr>
          <w:p w14:paraId="56C386D0">
            <w:pPr>
              <w:snapToGrid w:val="0"/>
              <w:spacing w:line="300" w:lineRule="exact"/>
              <w:ind w:firstLine="0" w:firstLineChars="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lang w:val="en-US" w:eastAsia="zh-CN"/>
              </w:rPr>
              <w:t>1</w:t>
            </w:r>
            <w:r>
              <w:rPr>
                <w:rFonts w:hint="default" w:ascii="Times New Roman" w:hAnsi="Times New Roman" w:eastAsia="宋体" w:cs="Times New Roman"/>
                <w:color w:val="auto"/>
                <w:sz w:val="24"/>
                <w:highlight w:val="none"/>
              </w:rPr>
              <w:t>、党</w:t>
            </w:r>
            <w:r>
              <w:rPr>
                <w:rFonts w:hint="default" w:ascii="Times New Roman" w:hAnsi="Times New Roman" w:eastAsia="宋体" w:cs="Times New Roman"/>
                <w:color w:val="auto"/>
                <w:sz w:val="24"/>
                <w:highlight w:val="none"/>
                <w:lang w:val="en-US" w:eastAsia="zh-CN"/>
              </w:rPr>
              <w:t>的建设</w:t>
            </w:r>
          </w:p>
        </w:tc>
        <w:tc>
          <w:tcPr>
            <w:tcW w:w="3446" w:type="dxa"/>
            <w:tcBorders>
              <w:tl2br w:val="nil"/>
              <w:tr2bl w:val="nil"/>
            </w:tcBorders>
            <w:noWrap w:val="0"/>
            <w:vAlign w:val="center"/>
          </w:tcPr>
          <w:p w14:paraId="4231D5FE">
            <w:pPr>
              <w:snapToGrid w:val="0"/>
              <w:spacing w:line="300" w:lineRule="exact"/>
              <w:ind w:firstLine="0" w:firstLineChars="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企业</w:t>
            </w:r>
            <w:r>
              <w:rPr>
                <w:rFonts w:hint="default" w:ascii="Times New Roman" w:hAnsi="Times New Roman" w:eastAsia="宋体" w:cs="Times New Roman"/>
                <w:color w:val="auto"/>
                <w:sz w:val="24"/>
                <w:highlight w:val="none"/>
                <w:lang w:eastAsia="zh-CN"/>
              </w:rPr>
              <w:t>党的</w:t>
            </w:r>
            <w:r>
              <w:rPr>
                <w:rFonts w:hint="default" w:ascii="Times New Roman" w:hAnsi="Times New Roman" w:eastAsia="宋体" w:cs="Times New Roman"/>
                <w:color w:val="auto"/>
                <w:sz w:val="24"/>
                <w:highlight w:val="none"/>
              </w:rPr>
              <w:t>组织体系建设情况</w:t>
            </w:r>
          </w:p>
        </w:tc>
        <w:tc>
          <w:tcPr>
            <w:tcW w:w="850" w:type="dxa"/>
            <w:tcBorders>
              <w:tl2br w:val="nil"/>
              <w:tr2bl w:val="nil"/>
            </w:tcBorders>
            <w:noWrap w:val="0"/>
            <w:vAlign w:val="center"/>
          </w:tcPr>
          <w:p w14:paraId="090152CF">
            <w:pPr>
              <w:snapToGrid w:val="0"/>
              <w:spacing w:line="300" w:lineRule="exact"/>
              <w:ind w:firstLine="0" w:firstLineChars="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2分</w:t>
            </w:r>
          </w:p>
        </w:tc>
        <w:tc>
          <w:tcPr>
            <w:tcW w:w="879" w:type="dxa"/>
            <w:tcBorders>
              <w:tl2br w:val="nil"/>
              <w:tr2bl w:val="nil"/>
            </w:tcBorders>
            <w:noWrap w:val="0"/>
            <w:vAlign w:val="center"/>
          </w:tcPr>
          <w:p w14:paraId="129A735E">
            <w:pPr>
              <w:snapToGrid w:val="0"/>
              <w:spacing w:line="300" w:lineRule="exact"/>
              <w:ind w:firstLine="480" w:firstLineChars="200"/>
              <w:jc w:val="center"/>
              <w:rPr>
                <w:rFonts w:hint="default" w:ascii="Times New Roman" w:hAnsi="Times New Roman" w:eastAsia="宋体" w:cs="Times New Roman"/>
                <w:color w:val="auto"/>
                <w:sz w:val="24"/>
                <w:highlight w:val="none"/>
              </w:rPr>
            </w:pPr>
          </w:p>
        </w:tc>
        <w:tc>
          <w:tcPr>
            <w:tcW w:w="5054" w:type="dxa"/>
            <w:tcBorders>
              <w:tl2br w:val="nil"/>
              <w:tr2bl w:val="nil"/>
            </w:tcBorders>
            <w:noWrap w:val="0"/>
            <w:tcMar>
              <w:top w:w="85" w:type="dxa"/>
              <w:bottom w:w="85" w:type="dxa"/>
            </w:tcMar>
            <w:vAlign w:val="center"/>
          </w:tcPr>
          <w:p w14:paraId="74469E71">
            <w:pPr>
              <w:spacing w:line="300" w:lineRule="exact"/>
              <w:ind w:firstLine="440" w:firstLineChars="200"/>
              <w:rPr>
                <w:rFonts w:hint="default" w:ascii="Times New Roman" w:hAnsi="Times New Roman" w:eastAsia="宋体" w:cs="Times New Roman"/>
                <w:color w:val="auto"/>
                <w:sz w:val="22"/>
                <w:szCs w:val="22"/>
                <w:highlight w:val="none"/>
                <w:lang w:eastAsia="zh-CN"/>
              </w:rPr>
            </w:pPr>
            <w:r>
              <w:rPr>
                <w:rFonts w:hint="default" w:ascii="Times New Roman" w:hAnsi="Times New Roman" w:eastAsia="宋体" w:cs="Times New Roman"/>
                <w:color w:val="auto"/>
                <w:sz w:val="22"/>
                <w:szCs w:val="22"/>
                <w:highlight w:val="none"/>
              </w:rPr>
              <w:t>近3年企业有党的领导，党群组织健全，党组织发挥领导作用和监督保障及党建引领作用显著，职责履行到位。党组织在公司决策治理中权责清晰，分工明确，每项得1分。（</w:t>
            </w:r>
            <w:r>
              <w:rPr>
                <w:rFonts w:hint="default" w:ascii="Times New Roman" w:hAnsi="Times New Roman" w:eastAsia="宋体" w:cs="Times New Roman"/>
                <w:color w:val="auto"/>
                <w:sz w:val="22"/>
                <w:highlight w:val="none"/>
              </w:rPr>
              <w:t>本项满分2分</w:t>
            </w:r>
            <w:r>
              <w:rPr>
                <w:rFonts w:hint="default" w:ascii="Times New Roman" w:hAnsi="Times New Roman" w:eastAsia="宋体" w:cs="Times New Roman"/>
                <w:color w:val="auto"/>
                <w:sz w:val="22"/>
                <w:highlight w:val="none"/>
                <w:lang w:eastAsia="zh-CN"/>
              </w:rPr>
              <w:t>）</w:t>
            </w:r>
          </w:p>
        </w:tc>
      </w:tr>
      <w:tr w14:paraId="1361F8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559" w:type="dxa"/>
            <w:vMerge w:val="continue"/>
            <w:tcBorders>
              <w:tl2br w:val="nil"/>
              <w:tr2bl w:val="nil"/>
            </w:tcBorders>
            <w:noWrap w:val="0"/>
            <w:vAlign w:val="center"/>
          </w:tcPr>
          <w:p w14:paraId="55BCA300">
            <w:pPr>
              <w:spacing w:line="300" w:lineRule="exact"/>
              <w:ind w:left="354" w:right="-31" w:rightChars="-15" w:hanging="354" w:hangingChars="147"/>
              <w:rPr>
                <w:rFonts w:hint="default" w:ascii="Times New Roman" w:hAnsi="Times New Roman" w:eastAsia="宋体" w:cs="Times New Roman"/>
                <w:b/>
                <w:color w:val="auto"/>
                <w:sz w:val="24"/>
                <w:highlight w:val="none"/>
              </w:rPr>
            </w:pPr>
          </w:p>
        </w:tc>
        <w:tc>
          <w:tcPr>
            <w:tcW w:w="2127" w:type="dxa"/>
            <w:tcBorders>
              <w:tl2br w:val="nil"/>
              <w:tr2bl w:val="nil"/>
            </w:tcBorders>
            <w:noWrap w:val="0"/>
            <w:vAlign w:val="center"/>
          </w:tcPr>
          <w:p w14:paraId="5CA1CC72">
            <w:pPr>
              <w:snapToGrid w:val="0"/>
              <w:spacing w:line="300" w:lineRule="exact"/>
              <w:ind w:firstLine="0" w:firstLineChars="0"/>
              <w:rPr>
                <w:rFonts w:hint="default" w:ascii="Times New Roman" w:hAnsi="Times New Roman" w:eastAsia="宋体" w:cs="Times New Roman"/>
                <w:color w:val="auto"/>
                <w:kern w:val="2"/>
                <w:sz w:val="24"/>
                <w:szCs w:val="24"/>
                <w:highlight w:val="none"/>
                <w:lang w:val="en-US" w:eastAsia="zh-CN" w:bidi="ar-SA"/>
              </w:rPr>
            </w:pPr>
            <w:r>
              <w:rPr>
                <w:rFonts w:hint="default" w:ascii="Times New Roman" w:hAnsi="Times New Roman" w:eastAsia="宋体" w:cs="Times New Roman"/>
                <w:color w:val="auto"/>
                <w:sz w:val="24"/>
                <w:highlight w:val="none"/>
                <w:lang w:val="en-US" w:eastAsia="zh-CN"/>
              </w:rPr>
              <w:t>2</w:t>
            </w:r>
            <w:r>
              <w:rPr>
                <w:rFonts w:hint="default" w:ascii="Times New Roman" w:hAnsi="Times New Roman" w:eastAsia="宋体" w:cs="Times New Roman"/>
                <w:color w:val="auto"/>
                <w:sz w:val="24"/>
                <w:highlight w:val="none"/>
              </w:rPr>
              <w:t>、企业资质等</w:t>
            </w:r>
          </w:p>
        </w:tc>
        <w:tc>
          <w:tcPr>
            <w:tcW w:w="3446" w:type="dxa"/>
            <w:tcBorders>
              <w:tl2br w:val="nil"/>
              <w:tr2bl w:val="nil"/>
            </w:tcBorders>
            <w:noWrap w:val="0"/>
            <w:vAlign w:val="center"/>
          </w:tcPr>
          <w:p w14:paraId="3BF91771">
            <w:pPr>
              <w:snapToGrid w:val="0"/>
              <w:spacing w:line="300" w:lineRule="exact"/>
              <w:ind w:firstLine="0" w:firstLineChars="0"/>
              <w:rPr>
                <w:rFonts w:hint="default" w:ascii="Times New Roman" w:hAnsi="Times New Roman" w:eastAsia="宋体" w:cs="Times New Roman"/>
                <w:color w:val="auto"/>
                <w:kern w:val="2"/>
                <w:sz w:val="24"/>
                <w:szCs w:val="24"/>
                <w:highlight w:val="none"/>
                <w:lang w:val="en-US" w:eastAsia="zh-CN" w:bidi="ar-SA"/>
              </w:rPr>
            </w:pPr>
            <w:r>
              <w:rPr>
                <w:rFonts w:hint="default" w:ascii="Times New Roman" w:hAnsi="Times New Roman" w:eastAsia="宋体" w:cs="Times New Roman"/>
                <w:color w:val="auto"/>
                <w:sz w:val="24"/>
                <w:highlight w:val="none"/>
              </w:rPr>
              <w:t>取得营业执照、资质证书等且在有效期内</w:t>
            </w:r>
          </w:p>
        </w:tc>
        <w:tc>
          <w:tcPr>
            <w:tcW w:w="850" w:type="dxa"/>
            <w:tcBorders>
              <w:tl2br w:val="nil"/>
              <w:tr2bl w:val="nil"/>
            </w:tcBorders>
            <w:noWrap w:val="0"/>
            <w:vAlign w:val="center"/>
          </w:tcPr>
          <w:p w14:paraId="6171B881">
            <w:pPr>
              <w:snapToGrid w:val="0"/>
              <w:spacing w:line="300" w:lineRule="exact"/>
              <w:ind w:firstLine="0" w:firstLineChars="0"/>
              <w:rPr>
                <w:rFonts w:hint="default" w:ascii="Times New Roman" w:hAnsi="Times New Roman" w:eastAsia="宋体" w:cs="Times New Roman"/>
                <w:color w:val="auto"/>
                <w:kern w:val="2"/>
                <w:sz w:val="24"/>
                <w:szCs w:val="24"/>
                <w:highlight w:val="none"/>
                <w:lang w:val="en-US" w:eastAsia="zh-CN" w:bidi="ar-SA"/>
              </w:rPr>
            </w:pPr>
            <w:r>
              <w:rPr>
                <w:rFonts w:hint="default" w:ascii="Times New Roman" w:hAnsi="Times New Roman" w:eastAsia="宋体" w:cs="Times New Roman"/>
                <w:color w:val="auto"/>
                <w:sz w:val="24"/>
                <w:highlight w:val="none"/>
                <w:lang w:val="en-US" w:eastAsia="zh-CN"/>
              </w:rPr>
              <w:t>2</w:t>
            </w:r>
            <w:r>
              <w:rPr>
                <w:rFonts w:hint="default" w:ascii="Times New Roman" w:hAnsi="Times New Roman" w:eastAsia="宋体" w:cs="Times New Roman"/>
                <w:color w:val="auto"/>
                <w:sz w:val="24"/>
                <w:highlight w:val="none"/>
              </w:rPr>
              <w:t>分</w:t>
            </w:r>
          </w:p>
        </w:tc>
        <w:tc>
          <w:tcPr>
            <w:tcW w:w="879" w:type="dxa"/>
            <w:tcBorders>
              <w:tl2br w:val="nil"/>
              <w:tr2bl w:val="nil"/>
            </w:tcBorders>
            <w:noWrap w:val="0"/>
            <w:vAlign w:val="center"/>
          </w:tcPr>
          <w:p w14:paraId="6D2C2F16">
            <w:pPr>
              <w:snapToGrid w:val="0"/>
              <w:spacing w:line="300" w:lineRule="exact"/>
              <w:ind w:firstLine="480" w:firstLineChars="200"/>
              <w:jc w:val="center"/>
              <w:rPr>
                <w:rFonts w:hint="default" w:ascii="Times New Roman" w:hAnsi="Times New Roman" w:eastAsia="宋体" w:cs="Times New Roman"/>
                <w:color w:val="auto"/>
                <w:kern w:val="2"/>
                <w:sz w:val="24"/>
                <w:szCs w:val="24"/>
                <w:highlight w:val="none"/>
                <w:lang w:val="en-US" w:eastAsia="zh-CN" w:bidi="ar-SA"/>
              </w:rPr>
            </w:pPr>
          </w:p>
        </w:tc>
        <w:tc>
          <w:tcPr>
            <w:tcW w:w="5054" w:type="dxa"/>
            <w:tcBorders>
              <w:tl2br w:val="nil"/>
              <w:tr2bl w:val="nil"/>
            </w:tcBorders>
            <w:noWrap w:val="0"/>
            <w:tcMar>
              <w:top w:w="85" w:type="dxa"/>
              <w:bottom w:w="85" w:type="dxa"/>
            </w:tcMar>
            <w:vAlign w:val="center"/>
          </w:tcPr>
          <w:p w14:paraId="6435A182">
            <w:pPr>
              <w:snapToGrid w:val="0"/>
              <w:spacing w:line="300" w:lineRule="exact"/>
              <w:ind w:firstLine="440" w:firstLineChars="200"/>
              <w:rPr>
                <w:rFonts w:hint="default" w:ascii="Times New Roman" w:hAnsi="Times New Roman" w:eastAsia="宋体" w:cs="Times New Roman"/>
                <w:color w:val="auto"/>
                <w:kern w:val="2"/>
                <w:sz w:val="22"/>
                <w:szCs w:val="22"/>
                <w:highlight w:val="none"/>
                <w:lang w:val="en-US" w:eastAsia="zh-CN" w:bidi="ar-SA"/>
              </w:rPr>
            </w:pPr>
            <w:r>
              <w:rPr>
                <w:rFonts w:hint="default" w:ascii="Times New Roman" w:hAnsi="Times New Roman" w:eastAsia="宋体" w:cs="Times New Roman"/>
                <w:color w:val="auto"/>
                <w:sz w:val="22"/>
                <w:szCs w:val="22"/>
                <w:highlight w:val="none"/>
              </w:rPr>
              <w:t>取得相应证书且在有效期内者得2分，缺一项不得分。</w:t>
            </w:r>
          </w:p>
        </w:tc>
      </w:tr>
      <w:tr w14:paraId="2E1A9E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559" w:type="dxa"/>
            <w:vMerge w:val="continue"/>
            <w:tcBorders>
              <w:tl2br w:val="nil"/>
              <w:tr2bl w:val="nil"/>
            </w:tcBorders>
            <w:noWrap w:val="0"/>
            <w:vAlign w:val="center"/>
          </w:tcPr>
          <w:p w14:paraId="35197A45">
            <w:pPr>
              <w:spacing w:line="300" w:lineRule="exact"/>
              <w:ind w:left="354" w:right="-31" w:rightChars="-15" w:hanging="354" w:hangingChars="147"/>
              <w:rPr>
                <w:rFonts w:hint="default" w:ascii="Times New Roman" w:hAnsi="Times New Roman" w:eastAsia="宋体" w:cs="Times New Roman"/>
                <w:b/>
                <w:color w:val="auto"/>
                <w:sz w:val="24"/>
                <w:highlight w:val="none"/>
              </w:rPr>
            </w:pPr>
          </w:p>
        </w:tc>
        <w:tc>
          <w:tcPr>
            <w:tcW w:w="2127" w:type="dxa"/>
            <w:tcBorders>
              <w:tl2br w:val="nil"/>
              <w:tr2bl w:val="nil"/>
            </w:tcBorders>
            <w:noWrap w:val="0"/>
            <w:vAlign w:val="center"/>
          </w:tcPr>
          <w:p w14:paraId="385B6F4B">
            <w:pPr>
              <w:snapToGrid w:val="0"/>
              <w:spacing w:line="300" w:lineRule="exact"/>
              <w:ind w:firstLine="0" w:firstLineChars="0"/>
              <w:rPr>
                <w:rFonts w:hint="default" w:ascii="Times New Roman" w:hAnsi="Times New Roman" w:eastAsia="宋体" w:cs="Times New Roman"/>
                <w:color w:val="auto"/>
                <w:kern w:val="2"/>
                <w:sz w:val="24"/>
                <w:szCs w:val="24"/>
                <w:highlight w:val="none"/>
                <w:lang w:val="en-US" w:eastAsia="zh-CN" w:bidi="ar-SA"/>
              </w:rPr>
            </w:pPr>
            <w:r>
              <w:rPr>
                <w:rFonts w:hint="default" w:ascii="Times New Roman" w:hAnsi="Times New Roman" w:eastAsia="宋体" w:cs="Times New Roman"/>
                <w:color w:val="auto"/>
                <w:sz w:val="24"/>
                <w:highlight w:val="none"/>
                <w:lang w:val="en-US" w:eastAsia="zh-CN"/>
              </w:rPr>
              <w:t>3</w:t>
            </w:r>
            <w:r>
              <w:rPr>
                <w:rFonts w:hint="default" w:ascii="Times New Roman" w:hAnsi="Times New Roman" w:eastAsia="宋体" w:cs="Times New Roman"/>
                <w:color w:val="auto"/>
                <w:sz w:val="24"/>
                <w:highlight w:val="none"/>
              </w:rPr>
              <w:t>、组织机构及各项规章制度建设</w:t>
            </w:r>
          </w:p>
        </w:tc>
        <w:tc>
          <w:tcPr>
            <w:tcW w:w="3446" w:type="dxa"/>
            <w:tcBorders>
              <w:tl2br w:val="nil"/>
              <w:tr2bl w:val="nil"/>
            </w:tcBorders>
            <w:noWrap w:val="0"/>
            <w:vAlign w:val="center"/>
          </w:tcPr>
          <w:p w14:paraId="0D4DE51F">
            <w:pPr>
              <w:snapToGrid w:val="0"/>
              <w:spacing w:line="300" w:lineRule="exact"/>
              <w:ind w:firstLine="0" w:firstLineChars="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组织机构健全、合理；</w:t>
            </w:r>
          </w:p>
          <w:p w14:paraId="62446B25">
            <w:pPr>
              <w:snapToGrid w:val="0"/>
              <w:spacing w:line="300" w:lineRule="exact"/>
              <w:ind w:firstLine="0" w:firstLineChars="0"/>
              <w:rPr>
                <w:rFonts w:hint="default" w:ascii="Times New Roman" w:hAnsi="Times New Roman" w:eastAsia="宋体" w:cs="Times New Roman"/>
                <w:color w:val="auto"/>
                <w:kern w:val="2"/>
                <w:sz w:val="24"/>
                <w:szCs w:val="24"/>
                <w:highlight w:val="none"/>
                <w:lang w:val="en-US" w:eastAsia="zh-CN" w:bidi="ar-SA"/>
              </w:rPr>
            </w:pPr>
            <w:r>
              <w:rPr>
                <w:rFonts w:hint="default" w:ascii="Times New Roman" w:hAnsi="Times New Roman" w:eastAsia="宋体" w:cs="Times New Roman"/>
                <w:color w:val="auto"/>
                <w:sz w:val="24"/>
                <w:highlight w:val="none"/>
              </w:rPr>
              <w:t>规章制度完备，运行有效</w:t>
            </w:r>
          </w:p>
        </w:tc>
        <w:tc>
          <w:tcPr>
            <w:tcW w:w="850" w:type="dxa"/>
            <w:tcBorders>
              <w:tl2br w:val="nil"/>
              <w:tr2bl w:val="nil"/>
            </w:tcBorders>
            <w:noWrap w:val="0"/>
            <w:vAlign w:val="center"/>
          </w:tcPr>
          <w:p w14:paraId="00C27E88">
            <w:pPr>
              <w:snapToGrid w:val="0"/>
              <w:spacing w:line="300" w:lineRule="exact"/>
              <w:ind w:firstLine="0" w:firstLineChars="0"/>
              <w:rPr>
                <w:rFonts w:hint="default" w:ascii="Times New Roman" w:hAnsi="Times New Roman" w:eastAsia="宋体" w:cs="Times New Roman"/>
                <w:color w:val="auto"/>
                <w:kern w:val="2"/>
                <w:sz w:val="24"/>
                <w:szCs w:val="24"/>
                <w:highlight w:val="none"/>
                <w:lang w:val="en-US" w:eastAsia="zh-CN" w:bidi="ar-SA"/>
              </w:rPr>
            </w:pPr>
            <w:r>
              <w:rPr>
                <w:rFonts w:hint="default" w:ascii="Times New Roman" w:hAnsi="Times New Roman" w:eastAsia="宋体" w:cs="Times New Roman"/>
                <w:color w:val="auto"/>
                <w:sz w:val="24"/>
                <w:highlight w:val="none"/>
                <w:lang w:val="en-US" w:eastAsia="zh-CN"/>
              </w:rPr>
              <w:t>2</w:t>
            </w:r>
            <w:r>
              <w:rPr>
                <w:rFonts w:hint="default" w:ascii="Times New Roman" w:hAnsi="Times New Roman" w:eastAsia="宋体" w:cs="Times New Roman"/>
                <w:color w:val="auto"/>
                <w:sz w:val="24"/>
                <w:highlight w:val="none"/>
              </w:rPr>
              <w:t>分</w:t>
            </w:r>
          </w:p>
        </w:tc>
        <w:tc>
          <w:tcPr>
            <w:tcW w:w="879" w:type="dxa"/>
            <w:tcBorders>
              <w:tl2br w:val="nil"/>
              <w:tr2bl w:val="nil"/>
            </w:tcBorders>
            <w:noWrap w:val="0"/>
            <w:vAlign w:val="center"/>
          </w:tcPr>
          <w:p w14:paraId="3E2D01F3">
            <w:pPr>
              <w:snapToGrid w:val="0"/>
              <w:spacing w:line="300" w:lineRule="exact"/>
              <w:ind w:firstLine="480" w:firstLineChars="200"/>
              <w:jc w:val="center"/>
              <w:rPr>
                <w:rFonts w:hint="default" w:ascii="Times New Roman" w:hAnsi="Times New Roman" w:eastAsia="宋体" w:cs="Times New Roman"/>
                <w:color w:val="auto"/>
                <w:kern w:val="2"/>
                <w:sz w:val="24"/>
                <w:szCs w:val="24"/>
                <w:highlight w:val="none"/>
                <w:lang w:val="en-US" w:eastAsia="zh-CN" w:bidi="ar-SA"/>
              </w:rPr>
            </w:pPr>
          </w:p>
        </w:tc>
        <w:tc>
          <w:tcPr>
            <w:tcW w:w="5054" w:type="dxa"/>
            <w:tcBorders>
              <w:tl2br w:val="nil"/>
              <w:tr2bl w:val="nil"/>
            </w:tcBorders>
            <w:noWrap w:val="0"/>
            <w:tcMar>
              <w:top w:w="85" w:type="dxa"/>
              <w:bottom w:w="85" w:type="dxa"/>
            </w:tcMar>
            <w:vAlign w:val="center"/>
          </w:tcPr>
          <w:p w14:paraId="058BF6D4">
            <w:pPr>
              <w:spacing w:line="300" w:lineRule="exact"/>
              <w:ind w:firstLine="440" w:firstLineChars="200"/>
              <w:rPr>
                <w:rFonts w:hint="default" w:ascii="Times New Roman" w:hAnsi="Times New Roman" w:eastAsia="宋体" w:cs="Times New Roman"/>
                <w:color w:val="auto"/>
                <w:kern w:val="2"/>
                <w:sz w:val="22"/>
                <w:szCs w:val="22"/>
                <w:highlight w:val="none"/>
                <w:lang w:val="en-US" w:eastAsia="zh-CN" w:bidi="ar-SA"/>
              </w:rPr>
            </w:pPr>
            <w:r>
              <w:rPr>
                <w:rFonts w:hint="default" w:ascii="Times New Roman" w:hAnsi="Times New Roman" w:eastAsia="宋体" w:cs="Times New Roman"/>
                <w:color w:val="auto"/>
                <w:sz w:val="22"/>
                <w:szCs w:val="22"/>
                <w:highlight w:val="none"/>
              </w:rPr>
              <w:t>组织机构健全、合理，职责明确；各项规章制度严谨、健全，并能持续改进者得</w:t>
            </w:r>
            <w:r>
              <w:rPr>
                <w:rFonts w:hint="default" w:ascii="Times New Roman" w:hAnsi="Times New Roman" w:eastAsia="宋体" w:cs="Times New Roman"/>
                <w:color w:val="auto"/>
                <w:sz w:val="22"/>
                <w:szCs w:val="22"/>
                <w:highlight w:val="none"/>
                <w:lang w:val="en-US" w:eastAsia="zh-CN"/>
              </w:rPr>
              <w:t>2</w:t>
            </w:r>
            <w:r>
              <w:rPr>
                <w:rFonts w:hint="default" w:ascii="Times New Roman" w:hAnsi="Times New Roman" w:eastAsia="宋体" w:cs="Times New Roman"/>
                <w:color w:val="auto"/>
                <w:sz w:val="22"/>
                <w:szCs w:val="22"/>
                <w:highlight w:val="none"/>
              </w:rPr>
              <w:t>分。质量、安全、合同、廉洁等管理制度，每缺少一项减1分，减完为止。</w:t>
            </w:r>
          </w:p>
        </w:tc>
      </w:tr>
      <w:tr w14:paraId="4979BF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559" w:type="dxa"/>
            <w:vMerge w:val="continue"/>
            <w:tcBorders>
              <w:tl2br w:val="nil"/>
              <w:tr2bl w:val="nil"/>
            </w:tcBorders>
            <w:noWrap w:val="0"/>
            <w:vAlign w:val="center"/>
          </w:tcPr>
          <w:p w14:paraId="56A6E640">
            <w:pPr>
              <w:spacing w:line="300" w:lineRule="exact"/>
              <w:ind w:left="354" w:right="-31" w:rightChars="-15" w:hanging="354" w:hangingChars="147"/>
              <w:rPr>
                <w:rFonts w:hint="default" w:ascii="Times New Roman" w:hAnsi="Times New Roman" w:eastAsia="宋体" w:cs="Times New Roman"/>
                <w:b/>
                <w:color w:val="auto"/>
                <w:sz w:val="24"/>
                <w:highlight w:val="none"/>
              </w:rPr>
            </w:pPr>
          </w:p>
        </w:tc>
        <w:tc>
          <w:tcPr>
            <w:tcW w:w="2127" w:type="dxa"/>
            <w:tcBorders>
              <w:tl2br w:val="nil"/>
              <w:tr2bl w:val="nil"/>
            </w:tcBorders>
            <w:noWrap w:val="0"/>
            <w:vAlign w:val="center"/>
          </w:tcPr>
          <w:p w14:paraId="63260EF7">
            <w:pPr>
              <w:snapToGrid w:val="0"/>
              <w:spacing w:line="300" w:lineRule="exact"/>
              <w:ind w:firstLine="0" w:firstLineChars="0"/>
              <w:rPr>
                <w:rFonts w:hint="default" w:ascii="Times New Roman" w:hAnsi="Times New Roman" w:eastAsia="宋体" w:cs="Times New Roman"/>
                <w:color w:val="auto"/>
                <w:kern w:val="2"/>
                <w:sz w:val="24"/>
                <w:szCs w:val="24"/>
                <w:highlight w:val="none"/>
                <w:lang w:val="en-US" w:eastAsia="zh-CN" w:bidi="ar-SA"/>
              </w:rPr>
            </w:pPr>
            <w:r>
              <w:rPr>
                <w:rFonts w:hint="default" w:ascii="Times New Roman" w:hAnsi="Times New Roman" w:eastAsia="宋体" w:cs="Times New Roman"/>
                <w:color w:val="auto"/>
                <w:sz w:val="24"/>
                <w:highlight w:val="none"/>
              </w:rPr>
              <w:t>4、管理体系建立</w:t>
            </w:r>
          </w:p>
        </w:tc>
        <w:tc>
          <w:tcPr>
            <w:tcW w:w="3446" w:type="dxa"/>
            <w:tcBorders>
              <w:tl2br w:val="nil"/>
              <w:tr2bl w:val="nil"/>
            </w:tcBorders>
            <w:noWrap w:val="0"/>
            <w:vAlign w:val="center"/>
          </w:tcPr>
          <w:p w14:paraId="274C175C">
            <w:pPr>
              <w:snapToGrid w:val="0"/>
              <w:spacing w:line="300" w:lineRule="exact"/>
              <w:ind w:firstLine="0" w:firstLineChars="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质量管理体系认证；</w:t>
            </w:r>
          </w:p>
          <w:p w14:paraId="4EE9414D">
            <w:pPr>
              <w:snapToGrid w:val="0"/>
              <w:spacing w:line="300" w:lineRule="exact"/>
              <w:ind w:firstLine="0" w:firstLineChars="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环境管理体系认证；</w:t>
            </w:r>
          </w:p>
          <w:p w14:paraId="1679C190">
            <w:pPr>
              <w:snapToGrid w:val="0"/>
              <w:spacing w:line="300" w:lineRule="exact"/>
              <w:ind w:firstLine="0" w:firstLineChars="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职业健康安全管理体系认证；</w:t>
            </w:r>
          </w:p>
          <w:p w14:paraId="5C5BEA28">
            <w:pPr>
              <w:snapToGrid w:val="0"/>
              <w:spacing w:line="300" w:lineRule="exact"/>
              <w:ind w:firstLine="0" w:firstLineChars="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企业诚信管理体系认证；</w:t>
            </w:r>
          </w:p>
          <w:p w14:paraId="46997644">
            <w:pPr>
              <w:snapToGrid w:val="0"/>
              <w:spacing w:line="300" w:lineRule="exact"/>
              <w:ind w:firstLine="0" w:firstLineChars="0"/>
              <w:rPr>
                <w:rFonts w:hint="default" w:ascii="Times New Roman" w:hAnsi="Times New Roman" w:eastAsia="宋体" w:cs="Times New Roman"/>
                <w:color w:val="auto"/>
                <w:sz w:val="24"/>
                <w:highlight w:val="none"/>
              </w:rPr>
            </w:pPr>
            <w:r>
              <w:rPr>
                <w:rFonts w:hint="default" w:ascii="Times New Roman" w:hAnsi="Times New Roman" w:cs="Times New Roman"/>
                <w:color w:val="auto"/>
                <w:sz w:val="24"/>
                <w:highlight w:val="none"/>
              </w:rPr>
              <w:t>知识产权管理体系认证；</w:t>
            </w:r>
          </w:p>
          <w:p w14:paraId="57EC58D3">
            <w:pPr>
              <w:snapToGrid w:val="0"/>
              <w:spacing w:line="300" w:lineRule="exact"/>
              <w:ind w:firstLine="0" w:firstLineChars="0"/>
              <w:rPr>
                <w:rFonts w:hint="default" w:ascii="Times New Roman" w:hAnsi="Times New Roman" w:eastAsia="宋体" w:cs="Times New Roman"/>
                <w:color w:val="auto"/>
                <w:kern w:val="2"/>
                <w:sz w:val="24"/>
                <w:szCs w:val="24"/>
                <w:highlight w:val="none"/>
                <w:lang w:val="en-US" w:eastAsia="zh-CN" w:bidi="ar-SA"/>
              </w:rPr>
            </w:pPr>
            <w:r>
              <w:rPr>
                <w:rFonts w:hint="default" w:ascii="Times New Roman" w:hAnsi="Times New Roman" w:eastAsia="宋体" w:cs="Times New Roman"/>
                <w:color w:val="auto"/>
                <w:sz w:val="24"/>
                <w:highlight w:val="none"/>
              </w:rPr>
              <w:t>社会责任管理体系</w:t>
            </w:r>
          </w:p>
        </w:tc>
        <w:tc>
          <w:tcPr>
            <w:tcW w:w="850" w:type="dxa"/>
            <w:tcBorders>
              <w:tl2br w:val="nil"/>
              <w:tr2bl w:val="nil"/>
            </w:tcBorders>
            <w:noWrap w:val="0"/>
            <w:vAlign w:val="center"/>
          </w:tcPr>
          <w:p w14:paraId="19FC18E1">
            <w:pPr>
              <w:snapToGrid w:val="0"/>
              <w:spacing w:line="300" w:lineRule="exact"/>
              <w:ind w:firstLine="0" w:firstLineChars="0"/>
              <w:rPr>
                <w:rFonts w:hint="default" w:ascii="Times New Roman" w:hAnsi="Times New Roman" w:eastAsia="宋体" w:cs="Times New Roman"/>
                <w:color w:val="auto"/>
                <w:kern w:val="2"/>
                <w:sz w:val="24"/>
                <w:szCs w:val="24"/>
                <w:highlight w:val="none"/>
                <w:lang w:val="en-US" w:eastAsia="zh-CN" w:bidi="ar-SA"/>
              </w:rPr>
            </w:pPr>
            <w:r>
              <w:rPr>
                <w:rFonts w:hint="default" w:ascii="Times New Roman" w:hAnsi="Times New Roman" w:eastAsia="宋体" w:cs="Times New Roman"/>
                <w:color w:val="auto"/>
                <w:sz w:val="24"/>
                <w:highlight w:val="none"/>
              </w:rPr>
              <w:t>2分</w:t>
            </w:r>
          </w:p>
        </w:tc>
        <w:tc>
          <w:tcPr>
            <w:tcW w:w="879" w:type="dxa"/>
            <w:tcBorders>
              <w:tl2br w:val="nil"/>
              <w:tr2bl w:val="nil"/>
            </w:tcBorders>
            <w:noWrap w:val="0"/>
            <w:vAlign w:val="center"/>
          </w:tcPr>
          <w:p w14:paraId="0CF84A32">
            <w:pPr>
              <w:snapToGrid w:val="0"/>
              <w:spacing w:line="300" w:lineRule="exact"/>
              <w:ind w:firstLine="480"/>
              <w:jc w:val="center"/>
              <w:rPr>
                <w:rFonts w:hint="default" w:ascii="Times New Roman" w:hAnsi="Times New Roman" w:eastAsia="宋体" w:cs="Times New Roman"/>
                <w:color w:val="auto"/>
                <w:kern w:val="2"/>
                <w:sz w:val="24"/>
                <w:szCs w:val="24"/>
                <w:highlight w:val="none"/>
                <w:lang w:val="en-US" w:eastAsia="zh-CN" w:bidi="ar-SA"/>
              </w:rPr>
            </w:pPr>
          </w:p>
        </w:tc>
        <w:tc>
          <w:tcPr>
            <w:tcW w:w="5054" w:type="dxa"/>
            <w:tcBorders>
              <w:tl2br w:val="nil"/>
              <w:tr2bl w:val="nil"/>
            </w:tcBorders>
            <w:noWrap w:val="0"/>
            <w:tcMar>
              <w:top w:w="85" w:type="dxa"/>
              <w:bottom w:w="85" w:type="dxa"/>
            </w:tcMar>
            <w:vAlign w:val="center"/>
          </w:tcPr>
          <w:p w14:paraId="7C35AA0B">
            <w:pPr>
              <w:snapToGrid w:val="0"/>
              <w:spacing w:line="300" w:lineRule="exact"/>
              <w:ind w:firstLine="440" w:firstLineChars="200"/>
              <w:rPr>
                <w:rFonts w:hint="default" w:ascii="Times New Roman" w:hAnsi="Times New Roman" w:eastAsia="宋体" w:cs="Times New Roman"/>
                <w:color w:val="auto"/>
                <w:kern w:val="2"/>
                <w:sz w:val="22"/>
                <w:szCs w:val="22"/>
                <w:highlight w:val="none"/>
                <w:lang w:val="en-US" w:eastAsia="zh-CN" w:bidi="ar-SA"/>
              </w:rPr>
            </w:pPr>
            <w:r>
              <w:rPr>
                <w:rFonts w:hint="default" w:ascii="Times New Roman" w:hAnsi="Times New Roman" w:eastAsia="宋体" w:cs="Times New Roman"/>
                <w:color w:val="auto"/>
                <w:sz w:val="22"/>
                <w:szCs w:val="22"/>
                <w:highlight w:val="none"/>
              </w:rPr>
              <w:t>获得国家认可的认证证书，实施效果良好，能持续改进者得2分。缺少一个管理体系认证减1分，减完为止。</w:t>
            </w:r>
          </w:p>
        </w:tc>
      </w:tr>
      <w:tr w14:paraId="5DFF27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9" w:hRule="atLeast"/>
          <w:jc w:val="center"/>
        </w:trPr>
        <w:tc>
          <w:tcPr>
            <w:tcW w:w="1559" w:type="dxa"/>
            <w:vMerge w:val="continue"/>
            <w:tcBorders>
              <w:tl2br w:val="nil"/>
              <w:tr2bl w:val="nil"/>
            </w:tcBorders>
            <w:noWrap w:val="0"/>
            <w:vAlign w:val="center"/>
          </w:tcPr>
          <w:p w14:paraId="5564CFC7">
            <w:pPr>
              <w:spacing w:line="300" w:lineRule="exact"/>
              <w:ind w:left="354" w:right="-31" w:rightChars="-15" w:hanging="354" w:hangingChars="147"/>
              <w:rPr>
                <w:rFonts w:hint="default" w:ascii="Times New Roman" w:hAnsi="Times New Roman" w:eastAsia="宋体" w:cs="Times New Roman"/>
                <w:b/>
                <w:color w:val="auto"/>
                <w:sz w:val="24"/>
                <w:highlight w:val="none"/>
              </w:rPr>
            </w:pPr>
          </w:p>
        </w:tc>
        <w:tc>
          <w:tcPr>
            <w:tcW w:w="2127" w:type="dxa"/>
            <w:tcBorders>
              <w:tl2br w:val="nil"/>
              <w:tr2bl w:val="nil"/>
            </w:tcBorders>
            <w:noWrap w:val="0"/>
            <w:vAlign w:val="center"/>
          </w:tcPr>
          <w:p w14:paraId="4FC07FCB">
            <w:pPr>
              <w:snapToGrid w:val="0"/>
              <w:spacing w:line="300" w:lineRule="exact"/>
              <w:ind w:firstLine="0" w:firstLineChars="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5、信息化管理</w:t>
            </w:r>
          </w:p>
        </w:tc>
        <w:tc>
          <w:tcPr>
            <w:tcW w:w="3446" w:type="dxa"/>
            <w:tcBorders>
              <w:tl2br w:val="nil"/>
              <w:tr2bl w:val="nil"/>
            </w:tcBorders>
            <w:noWrap w:val="0"/>
            <w:vAlign w:val="center"/>
          </w:tcPr>
          <w:p w14:paraId="46D90D18">
            <w:pPr>
              <w:snapToGrid w:val="0"/>
              <w:spacing w:line="300" w:lineRule="exact"/>
              <w:ind w:firstLine="0" w:firstLineChars="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建立办公自动化系统、单位网站及公众号</w:t>
            </w:r>
          </w:p>
        </w:tc>
        <w:tc>
          <w:tcPr>
            <w:tcW w:w="850" w:type="dxa"/>
            <w:tcBorders>
              <w:tl2br w:val="nil"/>
              <w:tr2bl w:val="nil"/>
            </w:tcBorders>
            <w:noWrap w:val="0"/>
            <w:vAlign w:val="center"/>
          </w:tcPr>
          <w:p w14:paraId="6FBCA1B0">
            <w:pPr>
              <w:snapToGrid w:val="0"/>
              <w:spacing w:line="300" w:lineRule="exact"/>
              <w:ind w:firstLine="0" w:firstLineChars="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2分</w:t>
            </w:r>
          </w:p>
        </w:tc>
        <w:tc>
          <w:tcPr>
            <w:tcW w:w="879" w:type="dxa"/>
            <w:tcBorders>
              <w:tl2br w:val="nil"/>
              <w:tr2bl w:val="nil"/>
            </w:tcBorders>
            <w:noWrap w:val="0"/>
            <w:vAlign w:val="center"/>
          </w:tcPr>
          <w:p w14:paraId="0DDBBE60">
            <w:pPr>
              <w:snapToGrid w:val="0"/>
              <w:spacing w:line="300" w:lineRule="exact"/>
              <w:ind w:firstLine="480"/>
              <w:jc w:val="center"/>
              <w:rPr>
                <w:rFonts w:hint="default" w:ascii="Times New Roman" w:hAnsi="Times New Roman" w:eastAsia="宋体" w:cs="Times New Roman"/>
                <w:color w:val="auto"/>
                <w:sz w:val="24"/>
                <w:highlight w:val="none"/>
              </w:rPr>
            </w:pPr>
          </w:p>
        </w:tc>
        <w:tc>
          <w:tcPr>
            <w:tcW w:w="5054" w:type="dxa"/>
            <w:tcBorders>
              <w:tl2br w:val="nil"/>
              <w:tr2bl w:val="nil"/>
            </w:tcBorders>
            <w:noWrap w:val="0"/>
            <w:tcMar>
              <w:top w:w="85" w:type="dxa"/>
              <w:bottom w:w="85" w:type="dxa"/>
            </w:tcMar>
            <w:vAlign w:val="center"/>
          </w:tcPr>
          <w:p w14:paraId="48CDBC64">
            <w:pPr>
              <w:snapToGrid w:val="0"/>
              <w:spacing w:line="300" w:lineRule="exact"/>
              <w:ind w:firstLine="440" w:firstLineChars="200"/>
              <w:rPr>
                <w:rFonts w:hint="default" w:ascii="Times New Roman" w:hAnsi="Times New Roman" w:eastAsia="宋体" w:cs="Times New Roman"/>
                <w:color w:val="auto"/>
                <w:sz w:val="22"/>
                <w:szCs w:val="22"/>
                <w:highlight w:val="none"/>
              </w:rPr>
            </w:pPr>
            <w:r>
              <w:rPr>
                <w:rFonts w:hint="default" w:ascii="Times New Roman" w:hAnsi="Times New Roman" w:eastAsia="宋体" w:cs="Times New Roman"/>
                <w:color w:val="auto"/>
                <w:sz w:val="22"/>
                <w:szCs w:val="22"/>
                <w:highlight w:val="none"/>
              </w:rPr>
              <w:t>建立办公自动化系统、单位网站及公众号，信息沟通渠道顺畅者得2分。缺少一项减1分，减完为止。</w:t>
            </w:r>
          </w:p>
        </w:tc>
      </w:tr>
      <w:tr w14:paraId="66DA8F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2" w:hRule="atLeast"/>
          <w:jc w:val="center"/>
        </w:trPr>
        <w:tc>
          <w:tcPr>
            <w:tcW w:w="1559" w:type="dxa"/>
            <w:vMerge w:val="continue"/>
            <w:tcBorders>
              <w:tl2br w:val="nil"/>
              <w:tr2bl w:val="nil"/>
            </w:tcBorders>
            <w:noWrap w:val="0"/>
            <w:vAlign w:val="center"/>
          </w:tcPr>
          <w:p w14:paraId="77426920">
            <w:pPr>
              <w:spacing w:line="300" w:lineRule="exact"/>
              <w:ind w:left="354" w:right="-31" w:rightChars="-15" w:hanging="354" w:hangingChars="147"/>
              <w:rPr>
                <w:rFonts w:hint="default" w:ascii="Times New Roman" w:hAnsi="Times New Roman" w:eastAsia="宋体" w:cs="Times New Roman"/>
                <w:b/>
                <w:color w:val="auto"/>
                <w:sz w:val="24"/>
                <w:highlight w:val="none"/>
              </w:rPr>
            </w:pPr>
          </w:p>
        </w:tc>
        <w:tc>
          <w:tcPr>
            <w:tcW w:w="2127" w:type="dxa"/>
            <w:tcBorders>
              <w:tl2br w:val="nil"/>
              <w:tr2bl w:val="nil"/>
            </w:tcBorders>
            <w:noWrap w:val="0"/>
            <w:vAlign w:val="center"/>
          </w:tcPr>
          <w:p w14:paraId="7757B1A7">
            <w:pPr>
              <w:snapToGrid w:val="0"/>
              <w:spacing w:line="300" w:lineRule="exact"/>
              <w:ind w:firstLine="0" w:firstLineChars="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6、人力资源</w:t>
            </w:r>
          </w:p>
        </w:tc>
        <w:tc>
          <w:tcPr>
            <w:tcW w:w="3446" w:type="dxa"/>
            <w:tcBorders>
              <w:tl2br w:val="nil"/>
              <w:tr2bl w:val="nil"/>
            </w:tcBorders>
            <w:noWrap w:val="0"/>
            <w:vAlign w:val="center"/>
          </w:tcPr>
          <w:p w14:paraId="7F9E77D2">
            <w:pPr>
              <w:snapToGrid w:val="0"/>
              <w:spacing w:line="300" w:lineRule="exact"/>
              <w:ind w:firstLine="0" w:firstLineChars="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企业主要管理人员和专业技术人员配备满足资质等级要求</w:t>
            </w:r>
          </w:p>
        </w:tc>
        <w:tc>
          <w:tcPr>
            <w:tcW w:w="850" w:type="dxa"/>
            <w:tcBorders>
              <w:tl2br w:val="nil"/>
              <w:tr2bl w:val="nil"/>
            </w:tcBorders>
            <w:noWrap w:val="0"/>
            <w:vAlign w:val="center"/>
          </w:tcPr>
          <w:p w14:paraId="224F1413">
            <w:pPr>
              <w:snapToGrid w:val="0"/>
              <w:spacing w:line="300" w:lineRule="exact"/>
              <w:ind w:firstLine="0" w:firstLineChars="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3分</w:t>
            </w:r>
          </w:p>
        </w:tc>
        <w:tc>
          <w:tcPr>
            <w:tcW w:w="879" w:type="dxa"/>
            <w:tcBorders>
              <w:tl2br w:val="nil"/>
              <w:tr2bl w:val="nil"/>
            </w:tcBorders>
            <w:noWrap w:val="0"/>
            <w:vAlign w:val="center"/>
          </w:tcPr>
          <w:p w14:paraId="16715FDC">
            <w:pPr>
              <w:snapToGrid w:val="0"/>
              <w:spacing w:line="300" w:lineRule="exact"/>
              <w:ind w:firstLine="480"/>
              <w:jc w:val="center"/>
              <w:rPr>
                <w:rFonts w:hint="default" w:ascii="Times New Roman" w:hAnsi="Times New Roman" w:eastAsia="宋体" w:cs="Times New Roman"/>
                <w:color w:val="auto"/>
                <w:sz w:val="24"/>
                <w:highlight w:val="none"/>
              </w:rPr>
            </w:pPr>
          </w:p>
        </w:tc>
        <w:tc>
          <w:tcPr>
            <w:tcW w:w="5054" w:type="dxa"/>
            <w:tcBorders>
              <w:tl2br w:val="nil"/>
              <w:tr2bl w:val="nil"/>
            </w:tcBorders>
            <w:noWrap w:val="0"/>
            <w:tcMar>
              <w:top w:w="85" w:type="dxa"/>
              <w:bottom w:w="85" w:type="dxa"/>
            </w:tcMar>
            <w:vAlign w:val="center"/>
          </w:tcPr>
          <w:p w14:paraId="2CC30CAB">
            <w:pPr>
              <w:snapToGrid w:val="0"/>
              <w:spacing w:line="300" w:lineRule="exact"/>
              <w:ind w:firstLine="440" w:firstLineChars="200"/>
              <w:rPr>
                <w:rFonts w:hint="default" w:ascii="Times New Roman" w:hAnsi="Times New Roman" w:eastAsia="宋体" w:cs="Times New Roman"/>
                <w:color w:val="auto"/>
                <w:sz w:val="22"/>
                <w:szCs w:val="22"/>
                <w:highlight w:val="none"/>
              </w:rPr>
            </w:pPr>
            <w:r>
              <w:rPr>
                <w:rFonts w:hint="default" w:ascii="Times New Roman" w:hAnsi="Times New Roman" w:eastAsia="宋体" w:cs="Times New Roman"/>
                <w:color w:val="auto"/>
                <w:sz w:val="22"/>
                <w:szCs w:val="22"/>
                <w:highlight w:val="none"/>
              </w:rPr>
              <w:t>企业主要管理人员、专业技术人员、注册监理工程师等人员达到相应资质标准的得3分，不符合者每项减1分，减完为止。</w:t>
            </w:r>
          </w:p>
        </w:tc>
      </w:tr>
      <w:tr w14:paraId="6097EF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93" w:hRule="atLeast"/>
          <w:jc w:val="center"/>
        </w:trPr>
        <w:tc>
          <w:tcPr>
            <w:tcW w:w="1559" w:type="dxa"/>
            <w:vMerge w:val="restart"/>
            <w:tcBorders>
              <w:tl2br w:val="nil"/>
              <w:tr2bl w:val="nil"/>
            </w:tcBorders>
            <w:noWrap w:val="0"/>
            <w:vAlign w:val="center"/>
          </w:tcPr>
          <w:p w14:paraId="02EDA736">
            <w:pPr>
              <w:spacing w:line="300" w:lineRule="exact"/>
              <w:ind w:left="354" w:hanging="354" w:hangingChars="147"/>
              <w:rPr>
                <w:rFonts w:hint="default" w:ascii="Times New Roman" w:hAnsi="Times New Roman" w:eastAsia="宋体" w:cs="Times New Roman"/>
                <w:b/>
                <w:color w:val="auto"/>
                <w:sz w:val="21"/>
                <w:highlight w:val="none"/>
              </w:rPr>
            </w:pPr>
            <w:r>
              <w:rPr>
                <w:rFonts w:hint="default" w:ascii="Times New Roman" w:hAnsi="Times New Roman" w:eastAsia="宋体" w:cs="Times New Roman"/>
                <w:b/>
                <w:color w:val="auto"/>
                <w:sz w:val="24"/>
                <w:highlight w:val="none"/>
              </w:rPr>
              <w:t>二、经济财务指标12分</w:t>
            </w:r>
          </w:p>
        </w:tc>
        <w:tc>
          <w:tcPr>
            <w:tcW w:w="2127" w:type="dxa"/>
            <w:tcBorders>
              <w:tl2br w:val="nil"/>
              <w:tr2bl w:val="nil"/>
            </w:tcBorders>
            <w:noWrap w:val="0"/>
            <w:vAlign w:val="center"/>
          </w:tcPr>
          <w:p w14:paraId="03DA5B63">
            <w:pPr>
              <w:spacing w:line="300" w:lineRule="exact"/>
              <w:ind w:firstLine="0" w:firstLineChars="0"/>
              <w:rPr>
                <w:rFonts w:hint="default" w:ascii="Times New Roman" w:hAnsi="Times New Roman" w:eastAsia="宋体" w:cs="Times New Roman"/>
                <w:b/>
                <w:color w:val="auto"/>
                <w:sz w:val="24"/>
                <w:highlight w:val="none"/>
              </w:rPr>
            </w:pPr>
            <w:r>
              <w:rPr>
                <w:rFonts w:hint="default" w:ascii="Times New Roman" w:hAnsi="Times New Roman" w:eastAsia="宋体" w:cs="Times New Roman"/>
                <w:color w:val="auto"/>
                <w:sz w:val="24"/>
                <w:highlight w:val="none"/>
              </w:rPr>
              <w:t>1、企业产值</w:t>
            </w:r>
          </w:p>
        </w:tc>
        <w:tc>
          <w:tcPr>
            <w:tcW w:w="3446" w:type="dxa"/>
            <w:tcBorders>
              <w:tl2br w:val="nil"/>
              <w:tr2bl w:val="nil"/>
            </w:tcBorders>
            <w:noWrap w:val="0"/>
            <w:vAlign w:val="center"/>
          </w:tcPr>
          <w:p w14:paraId="55519902">
            <w:pPr>
              <w:spacing w:line="300" w:lineRule="exact"/>
              <w:ind w:firstLine="0" w:firstLineChars="0"/>
              <w:rPr>
                <w:rFonts w:hint="default" w:ascii="Times New Roman" w:hAnsi="Times New Roman" w:eastAsia="宋体" w:cs="Times New Roman"/>
                <w:b/>
                <w:color w:val="auto"/>
                <w:sz w:val="24"/>
                <w:highlight w:val="none"/>
              </w:rPr>
            </w:pPr>
            <w:r>
              <w:rPr>
                <w:rFonts w:hint="default" w:ascii="Times New Roman" w:hAnsi="Times New Roman" w:eastAsia="宋体" w:cs="Times New Roman"/>
                <w:color w:val="auto"/>
                <w:sz w:val="24"/>
                <w:highlight w:val="none"/>
              </w:rPr>
              <w:t>符合相应的资质标准</w:t>
            </w:r>
          </w:p>
        </w:tc>
        <w:tc>
          <w:tcPr>
            <w:tcW w:w="850" w:type="dxa"/>
            <w:tcBorders>
              <w:tl2br w:val="nil"/>
              <w:tr2bl w:val="nil"/>
            </w:tcBorders>
            <w:noWrap w:val="0"/>
            <w:vAlign w:val="center"/>
          </w:tcPr>
          <w:p w14:paraId="521BAD65">
            <w:pPr>
              <w:spacing w:line="300" w:lineRule="exact"/>
              <w:ind w:firstLine="0" w:firstLineChars="0"/>
              <w:rPr>
                <w:rFonts w:hint="default" w:ascii="Times New Roman" w:hAnsi="Times New Roman" w:eastAsia="宋体" w:cs="Times New Roman"/>
                <w:b/>
                <w:color w:val="auto"/>
                <w:sz w:val="24"/>
                <w:highlight w:val="none"/>
              </w:rPr>
            </w:pPr>
            <w:r>
              <w:rPr>
                <w:rFonts w:hint="default" w:ascii="Times New Roman" w:hAnsi="Times New Roman" w:eastAsia="宋体" w:cs="Times New Roman"/>
                <w:color w:val="auto"/>
                <w:sz w:val="24"/>
                <w:highlight w:val="none"/>
              </w:rPr>
              <w:t>2分</w:t>
            </w:r>
          </w:p>
        </w:tc>
        <w:tc>
          <w:tcPr>
            <w:tcW w:w="879" w:type="dxa"/>
            <w:tcBorders>
              <w:tl2br w:val="nil"/>
              <w:tr2bl w:val="nil"/>
            </w:tcBorders>
            <w:noWrap w:val="0"/>
            <w:vAlign w:val="center"/>
          </w:tcPr>
          <w:p w14:paraId="77D272B3">
            <w:pPr>
              <w:spacing w:line="300" w:lineRule="exact"/>
              <w:ind w:firstLine="480"/>
              <w:jc w:val="center"/>
              <w:rPr>
                <w:rFonts w:hint="default" w:ascii="Times New Roman" w:hAnsi="Times New Roman" w:eastAsia="宋体" w:cs="Times New Roman"/>
                <w:b/>
                <w:color w:val="auto"/>
                <w:sz w:val="24"/>
                <w:highlight w:val="none"/>
              </w:rPr>
            </w:pPr>
          </w:p>
        </w:tc>
        <w:tc>
          <w:tcPr>
            <w:tcW w:w="5054" w:type="dxa"/>
            <w:tcBorders>
              <w:tl2br w:val="nil"/>
              <w:tr2bl w:val="nil"/>
            </w:tcBorders>
            <w:noWrap w:val="0"/>
            <w:tcMar>
              <w:top w:w="85" w:type="dxa"/>
              <w:bottom w:w="85" w:type="dxa"/>
            </w:tcMar>
            <w:vAlign w:val="center"/>
          </w:tcPr>
          <w:p w14:paraId="365EDA8C">
            <w:pPr>
              <w:snapToGrid w:val="0"/>
              <w:spacing w:line="300" w:lineRule="exact"/>
              <w:ind w:firstLine="440" w:firstLineChars="200"/>
              <w:rPr>
                <w:rFonts w:hint="default" w:ascii="Times New Roman" w:hAnsi="Times New Roman" w:eastAsia="宋体" w:cs="Times New Roman"/>
                <w:b/>
                <w:color w:val="auto"/>
                <w:sz w:val="24"/>
                <w:highlight w:val="none"/>
              </w:rPr>
            </w:pPr>
            <w:r>
              <w:rPr>
                <w:rFonts w:hint="default" w:ascii="Times New Roman" w:hAnsi="Times New Roman" w:eastAsia="宋体" w:cs="Times New Roman"/>
                <w:color w:val="auto"/>
                <w:sz w:val="22"/>
                <w:szCs w:val="22"/>
                <w:highlight w:val="none"/>
              </w:rPr>
              <w:t>达到相应的资质标准，满足《工程监理企业资质管理规定》，企业近2年内独立监理过3个以上相应专业的二级及以上工程项目，得2分，未达到相应资质标准的每降低5%减0.5分，减完为止。</w:t>
            </w:r>
          </w:p>
        </w:tc>
      </w:tr>
      <w:tr w14:paraId="3EC8EA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559" w:type="dxa"/>
            <w:vMerge w:val="continue"/>
            <w:tcBorders>
              <w:tl2br w:val="nil"/>
              <w:tr2bl w:val="nil"/>
            </w:tcBorders>
            <w:noWrap w:val="0"/>
            <w:vAlign w:val="top"/>
          </w:tcPr>
          <w:p w14:paraId="6C8BA789">
            <w:pPr>
              <w:spacing w:line="300" w:lineRule="exact"/>
              <w:ind w:firstLine="420"/>
              <w:rPr>
                <w:rFonts w:hint="default" w:ascii="Times New Roman" w:hAnsi="Times New Roman" w:eastAsia="宋体" w:cs="Times New Roman"/>
                <w:color w:val="auto"/>
                <w:sz w:val="21"/>
                <w:highlight w:val="none"/>
              </w:rPr>
            </w:pPr>
          </w:p>
        </w:tc>
        <w:tc>
          <w:tcPr>
            <w:tcW w:w="2127" w:type="dxa"/>
            <w:tcBorders>
              <w:tl2br w:val="nil"/>
              <w:tr2bl w:val="nil"/>
            </w:tcBorders>
            <w:noWrap w:val="0"/>
            <w:vAlign w:val="center"/>
          </w:tcPr>
          <w:p w14:paraId="37D858D3">
            <w:pPr>
              <w:spacing w:line="300" w:lineRule="exact"/>
              <w:ind w:firstLine="0" w:firstLineChars="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2、纳税情况</w:t>
            </w:r>
          </w:p>
        </w:tc>
        <w:tc>
          <w:tcPr>
            <w:tcW w:w="3446" w:type="dxa"/>
            <w:tcBorders>
              <w:tl2br w:val="nil"/>
              <w:tr2bl w:val="nil"/>
            </w:tcBorders>
            <w:noWrap w:val="0"/>
            <w:vAlign w:val="center"/>
          </w:tcPr>
          <w:p w14:paraId="1A6055A3">
            <w:pPr>
              <w:spacing w:line="300" w:lineRule="exact"/>
              <w:ind w:firstLine="0" w:firstLineChars="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无违规行为并符合相应的资质标准</w:t>
            </w:r>
          </w:p>
        </w:tc>
        <w:tc>
          <w:tcPr>
            <w:tcW w:w="850" w:type="dxa"/>
            <w:tcBorders>
              <w:tl2br w:val="nil"/>
              <w:tr2bl w:val="nil"/>
            </w:tcBorders>
            <w:noWrap w:val="0"/>
            <w:vAlign w:val="center"/>
          </w:tcPr>
          <w:p w14:paraId="05F61737">
            <w:pPr>
              <w:spacing w:line="300" w:lineRule="exact"/>
              <w:ind w:firstLine="0" w:firstLineChars="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2分</w:t>
            </w:r>
          </w:p>
        </w:tc>
        <w:tc>
          <w:tcPr>
            <w:tcW w:w="879" w:type="dxa"/>
            <w:tcBorders>
              <w:tl2br w:val="nil"/>
              <w:tr2bl w:val="nil"/>
            </w:tcBorders>
            <w:noWrap w:val="0"/>
            <w:vAlign w:val="center"/>
          </w:tcPr>
          <w:p w14:paraId="3E3B5A02">
            <w:pPr>
              <w:spacing w:line="300" w:lineRule="exact"/>
              <w:ind w:firstLine="480"/>
              <w:jc w:val="center"/>
              <w:rPr>
                <w:rFonts w:hint="default" w:ascii="Times New Roman" w:hAnsi="Times New Roman" w:eastAsia="宋体" w:cs="Times New Roman"/>
                <w:color w:val="auto"/>
                <w:sz w:val="24"/>
                <w:highlight w:val="none"/>
              </w:rPr>
            </w:pPr>
          </w:p>
        </w:tc>
        <w:tc>
          <w:tcPr>
            <w:tcW w:w="5054" w:type="dxa"/>
            <w:tcBorders>
              <w:tl2br w:val="nil"/>
              <w:tr2bl w:val="nil"/>
            </w:tcBorders>
            <w:noWrap w:val="0"/>
            <w:tcMar>
              <w:top w:w="85" w:type="dxa"/>
              <w:bottom w:w="85" w:type="dxa"/>
            </w:tcMar>
            <w:vAlign w:val="center"/>
          </w:tcPr>
          <w:p w14:paraId="3EC8EA1B">
            <w:pPr>
              <w:snapToGrid w:val="0"/>
              <w:spacing w:line="300" w:lineRule="exact"/>
              <w:ind w:firstLine="440" w:firstLineChars="200"/>
              <w:rPr>
                <w:rFonts w:hint="default" w:ascii="Times New Roman" w:hAnsi="Times New Roman" w:eastAsia="宋体" w:cs="Times New Roman"/>
                <w:color w:val="auto"/>
                <w:sz w:val="22"/>
                <w:szCs w:val="22"/>
                <w:highlight w:val="none"/>
              </w:rPr>
            </w:pPr>
            <w:r>
              <w:rPr>
                <w:rFonts w:hint="default" w:ascii="Times New Roman" w:hAnsi="Times New Roman" w:eastAsia="宋体" w:cs="Times New Roman"/>
                <w:color w:val="auto"/>
                <w:sz w:val="22"/>
                <w:szCs w:val="22"/>
                <w:highlight w:val="none"/>
              </w:rPr>
              <w:t>企业获得纳税A级得2分，依法按时、足额纳税的得1分，出现欠税、漏税行为及未达到相应资质标准的，每降低5%减0.5分，减完为止。</w:t>
            </w:r>
          </w:p>
        </w:tc>
      </w:tr>
      <w:tr w14:paraId="065006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559" w:type="dxa"/>
            <w:vMerge w:val="continue"/>
            <w:tcBorders>
              <w:tl2br w:val="nil"/>
              <w:tr2bl w:val="nil"/>
            </w:tcBorders>
            <w:noWrap w:val="0"/>
            <w:vAlign w:val="top"/>
          </w:tcPr>
          <w:p w14:paraId="176B8028">
            <w:pPr>
              <w:spacing w:line="300" w:lineRule="exact"/>
              <w:ind w:firstLine="420"/>
              <w:rPr>
                <w:rFonts w:hint="default" w:ascii="Times New Roman" w:hAnsi="Times New Roman" w:eastAsia="宋体" w:cs="Times New Roman"/>
                <w:color w:val="auto"/>
                <w:sz w:val="21"/>
                <w:highlight w:val="none"/>
              </w:rPr>
            </w:pPr>
          </w:p>
        </w:tc>
        <w:tc>
          <w:tcPr>
            <w:tcW w:w="2127" w:type="dxa"/>
            <w:tcBorders>
              <w:tl2br w:val="nil"/>
              <w:tr2bl w:val="nil"/>
            </w:tcBorders>
            <w:noWrap w:val="0"/>
            <w:vAlign w:val="center"/>
          </w:tcPr>
          <w:p w14:paraId="5AD56C09">
            <w:pPr>
              <w:spacing w:line="300" w:lineRule="exact"/>
              <w:ind w:firstLine="0" w:firstLineChars="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3、劳动生产率</w:t>
            </w:r>
          </w:p>
        </w:tc>
        <w:tc>
          <w:tcPr>
            <w:tcW w:w="3446" w:type="dxa"/>
            <w:tcBorders>
              <w:tl2br w:val="nil"/>
              <w:tr2bl w:val="nil"/>
            </w:tcBorders>
            <w:noWrap w:val="0"/>
            <w:vAlign w:val="center"/>
          </w:tcPr>
          <w:p w14:paraId="37B02534">
            <w:pPr>
              <w:spacing w:line="300" w:lineRule="exact"/>
              <w:ind w:firstLine="0" w:firstLineChars="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15万元人民币</w:t>
            </w:r>
          </w:p>
        </w:tc>
        <w:tc>
          <w:tcPr>
            <w:tcW w:w="850" w:type="dxa"/>
            <w:tcBorders>
              <w:tl2br w:val="nil"/>
              <w:tr2bl w:val="nil"/>
            </w:tcBorders>
            <w:noWrap w:val="0"/>
            <w:vAlign w:val="center"/>
          </w:tcPr>
          <w:p w14:paraId="6A0E651A">
            <w:pPr>
              <w:spacing w:line="300" w:lineRule="exact"/>
              <w:ind w:firstLine="0" w:firstLineChars="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2分</w:t>
            </w:r>
          </w:p>
        </w:tc>
        <w:tc>
          <w:tcPr>
            <w:tcW w:w="879" w:type="dxa"/>
            <w:tcBorders>
              <w:tl2br w:val="nil"/>
              <w:tr2bl w:val="nil"/>
            </w:tcBorders>
            <w:noWrap w:val="0"/>
            <w:vAlign w:val="center"/>
          </w:tcPr>
          <w:p w14:paraId="48812005">
            <w:pPr>
              <w:spacing w:line="300" w:lineRule="exact"/>
              <w:ind w:firstLine="480"/>
              <w:jc w:val="center"/>
              <w:rPr>
                <w:rFonts w:hint="default" w:ascii="Times New Roman" w:hAnsi="Times New Roman" w:eastAsia="宋体" w:cs="Times New Roman"/>
                <w:color w:val="auto"/>
                <w:sz w:val="24"/>
                <w:highlight w:val="none"/>
              </w:rPr>
            </w:pPr>
          </w:p>
        </w:tc>
        <w:tc>
          <w:tcPr>
            <w:tcW w:w="5054" w:type="dxa"/>
            <w:tcBorders>
              <w:tl2br w:val="nil"/>
              <w:tr2bl w:val="nil"/>
            </w:tcBorders>
            <w:noWrap w:val="0"/>
            <w:tcMar>
              <w:top w:w="85" w:type="dxa"/>
              <w:bottom w:w="85" w:type="dxa"/>
            </w:tcMar>
            <w:vAlign w:val="center"/>
          </w:tcPr>
          <w:p w14:paraId="0A0C57B6">
            <w:pPr>
              <w:snapToGrid w:val="0"/>
              <w:spacing w:line="300" w:lineRule="exact"/>
              <w:ind w:firstLine="440" w:firstLineChars="200"/>
              <w:rPr>
                <w:rFonts w:hint="default" w:ascii="Times New Roman" w:hAnsi="Times New Roman" w:eastAsia="宋体" w:cs="Times New Roman"/>
                <w:color w:val="auto"/>
                <w:sz w:val="22"/>
                <w:szCs w:val="22"/>
                <w:highlight w:val="none"/>
              </w:rPr>
            </w:pPr>
            <w:r>
              <w:rPr>
                <w:rFonts w:hint="default" w:ascii="Times New Roman" w:hAnsi="Times New Roman" w:eastAsia="宋体" w:cs="Times New Roman"/>
                <w:color w:val="auto"/>
                <w:sz w:val="22"/>
                <w:szCs w:val="22"/>
                <w:highlight w:val="none"/>
              </w:rPr>
              <w:t>按企业自有职工计算人均产值达到15万元人民币得2分，每降低5万减0.5分，减完为止。</w:t>
            </w:r>
          </w:p>
        </w:tc>
      </w:tr>
      <w:tr w14:paraId="02002B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559" w:type="dxa"/>
            <w:vMerge w:val="continue"/>
            <w:tcBorders>
              <w:tl2br w:val="nil"/>
              <w:tr2bl w:val="nil"/>
            </w:tcBorders>
            <w:noWrap w:val="0"/>
            <w:vAlign w:val="top"/>
          </w:tcPr>
          <w:p w14:paraId="64899EB1">
            <w:pPr>
              <w:spacing w:line="300" w:lineRule="exact"/>
              <w:ind w:firstLine="420"/>
              <w:rPr>
                <w:rFonts w:hint="default" w:ascii="Times New Roman" w:hAnsi="Times New Roman" w:eastAsia="宋体" w:cs="Times New Roman"/>
                <w:color w:val="auto"/>
                <w:sz w:val="21"/>
                <w:highlight w:val="none"/>
              </w:rPr>
            </w:pPr>
          </w:p>
        </w:tc>
        <w:tc>
          <w:tcPr>
            <w:tcW w:w="2127" w:type="dxa"/>
            <w:tcBorders>
              <w:tl2br w:val="nil"/>
              <w:tr2bl w:val="nil"/>
            </w:tcBorders>
            <w:noWrap w:val="0"/>
            <w:vAlign w:val="center"/>
          </w:tcPr>
          <w:p w14:paraId="2C5E7FE4">
            <w:pPr>
              <w:spacing w:line="300" w:lineRule="exact"/>
              <w:ind w:firstLine="0" w:firstLineChars="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4、净资产收益率</w:t>
            </w:r>
          </w:p>
        </w:tc>
        <w:tc>
          <w:tcPr>
            <w:tcW w:w="3446" w:type="dxa"/>
            <w:tcBorders>
              <w:tl2br w:val="nil"/>
              <w:tr2bl w:val="nil"/>
            </w:tcBorders>
            <w:noWrap w:val="0"/>
            <w:vAlign w:val="center"/>
          </w:tcPr>
          <w:p w14:paraId="6FFCF784">
            <w:pPr>
              <w:spacing w:line="300" w:lineRule="exact"/>
              <w:ind w:firstLine="0" w:firstLineChars="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大于20%</w:t>
            </w:r>
          </w:p>
        </w:tc>
        <w:tc>
          <w:tcPr>
            <w:tcW w:w="850" w:type="dxa"/>
            <w:tcBorders>
              <w:tl2br w:val="nil"/>
              <w:tr2bl w:val="nil"/>
            </w:tcBorders>
            <w:noWrap w:val="0"/>
            <w:vAlign w:val="center"/>
          </w:tcPr>
          <w:p w14:paraId="3FD57918">
            <w:pPr>
              <w:spacing w:line="300" w:lineRule="exact"/>
              <w:ind w:firstLine="0" w:firstLineChars="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2分</w:t>
            </w:r>
          </w:p>
        </w:tc>
        <w:tc>
          <w:tcPr>
            <w:tcW w:w="879" w:type="dxa"/>
            <w:tcBorders>
              <w:tl2br w:val="nil"/>
              <w:tr2bl w:val="nil"/>
            </w:tcBorders>
            <w:noWrap w:val="0"/>
            <w:vAlign w:val="center"/>
          </w:tcPr>
          <w:p w14:paraId="535CA237">
            <w:pPr>
              <w:spacing w:line="300" w:lineRule="exact"/>
              <w:ind w:firstLine="480"/>
              <w:jc w:val="center"/>
              <w:rPr>
                <w:rFonts w:hint="default" w:ascii="Times New Roman" w:hAnsi="Times New Roman" w:eastAsia="宋体" w:cs="Times New Roman"/>
                <w:color w:val="auto"/>
                <w:sz w:val="24"/>
                <w:highlight w:val="none"/>
              </w:rPr>
            </w:pPr>
          </w:p>
        </w:tc>
        <w:tc>
          <w:tcPr>
            <w:tcW w:w="5054" w:type="dxa"/>
            <w:tcBorders>
              <w:tl2br w:val="nil"/>
              <w:tr2bl w:val="nil"/>
            </w:tcBorders>
            <w:noWrap w:val="0"/>
            <w:tcMar>
              <w:top w:w="85" w:type="dxa"/>
              <w:bottom w:w="85" w:type="dxa"/>
            </w:tcMar>
            <w:vAlign w:val="center"/>
          </w:tcPr>
          <w:p w14:paraId="1B144663">
            <w:pPr>
              <w:snapToGrid w:val="0"/>
              <w:spacing w:line="300" w:lineRule="exact"/>
              <w:ind w:firstLine="440" w:firstLineChars="200"/>
              <w:rPr>
                <w:rFonts w:hint="default" w:ascii="Times New Roman" w:hAnsi="Times New Roman" w:eastAsia="宋体" w:cs="Times New Roman"/>
                <w:color w:val="auto"/>
                <w:sz w:val="22"/>
                <w:szCs w:val="22"/>
                <w:highlight w:val="none"/>
              </w:rPr>
            </w:pPr>
            <w:r>
              <w:rPr>
                <w:rFonts w:hint="default" w:ascii="Times New Roman" w:hAnsi="Times New Roman" w:eastAsia="宋体" w:cs="Times New Roman"/>
                <w:color w:val="auto"/>
                <w:sz w:val="22"/>
                <w:szCs w:val="22"/>
                <w:highlight w:val="none"/>
              </w:rPr>
              <w:t>净资产收益率大于20%者得2分，每降低1%减0.5分，减完为止。</w:t>
            </w:r>
          </w:p>
        </w:tc>
      </w:tr>
      <w:tr w14:paraId="5BA709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559" w:type="dxa"/>
            <w:vMerge w:val="continue"/>
            <w:tcBorders>
              <w:tl2br w:val="nil"/>
              <w:tr2bl w:val="nil"/>
            </w:tcBorders>
            <w:noWrap w:val="0"/>
            <w:vAlign w:val="top"/>
          </w:tcPr>
          <w:p w14:paraId="6CA9095D">
            <w:pPr>
              <w:spacing w:line="300" w:lineRule="exact"/>
              <w:ind w:firstLine="420"/>
              <w:rPr>
                <w:rFonts w:hint="default" w:ascii="Times New Roman" w:hAnsi="Times New Roman" w:eastAsia="宋体" w:cs="Times New Roman"/>
                <w:color w:val="auto"/>
                <w:sz w:val="21"/>
                <w:highlight w:val="none"/>
              </w:rPr>
            </w:pPr>
          </w:p>
        </w:tc>
        <w:tc>
          <w:tcPr>
            <w:tcW w:w="2127" w:type="dxa"/>
            <w:tcBorders>
              <w:tl2br w:val="nil"/>
              <w:tr2bl w:val="nil"/>
            </w:tcBorders>
            <w:noWrap w:val="0"/>
            <w:vAlign w:val="center"/>
          </w:tcPr>
          <w:p w14:paraId="55D180F4">
            <w:pPr>
              <w:spacing w:line="300" w:lineRule="exact"/>
              <w:ind w:firstLine="0" w:firstLineChars="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5、资产负债率</w:t>
            </w:r>
          </w:p>
        </w:tc>
        <w:tc>
          <w:tcPr>
            <w:tcW w:w="3446" w:type="dxa"/>
            <w:tcBorders>
              <w:tl2br w:val="nil"/>
              <w:tr2bl w:val="nil"/>
            </w:tcBorders>
            <w:noWrap w:val="0"/>
            <w:vAlign w:val="center"/>
          </w:tcPr>
          <w:p w14:paraId="5D50AE20">
            <w:pPr>
              <w:spacing w:line="300" w:lineRule="exact"/>
              <w:ind w:firstLine="0" w:firstLineChars="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小于80%</w:t>
            </w:r>
          </w:p>
        </w:tc>
        <w:tc>
          <w:tcPr>
            <w:tcW w:w="850" w:type="dxa"/>
            <w:tcBorders>
              <w:tl2br w:val="nil"/>
              <w:tr2bl w:val="nil"/>
            </w:tcBorders>
            <w:noWrap w:val="0"/>
            <w:vAlign w:val="center"/>
          </w:tcPr>
          <w:p w14:paraId="44BD25DD">
            <w:pPr>
              <w:spacing w:line="300" w:lineRule="exact"/>
              <w:ind w:firstLine="0" w:firstLineChars="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2分</w:t>
            </w:r>
          </w:p>
        </w:tc>
        <w:tc>
          <w:tcPr>
            <w:tcW w:w="879" w:type="dxa"/>
            <w:tcBorders>
              <w:tl2br w:val="nil"/>
              <w:tr2bl w:val="nil"/>
            </w:tcBorders>
            <w:noWrap w:val="0"/>
            <w:vAlign w:val="center"/>
          </w:tcPr>
          <w:p w14:paraId="29309E9E">
            <w:pPr>
              <w:spacing w:line="300" w:lineRule="exact"/>
              <w:ind w:firstLine="480"/>
              <w:jc w:val="center"/>
              <w:rPr>
                <w:rFonts w:hint="default" w:ascii="Times New Roman" w:hAnsi="Times New Roman" w:eastAsia="宋体" w:cs="Times New Roman"/>
                <w:color w:val="auto"/>
                <w:sz w:val="24"/>
                <w:highlight w:val="none"/>
              </w:rPr>
            </w:pPr>
          </w:p>
        </w:tc>
        <w:tc>
          <w:tcPr>
            <w:tcW w:w="5054" w:type="dxa"/>
            <w:tcBorders>
              <w:tl2br w:val="nil"/>
              <w:tr2bl w:val="nil"/>
            </w:tcBorders>
            <w:noWrap w:val="0"/>
            <w:tcMar>
              <w:top w:w="85" w:type="dxa"/>
              <w:bottom w:w="85" w:type="dxa"/>
            </w:tcMar>
            <w:vAlign w:val="center"/>
          </w:tcPr>
          <w:p w14:paraId="4B433561">
            <w:pPr>
              <w:snapToGrid w:val="0"/>
              <w:spacing w:line="300" w:lineRule="exact"/>
              <w:ind w:firstLine="440" w:firstLineChars="200"/>
              <w:rPr>
                <w:rFonts w:hint="default" w:ascii="Times New Roman" w:hAnsi="Times New Roman" w:eastAsia="宋体" w:cs="Times New Roman"/>
                <w:color w:val="auto"/>
                <w:sz w:val="22"/>
                <w:szCs w:val="22"/>
                <w:highlight w:val="none"/>
              </w:rPr>
            </w:pPr>
            <w:r>
              <w:rPr>
                <w:rFonts w:hint="default" w:ascii="Times New Roman" w:hAnsi="Times New Roman" w:eastAsia="宋体" w:cs="Times New Roman"/>
                <w:color w:val="auto"/>
                <w:sz w:val="22"/>
                <w:szCs w:val="22"/>
                <w:highlight w:val="none"/>
              </w:rPr>
              <w:t>资产负债率小于80%者得2分，每增加5%减1分，减完为止。</w:t>
            </w:r>
          </w:p>
        </w:tc>
      </w:tr>
      <w:tr w14:paraId="3B7A23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559" w:type="dxa"/>
            <w:vMerge w:val="continue"/>
            <w:tcBorders>
              <w:tl2br w:val="nil"/>
              <w:tr2bl w:val="nil"/>
            </w:tcBorders>
            <w:noWrap w:val="0"/>
            <w:vAlign w:val="top"/>
          </w:tcPr>
          <w:p w14:paraId="47F6A898">
            <w:pPr>
              <w:spacing w:line="300" w:lineRule="exact"/>
              <w:ind w:firstLine="420"/>
              <w:rPr>
                <w:rFonts w:hint="default" w:ascii="Times New Roman" w:hAnsi="Times New Roman" w:eastAsia="宋体" w:cs="Times New Roman"/>
                <w:color w:val="auto"/>
                <w:sz w:val="21"/>
                <w:highlight w:val="none"/>
              </w:rPr>
            </w:pPr>
          </w:p>
        </w:tc>
        <w:tc>
          <w:tcPr>
            <w:tcW w:w="2127" w:type="dxa"/>
            <w:tcBorders>
              <w:tl2br w:val="nil"/>
              <w:tr2bl w:val="nil"/>
            </w:tcBorders>
            <w:noWrap w:val="0"/>
            <w:vAlign w:val="center"/>
          </w:tcPr>
          <w:p w14:paraId="78E21B1C">
            <w:pPr>
              <w:spacing w:line="300" w:lineRule="exact"/>
              <w:ind w:firstLine="0" w:firstLineChars="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6、产值利润率</w:t>
            </w:r>
          </w:p>
        </w:tc>
        <w:tc>
          <w:tcPr>
            <w:tcW w:w="3446" w:type="dxa"/>
            <w:tcBorders>
              <w:tl2br w:val="nil"/>
              <w:tr2bl w:val="nil"/>
            </w:tcBorders>
            <w:noWrap w:val="0"/>
            <w:vAlign w:val="center"/>
          </w:tcPr>
          <w:p w14:paraId="21139380">
            <w:pPr>
              <w:spacing w:line="300" w:lineRule="exact"/>
              <w:ind w:firstLine="0" w:firstLineChars="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大于3%</w:t>
            </w:r>
          </w:p>
        </w:tc>
        <w:tc>
          <w:tcPr>
            <w:tcW w:w="850" w:type="dxa"/>
            <w:tcBorders>
              <w:tl2br w:val="nil"/>
              <w:tr2bl w:val="nil"/>
            </w:tcBorders>
            <w:noWrap w:val="0"/>
            <w:vAlign w:val="center"/>
          </w:tcPr>
          <w:p w14:paraId="54654457">
            <w:pPr>
              <w:spacing w:line="300" w:lineRule="exact"/>
              <w:ind w:firstLine="0" w:firstLineChars="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2分</w:t>
            </w:r>
          </w:p>
        </w:tc>
        <w:tc>
          <w:tcPr>
            <w:tcW w:w="879" w:type="dxa"/>
            <w:tcBorders>
              <w:tl2br w:val="nil"/>
              <w:tr2bl w:val="nil"/>
            </w:tcBorders>
            <w:noWrap w:val="0"/>
            <w:vAlign w:val="center"/>
          </w:tcPr>
          <w:p w14:paraId="7A31B18B">
            <w:pPr>
              <w:spacing w:line="300" w:lineRule="exact"/>
              <w:ind w:firstLine="480"/>
              <w:jc w:val="center"/>
              <w:rPr>
                <w:rFonts w:hint="default" w:ascii="Times New Roman" w:hAnsi="Times New Roman" w:eastAsia="宋体" w:cs="Times New Roman"/>
                <w:color w:val="auto"/>
                <w:sz w:val="24"/>
                <w:highlight w:val="none"/>
              </w:rPr>
            </w:pPr>
          </w:p>
        </w:tc>
        <w:tc>
          <w:tcPr>
            <w:tcW w:w="5054" w:type="dxa"/>
            <w:tcBorders>
              <w:tl2br w:val="nil"/>
              <w:tr2bl w:val="nil"/>
            </w:tcBorders>
            <w:noWrap w:val="0"/>
            <w:tcMar>
              <w:top w:w="85" w:type="dxa"/>
              <w:bottom w:w="85" w:type="dxa"/>
            </w:tcMar>
            <w:vAlign w:val="center"/>
          </w:tcPr>
          <w:p w14:paraId="7C3C01AB">
            <w:pPr>
              <w:snapToGrid w:val="0"/>
              <w:spacing w:line="300" w:lineRule="exact"/>
              <w:ind w:firstLine="440" w:firstLineChars="200"/>
              <w:rPr>
                <w:rFonts w:hint="default" w:ascii="Times New Roman" w:hAnsi="Times New Roman" w:eastAsia="宋体" w:cs="Times New Roman"/>
                <w:color w:val="auto"/>
                <w:sz w:val="22"/>
                <w:szCs w:val="22"/>
                <w:highlight w:val="none"/>
              </w:rPr>
            </w:pPr>
            <w:r>
              <w:rPr>
                <w:rFonts w:hint="default" w:ascii="Times New Roman" w:hAnsi="Times New Roman" w:eastAsia="宋体" w:cs="Times New Roman"/>
                <w:color w:val="auto"/>
                <w:sz w:val="22"/>
                <w:szCs w:val="22"/>
                <w:highlight w:val="none"/>
              </w:rPr>
              <w:t>产值利润率大于3%者得2分，每减少0.5%减0.5分，减完为止。</w:t>
            </w:r>
          </w:p>
        </w:tc>
      </w:tr>
    </w:tbl>
    <w:p w14:paraId="3BA09503">
      <w:pPr>
        <w:spacing w:line="300" w:lineRule="exact"/>
        <w:ind w:firstLine="420"/>
        <w:rPr>
          <w:rFonts w:hint="default" w:ascii="Times New Roman" w:hAnsi="Times New Roman" w:eastAsia="宋体" w:cs="Times New Roman"/>
          <w:color w:val="auto"/>
          <w:sz w:val="21"/>
          <w:highlight w:val="none"/>
        </w:rPr>
      </w:pPr>
      <w:r>
        <w:rPr>
          <w:rFonts w:hint="default" w:ascii="Times New Roman" w:hAnsi="Times New Roman" w:eastAsia="宋体" w:cs="Times New Roman"/>
          <w:color w:val="auto"/>
          <w:sz w:val="21"/>
          <w:highlight w:val="none"/>
        </w:rPr>
        <w:br w:type="page"/>
      </w:r>
    </w:p>
    <w:tbl>
      <w:tblPr>
        <w:tblStyle w:val="27"/>
        <w:tblW w:w="13832"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1518"/>
        <w:gridCol w:w="2108"/>
        <w:gridCol w:w="3499"/>
        <w:gridCol w:w="895"/>
        <w:gridCol w:w="851"/>
        <w:gridCol w:w="4961"/>
      </w:tblGrid>
      <w:tr w14:paraId="499B471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93" w:hRule="atLeast"/>
          <w:jc w:val="center"/>
        </w:trPr>
        <w:tc>
          <w:tcPr>
            <w:tcW w:w="1518" w:type="dxa"/>
            <w:vMerge w:val="restart"/>
            <w:tcBorders>
              <w:tl2br w:val="nil"/>
              <w:tr2bl w:val="nil"/>
            </w:tcBorders>
            <w:noWrap w:val="0"/>
            <w:vAlign w:val="center"/>
          </w:tcPr>
          <w:p w14:paraId="76C5C092">
            <w:pPr>
              <w:spacing w:line="300" w:lineRule="exact"/>
              <w:ind w:left="354" w:right="-31" w:rightChars="-15" w:hanging="354" w:hangingChars="147"/>
              <w:rPr>
                <w:rFonts w:hint="default" w:ascii="Times New Roman" w:hAnsi="Times New Roman" w:eastAsia="宋体" w:cs="Times New Roman"/>
                <w:b/>
                <w:color w:val="auto"/>
                <w:sz w:val="24"/>
                <w:highlight w:val="none"/>
              </w:rPr>
            </w:pPr>
            <w:r>
              <w:rPr>
                <w:rFonts w:hint="default" w:ascii="Times New Roman" w:hAnsi="Times New Roman" w:eastAsia="宋体" w:cs="Times New Roman"/>
                <w:b/>
                <w:color w:val="auto"/>
                <w:sz w:val="24"/>
                <w:highlight w:val="none"/>
              </w:rPr>
              <w:t>三、管理指标</w:t>
            </w:r>
            <w:r>
              <w:rPr>
                <w:rFonts w:hint="default" w:ascii="Times New Roman" w:hAnsi="Times New Roman" w:eastAsia="宋体" w:cs="Times New Roman"/>
                <w:b/>
                <w:color w:val="auto"/>
                <w:sz w:val="24"/>
                <w:highlight w:val="none"/>
                <w:shd w:val="clear" w:color="auto" w:fill="auto"/>
                <w:lang w:val="en-US" w:eastAsia="zh-CN"/>
              </w:rPr>
              <w:t>30</w:t>
            </w:r>
            <w:r>
              <w:rPr>
                <w:rFonts w:hint="default" w:ascii="Times New Roman" w:hAnsi="Times New Roman" w:eastAsia="宋体" w:cs="Times New Roman"/>
                <w:b/>
                <w:color w:val="auto"/>
                <w:sz w:val="24"/>
                <w:highlight w:val="none"/>
                <w:shd w:val="clear" w:color="auto" w:fill="auto"/>
              </w:rPr>
              <w:t>分</w:t>
            </w:r>
          </w:p>
        </w:tc>
        <w:tc>
          <w:tcPr>
            <w:tcW w:w="2108" w:type="dxa"/>
            <w:tcBorders>
              <w:tl2br w:val="nil"/>
              <w:tr2bl w:val="nil"/>
            </w:tcBorders>
            <w:noWrap w:val="0"/>
            <w:vAlign w:val="center"/>
          </w:tcPr>
          <w:p w14:paraId="5F95A8D0">
            <w:pPr>
              <w:spacing w:line="300" w:lineRule="exact"/>
              <w:ind w:firstLine="0" w:firstLineChars="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1、工程质量</w:t>
            </w:r>
          </w:p>
        </w:tc>
        <w:tc>
          <w:tcPr>
            <w:tcW w:w="3499" w:type="dxa"/>
            <w:tcBorders>
              <w:tl2br w:val="nil"/>
              <w:tr2bl w:val="nil"/>
            </w:tcBorders>
            <w:noWrap w:val="0"/>
            <w:vAlign w:val="center"/>
          </w:tcPr>
          <w:p w14:paraId="6EBAE8FE">
            <w:pPr>
              <w:spacing w:line="300" w:lineRule="exact"/>
              <w:ind w:firstLine="0" w:firstLineChars="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所监理的工程质量合格率100%；无直接经济损失100万元人民币以上的质量事故，工程质量创优</w:t>
            </w:r>
          </w:p>
        </w:tc>
        <w:tc>
          <w:tcPr>
            <w:tcW w:w="895" w:type="dxa"/>
            <w:tcBorders>
              <w:tl2br w:val="nil"/>
              <w:tr2bl w:val="nil"/>
            </w:tcBorders>
            <w:noWrap w:val="0"/>
            <w:vAlign w:val="center"/>
          </w:tcPr>
          <w:p w14:paraId="5A9B549A">
            <w:pPr>
              <w:spacing w:line="300" w:lineRule="exact"/>
              <w:ind w:firstLine="0" w:firstLineChars="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10分</w:t>
            </w:r>
          </w:p>
        </w:tc>
        <w:tc>
          <w:tcPr>
            <w:tcW w:w="851" w:type="dxa"/>
            <w:tcBorders>
              <w:tl2br w:val="nil"/>
              <w:tr2bl w:val="nil"/>
            </w:tcBorders>
            <w:noWrap w:val="0"/>
            <w:vAlign w:val="center"/>
          </w:tcPr>
          <w:p w14:paraId="27866D07">
            <w:pPr>
              <w:spacing w:line="300" w:lineRule="exact"/>
              <w:ind w:firstLine="480"/>
              <w:jc w:val="center"/>
              <w:rPr>
                <w:rFonts w:hint="default" w:ascii="Times New Roman" w:hAnsi="Times New Roman" w:eastAsia="宋体" w:cs="Times New Roman"/>
                <w:color w:val="auto"/>
                <w:sz w:val="24"/>
                <w:highlight w:val="none"/>
              </w:rPr>
            </w:pPr>
          </w:p>
        </w:tc>
        <w:tc>
          <w:tcPr>
            <w:tcW w:w="4961" w:type="dxa"/>
            <w:tcBorders>
              <w:tl2br w:val="nil"/>
              <w:tr2bl w:val="nil"/>
            </w:tcBorders>
            <w:noWrap w:val="0"/>
            <w:tcMar>
              <w:top w:w="113" w:type="dxa"/>
              <w:bottom w:w="113" w:type="dxa"/>
            </w:tcMar>
            <w:vAlign w:val="center"/>
          </w:tcPr>
          <w:p w14:paraId="708053DC">
            <w:pPr>
              <w:spacing w:line="300" w:lineRule="exact"/>
              <w:ind w:firstLine="440"/>
              <w:rPr>
                <w:rFonts w:hint="default" w:ascii="Times New Roman" w:hAnsi="Times New Roman" w:eastAsia="宋体" w:cs="Times New Roman"/>
                <w:color w:val="auto"/>
                <w:sz w:val="22"/>
                <w:szCs w:val="22"/>
                <w:highlight w:val="none"/>
              </w:rPr>
            </w:pPr>
            <w:r>
              <w:rPr>
                <w:rFonts w:hint="default" w:ascii="Times New Roman" w:hAnsi="Times New Roman" w:cs="Times New Roman"/>
                <w:color w:val="auto"/>
                <w:sz w:val="22"/>
                <w:szCs w:val="22"/>
                <w:highlight w:val="none"/>
                <w:lang w:val="en-US" w:eastAsia="zh-CN"/>
              </w:rPr>
              <w:t>1、</w:t>
            </w:r>
            <w:r>
              <w:rPr>
                <w:rFonts w:hint="default" w:ascii="Times New Roman" w:hAnsi="Times New Roman" w:eastAsia="宋体" w:cs="Times New Roman"/>
                <w:color w:val="auto"/>
                <w:sz w:val="22"/>
                <w:szCs w:val="22"/>
                <w:highlight w:val="none"/>
              </w:rPr>
              <w:t>已竣工工程质量合格率100%的得4分，不符合的不得分；</w:t>
            </w:r>
          </w:p>
          <w:p w14:paraId="472794D2">
            <w:pPr>
              <w:spacing w:line="300" w:lineRule="exact"/>
              <w:ind w:firstLine="440"/>
              <w:rPr>
                <w:rFonts w:hint="default" w:ascii="Times New Roman" w:hAnsi="Times New Roman" w:eastAsia="宋体" w:cs="Times New Roman"/>
                <w:color w:val="auto"/>
                <w:sz w:val="22"/>
                <w:szCs w:val="22"/>
                <w:highlight w:val="none"/>
              </w:rPr>
            </w:pPr>
            <w:r>
              <w:rPr>
                <w:rFonts w:hint="default" w:ascii="Times New Roman" w:hAnsi="Times New Roman" w:cs="Times New Roman"/>
                <w:color w:val="auto"/>
                <w:sz w:val="22"/>
                <w:szCs w:val="22"/>
                <w:highlight w:val="none"/>
                <w:lang w:val="en-US" w:eastAsia="zh-CN"/>
              </w:rPr>
              <w:t>2、</w:t>
            </w:r>
            <w:r>
              <w:rPr>
                <w:rFonts w:hint="default" w:ascii="Times New Roman" w:hAnsi="Times New Roman" w:eastAsia="宋体" w:cs="Times New Roman"/>
                <w:color w:val="auto"/>
                <w:sz w:val="22"/>
                <w:szCs w:val="22"/>
                <w:highlight w:val="none"/>
              </w:rPr>
              <w:t>作为承建单位，获得鲁班奖、国家优质工程奖金奖的每项得8分，获得其他国家级工程奖项的每项得6分，获得省级工程奖项的每项得4分，获得市级工程奖项的每项得2分；作为联合体监理单位，分数减半（同一工程项目以最高奖计分）。</w:t>
            </w:r>
          </w:p>
          <w:p w14:paraId="78D29919">
            <w:pPr>
              <w:spacing w:line="300" w:lineRule="exact"/>
              <w:ind w:firstLine="440"/>
              <w:rPr>
                <w:rFonts w:hint="default" w:ascii="Times New Roman" w:hAnsi="Times New Roman" w:eastAsia="宋体" w:cs="Times New Roman"/>
                <w:color w:val="auto"/>
                <w:sz w:val="22"/>
                <w:szCs w:val="22"/>
                <w:highlight w:val="none"/>
              </w:rPr>
            </w:pPr>
            <w:r>
              <w:rPr>
                <w:rFonts w:hint="default" w:ascii="Times New Roman" w:hAnsi="Times New Roman" w:cs="Times New Roman"/>
                <w:color w:val="auto"/>
                <w:sz w:val="22"/>
                <w:szCs w:val="22"/>
                <w:highlight w:val="none"/>
                <w:lang w:val="en-US" w:eastAsia="zh-CN"/>
              </w:rPr>
              <w:t>3、</w:t>
            </w:r>
            <w:r>
              <w:rPr>
                <w:rFonts w:hint="default" w:ascii="Times New Roman" w:hAnsi="Times New Roman" w:eastAsia="宋体" w:cs="Times New Roman"/>
                <w:color w:val="auto"/>
                <w:sz w:val="22"/>
                <w:szCs w:val="22"/>
                <w:highlight w:val="none"/>
              </w:rPr>
              <w:t>每发生一起经济损失100万元人民币以上的质量事故者减1分，减完为止。</w:t>
            </w:r>
          </w:p>
          <w:p w14:paraId="4C50E10E">
            <w:pPr>
              <w:spacing w:line="300" w:lineRule="exact"/>
              <w:ind w:firstLine="440"/>
              <w:rPr>
                <w:rFonts w:hint="default" w:ascii="Times New Roman" w:hAnsi="Times New Roman" w:eastAsia="宋体" w:cs="Times New Roman"/>
                <w:color w:val="auto"/>
                <w:sz w:val="24"/>
                <w:highlight w:val="none"/>
              </w:rPr>
            </w:pPr>
            <w:r>
              <w:rPr>
                <w:rFonts w:hint="default" w:ascii="Times New Roman" w:hAnsi="Times New Roman" w:cs="Times New Roman"/>
                <w:color w:val="auto"/>
                <w:sz w:val="22"/>
                <w:szCs w:val="22"/>
                <w:highlight w:val="none"/>
                <w:lang w:val="en-US" w:eastAsia="zh-CN"/>
              </w:rPr>
              <w:t>4、</w:t>
            </w:r>
            <w:r>
              <w:rPr>
                <w:rFonts w:hint="default" w:ascii="Times New Roman" w:hAnsi="Times New Roman" w:eastAsia="宋体" w:cs="Times New Roman"/>
                <w:color w:val="auto"/>
                <w:sz w:val="22"/>
                <w:szCs w:val="22"/>
                <w:highlight w:val="none"/>
              </w:rPr>
              <w:t>本项满分可得10分。</w:t>
            </w:r>
          </w:p>
        </w:tc>
      </w:tr>
      <w:tr w14:paraId="3505304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871" w:hRule="atLeast"/>
          <w:jc w:val="center"/>
        </w:trPr>
        <w:tc>
          <w:tcPr>
            <w:tcW w:w="1518" w:type="dxa"/>
            <w:vMerge w:val="continue"/>
            <w:tcBorders>
              <w:tl2br w:val="nil"/>
              <w:tr2bl w:val="nil"/>
            </w:tcBorders>
            <w:noWrap w:val="0"/>
            <w:vAlign w:val="center"/>
          </w:tcPr>
          <w:p w14:paraId="3DCB7675">
            <w:pPr>
              <w:spacing w:line="300" w:lineRule="exact"/>
              <w:ind w:left="354" w:right="-31" w:rightChars="-15" w:hanging="354" w:hangingChars="147"/>
              <w:rPr>
                <w:rFonts w:hint="default" w:ascii="Times New Roman" w:hAnsi="Times New Roman" w:eastAsia="宋体" w:cs="Times New Roman"/>
                <w:b/>
                <w:color w:val="auto"/>
                <w:sz w:val="24"/>
                <w:highlight w:val="none"/>
              </w:rPr>
            </w:pPr>
          </w:p>
        </w:tc>
        <w:tc>
          <w:tcPr>
            <w:tcW w:w="2108" w:type="dxa"/>
            <w:tcBorders>
              <w:tl2br w:val="nil"/>
              <w:tr2bl w:val="nil"/>
            </w:tcBorders>
            <w:noWrap w:val="0"/>
            <w:vAlign w:val="center"/>
          </w:tcPr>
          <w:p w14:paraId="3B4B66C3">
            <w:pPr>
              <w:spacing w:line="300" w:lineRule="exact"/>
              <w:ind w:firstLine="0" w:firstLineChars="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2、安全生产、文明施工</w:t>
            </w:r>
          </w:p>
        </w:tc>
        <w:tc>
          <w:tcPr>
            <w:tcW w:w="3499" w:type="dxa"/>
            <w:tcBorders>
              <w:tl2br w:val="nil"/>
              <w:tr2bl w:val="nil"/>
            </w:tcBorders>
            <w:noWrap w:val="0"/>
            <w:vAlign w:val="center"/>
          </w:tcPr>
          <w:p w14:paraId="05C820E4">
            <w:pPr>
              <w:spacing w:line="300" w:lineRule="exact"/>
              <w:ind w:firstLine="0" w:firstLineChars="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企业建立文明施工的标准、监督、考评制度；所监理的工程无生产安全较大事故发生；无环保、卫生、治安、消防等部门的重大处罚；获省或市安全文明双优工地称号</w:t>
            </w:r>
          </w:p>
        </w:tc>
        <w:tc>
          <w:tcPr>
            <w:tcW w:w="895" w:type="dxa"/>
            <w:tcBorders>
              <w:tl2br w:val="nil"/>
              <w:tr2bl w:val="nil"/>
            </w:tcBorders>
            <w:noWrap w:val="0"/>
            <w:vAlign w:val="center"/>
          </w:tcPr>
          <w:p w14:paraId="2B7D2712">
            <w:pPr>
              <w:spacing w:line="300" w:lineRule="exact"/>
              <w:ind w:firstLine="0" w:firstLineChars="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10分</w:t>
            </w:r>
          </w:p>
        </w:tc>
        <w:tc>
          <w:tcPr>
            <w:tcW w:w="851" w:type="dxa"/>
            <w:tcBorders>
              <w:tl2br w:val="nil"/>
              <w:tr2bl w:val="nil"/>
            </w:tcBorders>
            <w:noWrap w:val="0"/>
            <w:vAlign w:val="center"/>
          </w:tcPr>
          <w:p w14:paraId="7ED80C2C">
            <w:pPr>
              <w:spacing w:line="300" w:lineRule="exact"/>
              <w:ind w:firstLine="480"/>
              <w:jc w:val="center"/>
              <w:rPr>
                <w:rFonts w:hint="default" w:ascii="Times New Roman" w:hAnsi="Times New Roman" w:eastAsia="宋体" w:cs="Times New Roman"/>
                <w:color w:val="auto"/>
                <w:sz w:val="24"/>
                <w:highlight w:val="none"/>
              </w:rPr>
            </w:pPr>
          </w:p>
        </w:tc>
        <w:tc>
          <w:tcPr>
            <w:tcW w:w="4961" w:type="dxa"/>
            <w:tcBorders>
              <w:tl2br w:val="nil"/>
              <w:tr2bl w:val="nil"/>
            </w:tcBorders>
            <w:noWrap w:val="0"/>
            <w:tcMar>
              <w:top w:w="113" w:type="dxa"/>
              <w:bottom w:w="113" w:type="dxa"/>
            </w:tcMar>
            <w:vAlign w:val="center"/>
          </w:tcPr>
          <w:p w14:paraId="3055EBBA">
            <w:pPr>
              <w:spacing w:line="300" w:lineRule="exact"/>
              <w:ind w:firstLine="440"/>
              <w:rPr>
                <w:rFonts w:hint="default" w:ascii="Times New Roman" w:hAnsi="Times New Roman" w:eastAsia="宋体" w:cs="Times New Roman"/>
                <w:color w:val="auto"/>
                <w:sz w:val="22"/>
                <w:szCs w:val="22"/>
                <w:highlight w:val="none"/>
              </w:rPr>
            </w:pPr>
            <w:r>
              <w:rPr>
                <w:rFonts w:hint="default" w:ascii="Times New Roman" w:hAnsi="Times New Roman" w:eastAsia="宋体" w:cs="Times New Roman"/>
                <w:color w:val="auto"/>
                <w:sz w:val="22"/>
                <w:szCs w:val="22"/>
                <w:highlight w:val="none"/>
              </w:rPr>
              <w:t>1、无生产安全事故的得5分，发生一般生产安全事故的每起减2分，发生生产安全较大事故者不得分。</w:t>
            </w:r>
          </w:p>
          <w:p w14:paraId="676A8259">
            <w:pPr>
              <w:spacing w:line="300" w:lineRule="exact"/>
              <w:ind w:firstLine="440"/>
              <w:rPr>
                <w:rFonts w:hint="default" w:ascii="Times New Roman" w:hAnsi="Times New Roman" w:eastAsia="宋体" w:cs="Times New Roman"/>
                <w:color w:val="auto"/>
                <w:sz w:val="22"/>
                <w:szCs w:val="22"/>
                <w:highlight w:val="none"/>
              </w:rPr>
            </w:pPr>
            <w:r>
              <w:rPr>
                <w:rFonts w:hint="default" w:ascii="Times New Roman" w:hAnsi="Times New Roman" w:eastAsia="宋体" w:cs="Times New Roman"/>
                <w:color w:val="auto"/>
                <w:sz w:val="22"/>
                <w:szCs w:val="22"/>
                <w:highlight w:val="none"/>
              </w:rPr>
              <w:t>2、获得省级及以上房屋市政工程安全生产文明施工示范工地或省建筑装饰工程绿色文明工地的每项得2分，市级文明工地的每项得1分（同一工程项目以最高奖计分，满分3分）。</w:t>
            </w:r>
          </w:p>
          <w:p w14:paraId="10644CC8">
            <w:pPr>
              <w:spacing w:line="300" w:lineRule="exact"/>
              <w:ind w:firstLine="44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2"/>
                <w:szCs w:val="22"/>
                <w:highlight w:val="none"/>
              </w:rPr>
              <w:t>3、企业未建立文明施工标准、监督、考评制度的不得分；每受一次环保、卫生、治安、消防等重大处罚的减0.5分，减完为止。</w:t>
            </w:r>
          </w:p>
        </w:tc>
      </w:tr>
    </w:tbl>
    <w:p w14:paraId="163E1A74">
      <w:pPr>
        <w:spacing w:line="300" w:lineRule="exact"/>
        <w:ind w:firstLine="420"/>
        <w:rPr>
          <w:rFonts w:hint="default" w:ascii="Times New Roman" w:hAnsi="Times New Roman" w:eastAsia="宋体" w:cs="Times New Roman"/>
          <w:color w:val="auto"/>
          <w:sz w:val="21"/>
          <w:highlight w:val="none"/>
        </w:rPr>
      </w:pPr>
      <w:r>
        <w:rPr>
          <w:rFonts w:hint="default" w:ascii="Times New Roman" w:hAnsi="Times New Roman" w:eastAsia="宋体" w:cs="Times New Roman"/>
          <w:color w:val="auto"/>
          <w:sz w:val="21"/>
          <w:highlight w:val="none"/>
        </w:rPr>
        <w:br w:type="page"/>
      </w:r>
    </w:p>
    <w:tbl>
      <w:tblPr>
        <w:tblStyle w:val="27"/>
        <w:tblW w:w="13974"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1500"/>
        <w:gridCol w:w="2289"/>
        <w:gridCol w:w="3370"/>
        <w:gridCol w:w="818"/>
        <w:gridCol w:w="883"/>
        <w:gridCol w:w="5114"/>
      </w:tblGrid>
      <w:tr w14:paraId="0398C5B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292" w:hRule="atLeast"/>
          <w:jc w:val="center"/>
        </w:trPr>
        <w:tc>
          <w:tcPr>
            <w:tcW w:w="1500" w:type="dxa"/>
            <w:vMerge w:val="restart"/>
            <w:noWrap w:val="0"/>
            <w:vAlign w:val="center"/>
          </w:tcPr>
          <w:p w14:paraId="0249A06C">
            <w:pPr>
              <w:spacing w:line="300" w:lineRule="exact"/>
              <w:ind w:left="354" w:right="-42" w:rightChars="-20" w:hanging="354" w:hangingChars="147"/>
              <w:rPr>
                <w:rFonts w:hint="default" w:ascii="Times New Roman" w:hAnsi="Times New Roman" w:eastAsia="宋体" w:cs="Times New Roman"/>
                <w:b/>
                <w:color w:val="auto"/>
                <w:sz w:val="24"/>
                <w:highlight w:val="none"/>
              </w:rPr>
            </w:pPr>
            <w:r>
              <w:rPr>
                <w:rFonts w:hint="default" w:ascii="Times New Roman" w:hAnsi="Times New Roman" w:eastAsia="宋体" w:cs="Times New Roman"/>
                <w:b/>
                <w:color w:val="auto"/>
                <w:sz w:val="24"/>
                <w:highlight w:val="none"/>
              </w:rPr>
              <w:t>三、管理指标</w:t>
            </w:r>
            <w:r>
              <w:rPr>
                <w:rFonts w:hint="default" w:ascii="Times New Roman" w:hAnsi="Times New Roman" w:eastAsia="宋体" w:cs="Times New Roman"/>
                <w:b/>
                <w:color w:val="auto"/>
                <w:sz w:val="24"/>
                <w:highlight w:val="none"/>
                <w:lang w:val="en-US" w:eastAsia="zh-CN"/>
              </w:rPr>
              <w:t>30</w:t>
            </w:r>
            <w:r>
              <w:rPr>
                <w:rFonts w:hint="default" w:ascii="Times New Roman" w:hAnsi="Times New Roman" w:eastAsia="宋体" w:cs="Times New Roman"/>
                <w:b/>
                <w:color w:val="auto"/>
                <w:sz w:val="24"/>
                <w:highlight w:val="none"/>
              </w:rPr>
              <w:t>分</w:t>
            </w:r>
          </w:p>
        </w:tc>
        <w:tc>
          <w:tcPr>
            <w:tcW w:w="2289" w:type="dxa"/>
            <w:noWrap w:val="0"/>
            <w:vAlign w:val="center"/>
          </w:tcPr>
          <w:p w14:paraId="0B4DDBCF">
            <w:pPr>
              <w:spacing w:line="300" w:lineRule="exact"/>
              <w:ind w:firstLine="0" w:firstLineChars="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3、绿色施工评价</w:t>
            </w:r>
          </w:p>
        </w:tc>
        <w:tc>
          <w:tcPr>
            <w:tcW w:w="3370" w:type="dxa"/>
            <w:noWrap w:val="0"/>
            <w:vAlign w:val="center"/>
          </w:tcPr>
          <w:p w14:paraId="1990524D">
            <w:pPr>
              <w:spacing w:line="300" w:lineRule="exact"/>
              <w:ind w:firstLine="48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贯彻执行节约资源和保护环境的国家技术经济政策，推进建筑业可持续发展</w:t>
            </w:r>
          </w:p>
        </w:tc>
        <w:tc>
          <w:tcPr>
            <w:tcW w:w="818" w:type="dxa"/>
            <w:noWrap w:val="0"/>
            <w:vAlign w:val="center"/>
          </w:tcPr>
          <w:p w14:paraId="45176CE4">
            <w:pPr>
              <w:spacing w:line="300" w:lineRule="exact"/>
              <w:ind w:firstLine="0" w:firstLineChars="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lang w:val="en-US" w:eastAsia="zh-CN"/>
              </w:rPr>
              <w:t>5</w:t>
            </w:r>
            <w:r>
              <w:rPr>
                <w:rFonts w:hint="default" w:ascii="Times New Roman" w:hAnsi="Times New Roman" w:eastAsia="宋体" w:cs="Times New Roman"/>
                <w:color w:val="auto"/>
                <w:sz w:val="24"/>
                <w:highlight w:val="none"/>
              </w:rPr>
              <w:t>分</w:t>
            </w:r>
          </w:p>
        </w:tc>
        <w:tc>
          <w:tcPr>
            <w:tcW w:w="883" w:type="dxa"/>
            <w:noWrap w:val="0"/>
            <w:vAlign w:val="center"/>
          </w:tcPr>
          <w:p w14:paraId="54F3711E">
            <w:pPr>
              <w:spacing w:line="300" w:lineRule="exact"/>
              <w:ind w:firstLine="480"/>
              <w:jc w:val="center"/>
              <w:rPr>
                <w:rFonts w:hint="default" w:ascii="Times New Roman" w:hAnsi="Times New Roman" w:eastAsia="宋体" w:cs="Times New Roman"/>
                <w:color w:val="auto"/>
                <w:sz w:val="24"/>
                <w:highlight w:val="none"/>
              </w:rPr>
            </w:pPr>
          </w:p>
        </w:tc>
        <w:tc>
          <w:tcPr>
            <w:tcW w:w="5114" w:type="dxa"/>
            <w:noWrap w:val="0"/>
            <w:tcMar>
              <w:top w:w="113" w:type="dxa"/>
              <w:bottom w:w="113" w:type="dxa"/>
            </w:tcMar>
            <w:vAlign w:val="center"/>
          </w:tcPr>
          <w:p w14:paraId="0F6CA179">
            <w:pPr>
              <w:spacing w:line="300" w:lineRule="exact"/>
              <w:ind w:firstLine="440"/>
              <w:rPr>
                <w:rFonts w:hint="default" w:ascii="Times New Roman" w:hAnsi="Times New Roman" w:eastAsia="宋体" w:cs="Times New Roman"/>
                <w:color w:val="auto"/>
                <w:sz w:val="22"/>
                <w:szCs w:val="22"/>
                <w:highlight w:val="none"/>
              </w:rPr>
            </w:pPr>
            <w:r>
              <w:rPr>
                <w:rFonts w:hint="default" w:ascii="Times New Roman" w:hAnsi="Times New Roman" w:eastAsia="宋体" w:cs="Times New Roman"/>
                <w:color w:val="auto"/>
                <w:sz w:val="22"/>
                <w:szCs w:val="22"/>
                <w:highlight w:val="none"/>
              </w:rPr>
              <w:t>执行《广东省建筑工程绿色施工评价标准》，所监理的工程获得建筑工程绿色示范工程奖，获得国家级奖项的每项得3分，获得省级奖项的每项得2分，获得市级奖项的每项得1分（同一工程项目以最高奖计分，满分5分）。</w:t>
            </w:r>
          </w:p>
        </w:tc>
      </w:tr>
      <w:tr w14:paraId="60C8731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227" w:hRule="atLeast"/>
          <w:jc w:val="center"/>
        </w:trPr>
        <w:tc>
          <w:tcPr>
            <w:tcW w:w="1500" w:type="dxa"/>
            <w:vMerge w:val="continue"/>
            <w:noWrap w:val="0"/>
            <w:vAlign w:val="center"/>
          </w:tcPr>
          <w:p w14:paraId="233B986C">
            <w:pPr>
              <w:spacing w:line="300" w:lineRule="exact"/>
              <w:ind w:left="354" w:right="-42" w:rightChars="-20" w:hanging="354" w:hangingChars="147"/>
              <w:rPr>
                <w:rFonts w:hint="default" w:ascii="Times New Roman" w:hAnsi="Times New Roman" w:eastAsia="宋体" w:cs="Times New Roman"/>
                <w:b/>
                <w:color w:val="auto"/>
                <w:sz w:val="24"/>
                <w:highlight w:val="none"/>
              </w:rPr>
            </w:pPr>
          </w:p>
        </w:tc>
        <w:tc>
          <w:tcPr>
            <w:tcW w:w="2289" w:type="dxa"/>
            <w:noWrap w:val="0"/>
            <w:vAlign w:val="center"/>
          </w:tcPr>
          <w:p w14:paraId="0F5D2D1A">
            <w:pPr>
              <w:spacing w:line="300" w:lineRule="exact"/>
              <w:ind w:firstLine="0" w:firstLineChars="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4、劳资管理</w:t>
            </w:r>
          </w:p>
        </w:tc>
        <w:tc>
          <w:tcPr>
            <w:tcW w:w="3370" w:type="dxa"/>
            <w:noWrap w:val="0"/>
            <w:vAlign w:val="center"/>
          </w:tcPr>
          <w:p w14:paraId="5F89C965">
            <w:pPr>
              <w:spacing w:line="300" w:lineRule="exact"/>
              <w:ind w:firstLine="48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督促施工单位依法与劳动者签订劳动合同，按照规定为劳动者投保，不拖欠或克扣劳动者工资；劳务作业分包必须使用有资质的劳务企业</w:t>
            </w:r>
          </w:p>
        </w:tc>
        <w:tc>
          <w:tcPr>
            <w:tcW w:w="818" w:type="dxa"/>
            <w:noWrap w:val="0"/>
            <w:vAlign w:val="center"/>
          </w:tcPr>
          <w:p w14:paraId="5928B11B">
            <w:pPr>
              <w:spacing w:line="300" w:lineRule="exact"/>
              <w:ind w:firstLine="0" w:firstLineChars="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4分</w:t>
            </w:r>
          </w:p>
        </w:tc>
        <w:tc>
          <w:tcPr>
            <w:tcW w:w="883" w:type="dxa"/>
            <w:noWrap w:val="0"/>
            <w:vAlign w:val="center"/>
          </w:tcPr>
          <w:p w14:paraId="3783C350">
            <w:pPr>
              <w:spacing w:line="300" w:lineRule="exact"/>
              <w:ind w:firstLine="480"/>
              <w:jc w:val="center"/>
              <w:rPr>
                <w:rFonts w:hint="default" w:ascii="Times New Roman" w:hAnsi="Times New Roman" w:eastAsia="宋体" w:cs="Times New Roman"/>
                <w:color w:val="auto"/>
                <w:sz w:val="24"/>
                <w:highlight w:val="none"/>
              </w:rPr>
            </w:pPr>
          </w:p>
        </w:tc>
        <w:tc>
          <w:tcPr>
            <w:tcW w:w="5114" w:type="dxa"/>
            <w:noWrap w:val="0"/>
            <w:tcMar>
              <w:top w:w="113" w:type="dxa"/>
              <w:bottom w:w="113" w:type="dxa"/>
            </w:tcMar>
            <w:vAlign w:val="center"/>
          </w:tcPr>
          <w:p w14:paraId="349B65A6">
            <w:pPr>
              <w:spacing w:line="300" w:lineRule="exact"/>
              <w:ind w:firstLine="440"/>
              <w:rPr>
                <w:rFonts w:hint="default" w:ascii="Times New Roman" w:hAnsi="Times New Roman" w:eastAsia="宋体" w:cs="Times New Roman"/>
                <w:color w:val="auto"/>
                <w:sz w:val="22"/>
                <w:szCs w:val="22"/>
                <w:highlight w:val="none"/>
              </w:rPr>
            </w:pPr>
            <w:r>
              <w:rPr>
                <w:rFonts w:hint="default" w:ascii="Times New Roman" w:hAnsi="Times New Roman" w:eastAsia="宋体" w:cs="Times New Roman"/>
                <w:color w:val="auto"/>
                <w:sz w:val="22"/>
                <w:szCs w:val="22"/>
                <w:highlight w:val="none"/>
              </w:rPr>
              <w:t>1、所监理的工程每发生1人次未签订劳动合同或未投保的，减0.2分；劳务作业分包应使用有资质的劳务企业，每一项不合格减1分，减完为止。</w:t>
            </w:r>
          </w:p>
          <w:p w14:paraId="0B9DEB32">
            <w:pPr>
              <w:spacing w:line="300" w:lineRule="exact"/>
              <w:ind w:firstLine="440" w:firstLineChars="200"/>
              <w:rPr>
                <w:rFonts w:hint="default" w:ascii="Times New Roman" w:hAnsi="Times New Roman" w:eastAsia="宋体" w:cs="Times New Roman"/>
                <w:color w:val="auto"/>
                <w:sz w:val="22"/>
                <w:szCs w:val="22"/>
                <w:highlight w:val="none"/>
              </w:rPr>
            </w:pPr>
            <w:r>
              <w:rPr>
                <w:rFonts w:hint="default" w:ascii="Times New Roman" w:hAnsi="Times New Roman" w:eastAsia="宋体" w:cs="Times New Roman"/>
                <w:color w:val="auto"/>
                <w:sz w:val="22"/>
                <w:szCs w:val="22"/>
                <w:highlight w:val="none"/>
              </w:rPr>
              <w:t>2、因劳资纠纷发生重大群体事件且负有责任者，不得分。</w:t>
            </w:r>
          </w:p>
        </w:tc>
      </w:tr>
      <w:tr w14:paraId="56F22BB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197" w:hRule="atLeast"/>
          <w:jc w:val="center"/>
        </w:trPr>
        <w:tc>
          <w:tcPr>
            <w:tcW w:w="1500" w:type="dxa"/>
            <w:vMerge w:val="continue"/>
            <w:noWrap w:val="0"/>
            <w:vAlign w:val="center"/>
          </w:tcPr>
          <w:p w14:paraId="28671E91">
            <w:pPr>
              <w:spacing w:line="300" w:lineRule="exact"/>
              <w:ind w:left="354" w:right="-42" w:rightChars="-20" w:hanging="354" w:hangingChars="147"/>
              <w:rPr>
                <w:rFonts w:hint="default" w:ascii="Times New Roman" w:hAnsi="Times New Roman" w:eastAsia="宋体" w:cs="Times New Roman"/>
                <w:b/>
                <w:color w:val="auto"/>
                <w:sz w:val="24"/>
                <w:highlight w:val="none"/>
              </w:rPr>
            </w:pPr>
          </w:p>
        </w:tc>
        <w:tc>
          <w:tcPr>
            <w:tcW w:w="2289" w:type="dxa"/>
            <w:noWrap w:val="0"/>
            <w:vAlign w:val="center"/>
          </w:tcPr>
          <w:p w14:paraId="0D95FD19">
            <w:pPr>
              <w:spacing w:line="300" w:lineRule="exact"/>
              <w:ind w:firstLine="0" w:firstLineChars="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5、职工教育经费</w:t>
            </w:r>
          </w:p>
        </w:tc>
        <w:tc>
          <w:tcPr>
            <w:tcW w:w="3370" w:type="dxa"/>
            <w:noWrap w:val="0"/>
            <w:vAlign w:val="center"/>
          </w:tcPr>
          <w:p w14:paraId="7D479918">
            <w:pPr>
              <w:spacing w:line="300" w:lineRule="exact"/>
              <w:ind w:firstLine="48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本企业职工教育经费占企业总产值比率大于0.1%；建立职工绩效考核与激励制度</w:t>
            </w:r>
          </w:p>
        </w:tc>
        <w:tc>
          <w:tcPr>
            <w:tcW w:w="818" w:type="dxa"/>
            <w:noWrap w:val="0"/>
            <w:vAlign w:val="center"/>
          </w:tcPr>
          <w:p w14:paraId="100F39FD">
            <w:pPr>
              <w:spacing w:line="300" w:lineRule="exact"/>
              <w:ind w:firstLine="0" w:firstLineChars="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1分</w:t>
            </w:r>
          </w:p>
        </w:tc>
        <w:tc>
          <w:tcPr>
            <w:tcW w:w="883" w:type="dxa"/>
            <w:noWrap w:val="0"/>
            <w:vAlign w:val="center"/>
          </w:tcPr>
          <w:p w14:paraId="7047B616">
            <w:pPr>
              <w:spacing w:line="300" w:lineRule="exact"/>
              <w:ind w:firstLine="480"/>
              <w:jc w:val="center"/>
              <w:rPr>
                <w:rFonts w:hint="default" w:ascii="Times New Roman" w:hAnsi="Times New Roman" w:eastAsia="宋体" w:cs="Times New Roman"/>
                <w:color w:val="auto"/>
                <w:sz w:val="24"/>
                <w:highlight w:val="none"/>
              </w:rPr>
            </w:pPr>
          </w:p>
        </w:tc>
        <w:tc>
          <w:tcPr>
            <w:tcW w:w="5114" w:type="dxa"/>
            <w:noWrap w:val="0"/>
            <w:tcMar>
              <w:top w:w="113" w:type="dxa"/>
              <w:bottom w:w="113" w:type="dxa"/>
            </w:tcMar>
            <w:vAlign w:val="center"/>
          </w:tcPr>
          <w:p w14:paraId="526B68EF">
            <w:pPr>
              <w:spacing w:line="300" w:lineRule="exact"/>
              <w:ind w:firstLine="420"/>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2"/>
                <w:szCs w:val="22"/>
                <w:highlight w:val="none"/>
              </w:rPr>
              <w:t>职工教育经费占企业总产值比率大于0.1%，并建立合理有效的职工绩效考核与激励制度得1分。</w:t>
            </w:r>
          </w:p>
        </w:tc>
      </w:tr>
    </w:tbl>
    <w:p w14:paraId="580B50E7">
      <w:pPr>
        <w:spacing w:line="300" w:lineRule="exact"/>
        <w:ind w:firstLine="420"/>
        <w:rPr>
          <w:rFonts w:hint="default" w:ascii="Times New Roman" w:hAnsi="Times New Roman" w:eastAsia="宋体" w:cs="Times New Roman"/>
          <w:color w:val="auto"/>
          <w:sz w:val="21"/>
          <w:highlight w:val="none"/>
        </w:rPr>
      </w:pPr>
      <w:r>
        <w:rPr>
          <w:rFonts w:hint="default" w:ascii="Times New Roman" w:hAnsi="Times New Roman" w:eastAsia="宋体" w:cs="Times New Roman"/>
          <w:color w:val="auto"/>
          <w:sz w:val="21"/>
          <w:highlight w:val="none"/>
        </w:rPr>
        <w:br w:type="page"/>
      </w:r>
    </w:p>
    <w:tbl>
      <w:tblPr>
        <w:tblStyle w:val="27"/>
        <w:tblW w:w="13979"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1418"/>
        <w:gridCol w:w="2341"/>
        <w:gridCol w:w="3260"/>
        <w:gridCol w:w="851"/>
        <w:gridCol w:w="850"/>
        <w:gridCol w:w="5259"/>
      </w:tblGrid>
      <w:tr w14:paraId="6DC8259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493" w:hRule="atLeast"/>
          <w:jc w:val="center"/>
        </w:trPr>
        <w:tc>
          <w:tcPr>
            <w:tcW w:w="1418" w:type="dxa"/>
            <w:vMerge w:val="restart"/>
            <w:noWrap w:val="0"/>
            <w:vAlign w:val="center"/>
          </w:tcPr>
          <w:p w14:paraId="244FDBBF">
            <w:pPr>
              <w:spacing w:line="300" w:lineRule="exact"/>
              <w:ind w:left="354" w:right="-31" w:rightChars="-15" w:hanging="354" w:hangingChars="147"/>
              <w:jc w:val="center"/>
              <w:rPr>
                <w:rFonts w:hint="default" w:ascii="Times New Roman" w:hAnsi="Times New Roman" w:eastAsia="宋体" w:cs="Times New Roman"/>
                <w:color w:val="auto"/>
                <w:sz w:val="21"/>
                <w:highlight w:val="none"/>
              </w:rPr>
            </w:pPr>
            <w:r>
              <w:rPr>
                <w:rFonts w:hint="default" w:ascii="Times New Roman" w:hAnsi="Times New Roman" w:eastAsia="宋体" w:cs="Times New Roman"/>
                <w:b/>
                <w:color w:val="auto"/>
                <w:sz w:val="24"/>
                <w:highlight w:val="none"/>
              </w:rPr>
              <w:t>四、科技创新指标20分</w:t>
            </w:r>
          </w:p>
        </w:tc>
        <w:tc>
          <w:tcPr>
            <w:tcW w:w="2341" w:type="dxa"/>
            <w:noWrap w:val="0"/>
            <w:vAlign w:val="center"/>
          </w:tcPr>
          <w:p w14:paraId="460FE177">
            <w:pPr>
              <w:spacing w:line="300" w:lineRule="exact"/>
              <w:ind w:firstLine="0" w:firstLineChars="0"/>
              <w:jc w:val="left"/>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1、科技创新认定</w:t>
            </w:r>
          </w:p>
        </w:tc>
        <w:tc>
          <w:tcPr>
            <w:tcW w:w="3260" w:type="dxa"/>
            <w:noWrap w:val="0"/>
            <w:vAlign w:val="center"/>
          </w:tcPr>
          <w:p w14:paraId="00559BBA">
            <w:pPr>
              <w:spacing w:line="300" w:lineRule="exact"/>
              <w:ind w:firstLine="48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高新技术企业、科技型中小企业、创新型中小企业、专精特新</w:t>
            </w:r>
            <w:r>
              <w:rPr>
                <w:rFonts w:hint="default" w:ascii="Times New Roman" w:hAnsi="Times New Roman" w:eastAsia="宋体" w:cs="Times New Roman"/>
                <w:color w:val="auto"/>
                <w:sz w:val="24"/>
                <w:highlight w:val="none"/>
                <w:lang w:eastAsia="zh-CN"/>
              </w:rPr>
              <w:t>中小</w:t>
            </w:r>
            <w:r>
              <w:rPr>
                <w:rFonts w:hint="default" w:ascii="Times New Roman" w:hAnsi="Times New Roman" w:eastAsia="宋体" w:cs="Times New Roman"/>
                <w:color w:val="auto"/>
                <w:sz w:val="24"/>
                <w:highlight w:val="none"/>
              </w:rPr>
              <w:t>企业</w:t>
            </w:r>
          </w:p>
        </w:tc>
        <w:tc>
          <w:tcPr>
            <w:tcW w:w="851" w:type="dxa"/>
            <w:noWrap w:val="0"/>
            <w:vAlign w:val="center"/>
          </w:tcPr>
          <w:p w14:paraId="4B9F3822">
            <w:pPr>
              <w:spacing w:line="300" w:lineRule="exact"/>
              <w:ind w:firstLine="0" w:firstLineChars="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4分</w:t>
            </w:r>
          </w:p>
        </w:tc>
        <w:tc>
          <w:tcPr>
            <w:tcW w:w="850" w:type="dxa"/>
            <w:noWrap w:val="0"/>
            <w:vAlign w:val="center"/>
          </w:tcPr>
          <w:p w14:paraId="748AD9BC">
            <w:pPr>
              <w:spacing w:line="300" w:lineRule="exact"/>
              <w:ind w:firstLine="480"/>
              <w:jc w:val="center"/>
              <w:rPr>
                <w:rFonts w:hint="default" w:ascii="Times New Roman" w:hAnsi="Times New Roman" w:eastAsia="宋体" w:cs="Times New Roman"/>
                <w:color w:val="auto"/>
                <w:sz w:val="24"/>
                <w:highlight w:val="none"/>
              </w:rPr>
            </w:pPr>
          </w:p>
        </w:tc>
        <w:tc>
          <w:tcPr>
            <w:tcW w:w="5259" w:type="dxa"/>
            <w:noWrap w:val="0"/>
            <w:tcMar>
              <w:top w:w="113" w:type="dxa"/>
              <w:bottom w:w="113" w:type="dxa"/>
            </w:tcMar>
            <w:vAlign w:val="center"/>
          </w:tcPr>
          <w:p w14:paraId="04598F27">
            <w:pPr>
              <w:spacing w:line="300" w:lineRule="exact"/>
              <w:ind w:firstLine="440"/>
              <w:rPr>
                <w:rFonts w:hint="default" w:ascii="Times New Roman" w:hAnsi="Times New Roman" w:eastAsia="宋体" w:cs="Times New Roman"/>
                <w:color w:val="auto"/>
                <w:sz w:val="22"/>
                <w:szCs w:val="22"/>
                <w:highlight w:val="none"/>
              </w:rPr>
            </w:pPr>
            <w:r>
              <w:rPr>
                <w:rFonts w:hint="default" w:ascii="Times New Roman" w:hAnsi="Times New Roman" w:cs="Times New Roman"/>
                <w:color w:val="auto"/>
                <w:sz w:val="22"/>
                <w:szCs w:val="22"/>
                <w:highlight w:val="none"/>
                <w:lang w:val="en-US" w:eastAsia="zh-CN"/>
              </w:rPr>
              <w:t>1、</w:t>
            </w:r>
            <w:r>
              <w:rPr>
                <w:rFonts w:hint="default" w:ascii="Times New Roman" w:hAnsi="Times New Roman" w:eastAsia="宋体" w:cs="Times New Roman"/>
                <w:color w:val="auto"/>
                <w:sz w:val="22"/>
                <w:szCs w:val="22"/>
                <w:highlight w:val="none"/>
              </w:rPr>
              <w:t>近6年连</w:t>
            </w:r>
            <w:r>
              <w:rPr>
                <w:rFonts w:hint="default" w:ascii="Times New Roman" w:hAnsi="Times New Roman" w:eastAsia="宋体" w:cs="Times New Roman"/>
                <w:color w:val="auto"/>
                <w:sz w:val="22"/>
                <w:szCs w:val="22"/>
                <w:highlight w:val="none"/>
                <w:lang w:eastAsia="zh-CN"/>
              </w:rPr>
              <w:t>续</w:t>
            </w:r>
            <w:r>
              <w:rPr>
                <w:rFonts w:hint="default" w:ascii="Times New Roman" w:hAnsi="Times New Roman" w:eastAsia="宋体" w:cs="Times New Roman"/>
                <w:color w:val="auto"/>
                <w:sz w:val="22"/>
                <w:szCs w:val="22"/>
                <w:highlight w:val="none"/>
              </w:rPr>
              <w:t>两次认定高新技术企业，以证书为准，得4分。</w:t>
            </w:r>
          </w:p>
          <w:p w14:paraId="6A166BF6">
            <w:pPr>
              <w:spacing w:line="300" w:lineRule="exact"/>
              <w:ind w:firstLine="440"/>
              <w:rPr>
                <w:rFonts w:hint="default" w:ascii="Times New Roman" w:hAnsi="Times New Roman" w:eastAsia="宋体" w:cs="Times New Roman"/>
                <w:color w:val="auto"/>
                <w:sz w:val="22"/>
                <w:szCs w:val="22"/>
                <w:highlight w:val="none"/>
              </w:rPr>
            </w:pPr>
            <w:r>
              <w:rPr>
                <w:rFonts w:hint="default" w:ascii="Times New Roman" w:hAnsi="Times New Roman" w:cs="Times New Roman"/>
                <w:color w:val="auto"/>
                <w:sz w:val="22"/>
                <w:szCs w:val="22"/>
                <w:highlight w:val="none"/>
                <w:lang w:val="en-US" w:eastAsia="zh-CN"/>
              </w:rPr>
              <w:t>2、</w:t>
            </w:r>
            <w:r>
              <w:rPr>
                <w:rFonts w:hint="default" w:ascii="Times New Roman" w:hAnsi="Times New Roman" w:eastAsia="宋体" w:cs="Times New Roman"/>
                <w:color w:val="auto"/>
                <w:sz w:val="22"/>
                <w:szCs w:val="22"/>
                <w:highlight w:val="none"/>
              </w:rPr>
              <w:t>近3年获认定高新技术企业，以证书为准，得3分。</w:t>
            </w:r>
          </w:p>
          <w:p w14:paraId="757055B8">
            <w:pPr>
              <w:spacing w:line="300" w:lineRule="exact"/>
              <w:ind w:firstLine="440"/>
              <w:rPr>
                <w:rFonts w:hint="default" w:ascii="Times New Roman" w:hAnsi="Times New Roman" w:eastAsia="宋体" w:cs="Times New Roman"/>
                <w:color w:val="auto"/>
                <w:sz w:val="22"/>
                <w:szCs w:val="22"/>
                <w:highlight w:val="none"/>
              </w:rPr>
            </w:pPr>
            <w:r>
              <w:rPr>
                <w:rFonts w:hint="default" w:ascii="Times New Roman" w:hAnsi="Times New Roman" w:cs="Times New Roman"/>
                <w:color w:val="auto"/>
                <w:sz w:val="22"/>
                <w:szCs w:val="22"/>
                <w:highlight w:val="none"/>
                <w:lang w:val="en-US" w:eastAsia="zh-CN"/>
              </w:rPr>
              <w:t>3、</w:t>
            </w:r>
            <w:r>
              <w:rPr>
                <w:rFonts w:hint="default" w:ascii="Times New Roman" w:hAnsi="Times New Roman" w:eastAsia="宋体" w:cs="Times New Roman"/>
                <w:color w:val="auto"/>
                <w:sz w:val="22"/>
                <w:szCs w:val="22"/>
                <w:highlight w:val="none"/>
              </w:rPr>
              <w:t>近6年连</w:t>
            </w:r>
            <w:r>
              <w:rPr>
                <w:rFonts w:hint="default" w:ascii="Times New Roman" w:hAnsi="Times New Roman" w:eastAsia="宋体" w:cs="Times New Roman"/>
                <w:color w:val="auto"/>
                <w:sz w:val="22"/>
                <w:szCs w:val="22"/>
                <w:highlight w:val="none"/>
                <w:lang w:eastAsia="zh-CN"/>
              </w:rPr>
              <w:t>续</w:t>
            </w:r>
            <w:r>
              <w:rPr>
                <w:rFonts w:hint="default" w:ascii="Times New Roman" w:hAnsi="Times New Roman" w:eastAsia="宋体" w:cs="Times New Roman"/>
                <w:color w:val="auto"/>
                <w:sz w:val="22"/>
                <w:szCs w:val="22"/>
                <w:highlight w:val="none"/>
              </w:rPr>
              <w:t>5次认定科技型中小企业，提供申报界面截图，得5分。</w:t>
            </w:r>
          </w:p>
          <w:p w14:paraId="0C33C04C">
            <w:pPr>
              <w:spacing w:line="300" w:lineRule="exact"/>
              <w:ind w:firstLine="440"/>
              <w:rPr>
                <w:rFonts w:hint="default" w:ascii="Times New Roman" w:hAnsi="Times New Roman" w:eastAsia="宋体" w:cs="Times New Roman"/>
                <w:color w:val="auto"/>
                <w:sz w:val="22"/>
                <w:szCs w:val="22"/>
                <w:highlight w:val="none"/>
              </w:rPr>
            </w:pPr>
            <w:r>
              <w:rPr>
                <w:rFonts w:hint="default" w:ascii="Times New Roman" w:hAnsi="Times New Roman" w:cs="Times New Roman"/>
                <w:color w:val="auto"/>
                <w:sz w:val="22"/>
                <w:szCs w:val="22"/>
                <w:highlight w:val="none"/>
                <w:lang w:val="en-US" w:eastAsia="zh-CN"/>
              </w:rPr>
              <w:t>4、</w:t>
            </w:r>
            <w:r>
              <w:rPr>
                <w:rFonts w:hint="default" w:ascii="Times New Roman" w:hAnsi="Times New Roman" w:eastAsia="宋体" w:cs="Times New Roman"/>
                <w:color w:val="auto"/>
                <w:sz w:val="22"/>
                <w:szCs w:val="22"/>
                <w:highlight w:val="none"/>
              </w:rPr>
              <w:t>创新型中小企业，提供公告文件截图，得2分。</w:t>
            </w:r>
          </w:p>
          <w:p w14:paraId="122BEA0F">
            <w:pPr>
              <w:spacing w:line="300" w:lineRule="exact"/>
              <w:ind w:firstLine="440"/>
              <w:rPr>
                <w:rFonts w:hint="default" w:ascii="Times New Roman" w:hAnsi="Times New Roman" w:eastAsia="宋体" w:cs="Times New Roman"/>
                <w:color w:val="auto"/>
                <w:sz w:val="22"/>
                <w:szCs w:val="22"/>
                <w:highlight w:val="none"/>
              </w:rPr>
            </w:pPr>
            <w:r>
              <w:rPr>
                <w:rFonts w:hint="default" w:ascii="Times New Roman" w:hAnsi="Times New Roman" w:cs="Times New Roman"/>
                <w:color w:val="auto"/>
                <w:sz w:val="22"/>
                <w:szCs w:val="22"/>
                <w:highlight w:val="none"/>
                <w:lang w:val="en-US" w:eastAsia="zh-CN"/>
              </w:rPr>
              <w:t>5、</w:t>
            </w:r>
            <w:r>
              <w:rPr>
                <w:rFonts w:hint="default" w:ascii="Times New Roman" w:hAnsi="Times New Roman" w:eastAsia="宋体" w:cs="Times New Roman"/>
                <w:color w:val="auto"/>
                <w:sz w:val="22"/>
                <w:szCs w:val="22"/>
                <w:highlight w:val="none"/>
              </w:rPr>
              <w:t>专精特新小中企业，提供公告文件截图，得2分。</w:t>
            </w:r>
          </w:p>
          <w:p w14:paraId="345A344C">
            <w:pPr>
              <w:spacing w:line="300" w:lineRule="exact"/>
              <w:ind w:firstLine="440"/>
              <w:rPr>
                <w:rFonts w:hint="default" w:ascii="Times New Roman" w:hAnsi="Times New Roman" w:eastAsia="宋体" w:cs="Times New Roman"/>
                <w:color w:val="auto"/>
                <w:sz w:val="22"/>
                <w:szCs w:val="22"/>
                <w:highlight w:val="none"/>
              </w:rPr>
            </w:pPr>
            <w:r>
              <w:rPr>
                <w:rFonts w:hint="default" w:ascii="Times New Roman" w:hAnsi="Times New Roman" w:eastAsia="宋体" w:cs="Times New Roman"/>
                <w:color w:val="auto"/>
                <w:sz w:val="22"/>
                <w:szCs w:val="22"/>
                <w:highlight w:val="none"/>
              </w:rPr>
              <w:t>同一项目按最高得分，不重复加分。</w:t>
            </w:r>
          </w:p>
        </w:tc>
      </w:tr>
      <w:tr w14:paraId="5183851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66" w:hRule="atLeast"/>
          <w:jc w:val="center"/>
        </w:trPr>
        <w:tc>
          <w:tcPr>
            <w:tcW w:w="1418" w:type="dxa"/>
            <w:vMerge w:val="continue"/>
            <w:noWrap w:val="0"/>
            <w:vAlign w:val="center"/>
          </w:tcPr>
          <w:p w14:paraId="413258FC">
            <w:pPr>
              <w:spacing w:line="300" w:lineRule="exact"/>
              <w:ind w:left="354" w:right="-31" w:rightChars="-15" w:hanging="354" w:hangingChars="147"/>
              <w:jc w:val="center"/>
              <w:rPr>
                <w:rFonts w:hint="default" w:ascii="Times New Roman" w:hAnsi="Times New Roman" w:eastAsia="宋体" w:cs="Times New Roman"/>
                <w:b/>
                <w:color w:val="auto"/>
                <w:sz w:val="24"/>
                <w:highlight w:val="none"/>
              </w:rPr>
            </w:pPr>
          </w:p>
        </w:tc>
        <w:tc>
          <w:tcPr>
            <w:tcW w:w="2341" w:type="dxa"/>
            <w:noWrap w:val="0"/>
            <w:vAlign w:val="center"/>
          </w:tcPr>
          <w:p w14:paraId="1BA31D69">
            <w:pPr>
              <w:spacing w:line="300" w:lineRule="exact"/>
              <w:ind w:firstLine="0" w:firstLineChars="0"/>
              <w:jc w:val="left"/>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2、产学研</w:t>
            </w:r>
          </w:p>
        </w:tc>
        <w:tc>
          <w:tcPr>
            <w:tcW w:w="3260" w:type="dxa"/>
            <w:noWrap w:val="0"/>
            <w:vAlign w:val="center"/>
          </w:tcPr>
          <w:p w14:paraId="4240A65C">
            <w:pPr>
              <w:spacing w:line="300" w:lineRule="exact"/>
              <w:ind w:firstLine="48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通过与科研机构、学校等单位的合作共同进行科技创新研发。</w:t>
            </w:r>
          </w:p>
        </w:tc>
        <w:tc>
          <w:tcPr>
            <w:tcW w:w="851" w:type="dxa"/>
            <w:noWrap w:val="0"/>
            <w:vAlign w:val="center"/>
          </w:tcPr>
          <w:p w14:paraId="4A41B2E8">
            <w:pPr>
              <w:spacing w:line="300" w:lineRule="exact"/>
              <w:ind w:firstLine="0" w:firstLineChars="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2分</w:t>
            </w:r>
          </w:p>
        </w:tc>
        <w:tc>
          <w:tcPr>
            <w:tcW w:w="850" w:type="dxa"/>
            <w:noWrap w:val="0"/>
            <w:vAlign w:val="center"/>
          </w:tcPr>
          <w:p w14:paraId="00D874E3">
            <w:pPr>
              <w:spacing w:line="300" w:lineRule="exact"/>
              <w:ind w:firstLine="480"/>
              <w:jc w:val="center"/>
              <w:rPr>
                <w:rFonts w:hint="default" w:ascii="Times New Roman" w:hAnsi="Times New Roman" w:eastAsia="宋体" w:cs="Times New Roman"/>
                <w:color w:val="auto"/>
                <w:sz w:val="24"/>
                <w:highlight w:val="none"/>
              </w:rPr>
            </w:pPr>
          </w:p>
        </w:tc>
        <w:tc>
          <w:tcPr>
            <w:tcW w:w="5259" w:type="dxa"/>
            <w:noWrap w:val="0"/>
            <w:tcMar>
              <w:top w:w="113" w:type="dxa"/>
              <w:bottom w:w="113" w:type="dxa"/>
            </w:tcMar>
            <w:vAlign w:val="center"/>
          </w:tcPr>
          <w:p w14:paraId="3B92C089">
            <w:pPr>
              <w:spacing w:line="300" w:lineRule="exact"/>
              <w:ind w:firstLine="440"/>
              <w:rPr>
                <w:rFonts w:hint="default" w:ascii="Times New Roman" w:hAnsi="Times New Roman" w:eastAsia="宋体" w:cs="Times New Roman"/>
                <w:color w:val="auto"/>
                <w:sz w:val="22"/>
                <w:szCs w:val="22"/>
                <w:highlight w:val="none"/>
              </w:rPr>
            </w:pPr>
            <w:r>
              <w:rPr>
                <w:rFonts w:hint="default" w:ascii="Times New Roman" w:hAnsi="Times New Roman" w:eastAsia="宋体" w:cs="Times New Roman"/>
                <w:color w:val="auto"/>
                <w:sz w:val="22"/>
                <w:szCs w:val="22"/>
                <w:highlight w:val="none"/>
              </w:rPr>
              <w:t>提供产学研合同，得1分；提供经费支付银行回单、收款方开具的发票或财政收据，得1分。</w:t>
            </w:r>
          </w:p>
        </w:tc>
      </w:tr>
      <w:tr w14:paraId="438D394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87" w:hRule="atLeast"/>
          <w:jc w:val="center"/>
        </w:trPr>
        <w:tc>
          <w:tcPr>
            <w:tcW w:w="1418" w:type="dxa"/>
            <w:vMerge w:val="continue"/>
            <w:noWrap w:val="0"/>
            <w:vAlign w:val="center"/>
          </w:tcPr>
          <w:p w14:paraId="26E1037B">
            <w:pPr>
              <w:spacing w:line="300" w:lineRule="exact"/>
              <w:ind w:left="354" w:right="-31" w:rightChars="-15" w:hanging="354" w:hangingChars="147"/>
              <w:jc w:val="center"/>
              <w:rPr>
                <w:rFonts w:hint="default" w:ascii="Times New Roman" w:hAnsi="Times New Roman" w:eastAsia="宋体" w:cs="Times New Roman"/>
                <w:b/>
                <w:color w:val="auto"/>
                <w:sz w:val="24"/>
                <w:highlight w:val="none"/>
              </w:rPr>
            </w:pPr>
          </w:p>
        </w:tc>
        <w:tc>
          <w:tcPr>
            <w:tcW w:w="2341" w:type="dxa"/>
            <w:noWrap w:val="0"/>
            <w:vAlign w:val="center"/>
          </w:tcPr>
          <w:p w14:paraId="45424D51">
            <w:pPr>
              <w:spacing w:line="300" w:lineRule="exact"/>
              <w:ind w:firstLine="0" w:firstLineChars="0"/>
              <w:jc w:val="left"/>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lang w:val="en-US" w:eastAsia="zh-CN"/>
              </w:rPr>
              <w:t>3</w:t>
            </w:r>
            <w:r>
              <w:rPr>
                <w:rFonts w:hint="default" w:ascii="Times New Roman" w:hAnsi="Times New Roman" w:eastAsia="宋体" w:cs="Times New Roman"/>
                <w:color w:val="auto"/>
                <w:sz w:val="24"/>
                <w:highlight w:val="none"/>
              </w:rPr>
              <w:t>、科技活动经费</w:t>
            </w:r>
          </w:p>
        </w:tc>
        <w:tc>
          <w:tcPr>
            <w:tcW w:w="3260" w:type="dxa"/>
            <w:noWrap w:val="0"/>
            <w:vAlign w:val="center"/>
          </w:tcPr>
          <w:p w14:paraId="0AD3576B">
            <w:pPr>
              <w:spacing w:line="300" w:lineRule="exact"/>
              <w:ind w:firstLine="48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科技研发经费投入占企业总产值大于0.5%</w:t>
            </w:r>
          </w:p>
        </w:tc>
        <w:tc>
          <w:tcPr>
            <w:tcW w:w="851" w:type="dxa"/>
            <w:noWrap w:val="0"/>
            <w:vAlign w:val="center"/>
          </w:tcPr>
          <w:p w14:paraId="12C3935D">
            <w:pPr>
              <w:spacing w:line="300" w:lineRule="exact"/>
              <w:ind w:firstLine="0" w:firstLineChars="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4分</w:t>
            </w:r>
          </w:p>
        </w:tc>
        <w:tc>
          <w:tcPr>
            <w:tcW w:w="850" w:type="dxa"/>
            <w:noWrap w:val="0"/>
            <w:vAlign w:val="center"/>
          </w:tcPr>
          <w:p w14:paraId="58C26B98">
            <w:pPr>
              <w:spacing w:line="300" w:lineRule="exact"/>
              <w:ind w:firstLine="480"/>
              <w:jc w:val="center"/>
              <w:rPr>
                <w:rFonts w:hint="default" w:ascii="Times New Roman" w:hAnsi="Times New Roman" w:eastAsia="宋体" w:cs="Times New Roman"/>
                <w:color w:val="auto"/>
                <w:sz w:val="24"/>
                <w:highlight w:val="none"/>
              </w:rPr>
            </w:pPr>
          </w:p>
        </w:tc>
        <w:tc>
          <w:tcPr>
            <w:tcW w:w="5259" w:type="dxa"/>
            <w:noWrap w:val="0"/>
            <w:tcMar>
              <w:top w:w="113" w:type="dxa"/>
              <w:bottom w:w="113" w:type="dxa"/>
            </w:tcMar>
            <w:vAlign w:val="center"/>
          </w:tcPr>
          <w:p w14:paraId="68ECD01D">
            <w:pPr>
              <w:spacing w:line="300" w:lineRule="exact"/>
              <w:ind w:firstLine="440"/>
              <w:rPr>
                <w:rFonts w:hint="default" w:ascii="Times New Roman" w:hAnsi="Times New Roman" w:eastAsia="宋体" w:cs="Times New Roman"/>
                <w:color w:val="auto"/>
                <w:sz w:val="22"/>
                <w:szCs w:val="22"/>
                <w:highlight w:val="none"/>
              </w:rPr>
            </w:pPr>
            <w:r>
              <w:rPr>
                <w:rFonts w:hint="default" w:ascii="Times New Roman" w:hAnsi="Times New Roman" w:eastAsia="宋体" w:cs="Times New Roman"/>
                <w:color w:val="auto"/>
                <w:sz w:val="22"/>
                <w:szCs w:val="22"/>
                <w:highlight w:val="none"/>
              </w:rPr>
              <w:t>财务审计报告的利润表反映，年均企业科技活动经费投入占总产值比率达到0.5%的得4分，达到0.3%的得2分，低于0.1%得1分，不足0.05%的不得分。</w:t>
            </w:r>
          </w:p>
        </w:tc>
      </w:tr>
      <w:tr w14:paraId="271C2A2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93" w:hRule="atLeast"/>
          <w:jc w:val="center"/>
        </w:trPr>
        <w:tc>
          <w:tcPr>
            <w:tcW w:w="1418" w:type="dxa"/>
            <w:vMerge w:val="continue"/>
            <w:noWrap w:val="0"/>
            <w:vAlign w:val="center"/>
          </w:tcPr>
          <w:p w14:paraId="673F6CBD">
            <w:pPr>
              <w:spacing w:line="300" w:lineRule="exact"/>
              <w:ind w:left="354" w:right="-31" w:rightChars="-15" w:hanging="354" w:hangingChars="147"/>
              <w:jc w:val="center"/>
              <w:rPr>
                <w:rFonts w:hint="default" w:ascii="Times New Roman" w:hAnsi="Times New Roman" w:eastAsia="宋体" w:cs="Times New Roman"/>
                <w:b/>
                <w:color w:val="auto"/>
                <w:sz w:val="24"/>
                <w:highlight w:val="none"/>
              </w:rPr>
            </w:pPr>
          </w:p>
        </w:tc>
        <w:tc>
          <w:tcPr>
            <w:tcW w:w="2341" w:type="dxa"/>
            <w:noWrap w:val="0"/>
            <w:vAlign w:val="center"/>
          </w:tcPr>
          <w:p w14:paraId="1E1AEC38">
            <w:pPr>
              <w:spacing w:line="300" w:lineRule="exact"/>
              <w:ind w:firstLine="0" w:firstLineChars="0"/>
              <w:jc w:val="left"/>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lang w:val="en-US" w:eastAsia="zh-CN"/>
              </w:rPr>
              <w:t>4</w:t>
            </w:r>
            <w:r>
              <w:rPr>
                <w:rFonts w:hint="default" w:ascii="Times New Roman" w:hAnsi="Times New Roman" w:eastAsia="宋体" w:cs="Times New Roman"/>
                <w:color w:val="auto"/>
                <w:sz w:val="24"/>
                <w:highlight w:val="none"/>
              </w:rPr>
              <w:t>、技术创新成果</w:t>
            </w:r>
          </w:p>
        </w:tc>
        <w:tc>
          <w:tcPr>
            <w:tcW w:w="3260" w:type="dxa"/>
            <w:noWrap w:val="0"/>
            <w:vAlign w:val="center"/>
          </w:tcPr>
          <w:p w14:paraId="51840AF6">
            <w:pPr>
              <w:spacing w:line="300" w:lineRule="exact"/>
              <w:ind w:firstLine="48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有科技进步奖、专利、</w:t>
            </w:r>
            <w:r>
              <w:rPr>
                <w:rFonts w:hint="default" w:ascii="Times New Roman" w:hAnsi="Times New Roman" w:eastAsia="宋体" w:cs="Times New Roman"/>
                <w:color w:val="auto"/>
                <w:sz w:val="22"/>
                <w:szCs w:val="22"/>
                <w:highlight w:val="none"/>
              </w:rPr>
              <w:t>计算机软件著作权</w:t>
            </w:r>
            <w:r>
              <w:rPr>
                <w:rFonts w:hint="default" w:ascii="Times New Roman" w:hAnsi="Times New Roman" w:eastAsia="宋体" w:cs="Times New Roman"/>
                <w:color w:val="auto"/>
                <w:sz w:val="24"/>
                <w:highlight w:val="none"/>
              </w:rPr>
              <w:t>等</w:t>
            </w:r>
          </w:p>
        </w:tc>
        <w:tc>
          <w:tcPr>
            <w:tcW w:w="851" w:type="dxa"/>
            <w:noWrap w:val="0"/>
            <w:vAlign w:val="center"/>
          </w:tcPr>
          <w:p w14:paraId="4B633D1C">
            <w:pPr>
              <w:spacing w:line="300" w:lineRule="exact"/>
              <w:ind w:firstLine="0" w:firstLineChars="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5分</w:t>
            </w:r>
          </w:p>
        </w:tc>
        <w:tc>
          <w:tcPr>
            <w:tcW w:w="850" w:type="dxa"/>
            <w:noWrap w:val="0"/>
            <w:vAlign w:val="center"/>
          </w:tcPr>
          <w:p w14:paraId="48CB80D4">
            <w:pPr>
              <w:spacing w:line="300" w:lineRule="exact"/>
              <w:ind w:firstLine="480"/>
              <w:jc w:val="center"/>
              <w:rPr>
                <w:rFonts w:hint="default" w:ascii="Times New Roman" w:hAnsi="Times New Roman" w:eastAsia="宋体" w:cs="Times New Roman"/>
                <w:color w:val="auto"/>
                <w:sz w:val="24"/>
                <w:highlight w:val="none"/>
              </w:rPr>
            </w:pPr>
          </w:p>
        </w:tc>
        <w:tc>
          <w:tcPr>
            <w:tcW w:w="5259" w:type="dxa"/>
            <w:noWrap w:val="0"/>
            <w:tcMar>
              <w:top w:w="113" w:type="dxa"/>
              <w:bottom w:w="113" w:type="dxa"/>
            </w:tcMar>
            <w:vAlign w:val="top"/>
          </w:tcPr>
          <w:p w14:paraId="7E4D4354">
            <w:pPr>
              <w:spacing w:line="300" w:lineRule="exact"/>
              <w:ind w:firstLine="440"/>
              <w:rPr>
                <w:rFonts w:hint="default" w:ascii="Times New Roman" w:hAnsi="Times New Roman" w:eastAsia="宋体" w:cs="Times New Roman"/>
                <w:color w:val="auto"/>
                <w:sz w:val="22"/>
                <w:szCs w:val="22"/>
                <w:highlight w:val="none"/>
              </w:rPr>
            </w:pPr>
            <w:r>
              <w:rPr>
                <w:rFonts w:hint="default" w:ascii="Times New Roman" w:hAnsi="Times New Roman" w:eastAsia="宋体" w:cs="Times New Roman"/>
                <w:color w:val="auto"/>
                <w:sz w:val="22"/>
                <w:szCs w:val="22"/>
                <w:highlight w:val="none"/>
              </w:rPr>
              <w:t>专利（发明专利，得2分；实用新型专利，得1分）、计算机软件著作权（得2分）、科技进步奖（国家级，得3分；省级，得2分；地市级，得1分）。以提供证书为准。</w:t>
            </w:r>
          </w:p>
        </w:tc>
      </w:tr>
      <w:tr w14:paraId="1624F3D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49" w:hRule="atLeast"/>
          <w:jc w:val="center"/>
        </w:trPr>
        <w:tc>
          <w:tcPr>
            <w:tcW w:w="1418" w:type="dxa"/>
            <w:vMerge w:val="continue"/>
            <w:noWrap w:val="0"/>
            <w:vAlign w:val="center"/>
          </w:tcPr>
          <w:p w14:paraId="0FBE0E92">
            <w:pPr>
              <w:spacing w:line="300" w:lineRule="exact"/>
              <w:ind w:left="354" w:right="-31" w:rightChars="-15" w:hanging="354" w:hangingChars="147"/>
              <w:jc w:val="center"/>
              <w:rPr>
                <w:rFonts w:hint="default" w:ascii="Times New Roman" w:hAnsi="Times New Roman" w:eastAsia="宋体" w:cs="Times New Roman"/>
                <w:b/>
                <w:color w:val="auto"/>
                <w:sz w:val="24"/>
                <w:highlight w:val="none"/>
              </w:rPr>
            </w:pPr>
          </w:p>
        </w:tc>
        <w:tc>
          <w:tcPr>
            <w:tcW w:w="2341" w:type="dxa"/>
            <w:noWrap w:val="0"/>
            <w:vAlign w:val="center"/>
          </w:tcPr>
          <w:p w14:paraId="6D7285DE">
            <w:pPr>
              <w:spacing w:line="300" w:lineRule="exact"/>
              <w:ind w:firstLine="0" w:firstLineChars="0"/>
              <w:jc w:val="left"/>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lang w:val="en-US" w:eastAsia="zh-CN"/>
              </w:rPr>
              <w:t>5</w:t>
            </w:r>
            <w:r>
              <w:rPr>
                <w:rFonts w:hint="default" w:ascii="Times New Roman" w:hAnsi="Times New Roman" w:eastAsia="宋体" w:cs="Times New Roman"/>
                <w:color w:val="auto"/>
                <w:sz w:val="24"/>
                <w:highlight w:val="none"/>
              </w:rPr>
              <w:t>、标准化工作</w:t>
            </w:r>
          </w:p>
        </w:tc>
        <w:tc>
          <w:tcPr>
            <w:tcW w:w="3260" w:type="dxa"/>
            <w:noWrap w:val="0"/>
            <w:vAlign w:val="center"/>
          </w:tcPr>
          <w:p w14:paraId="1E654D6F">
            <w:pPr>
              <w:spacing w:line="300" w:lineRule="exact"/>
              <w:ind w:firstLine="48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企业具有详细的技术和管理标准，并得到有效实施；参与过国家标准、行业标准或省级地方标准的制订</w:t>
            </w:r>
          </w:p>
        </w:tc>
        <w:tc>
          <w:tcPr>
            <w:tcW w:w="851" w:type="dxa"/>
            <w:noWrap w:val="0"/>
            <w:vAlign w:val="center"/>
          </w:tcPr>
          <w:p w14:paraId="024E542A">
            <w:pPr>
              <w:spacing w:line="300" w:lineRule="exact"/>
              <w:ind w:firstLine="0" w:firstLineChars="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5分</w:t>
            </w:r>
          </w:p>
        </w:tc>
        <w:tc>
          <w:tcPr>
            <w:tcW w:w="850" w:type="dxa"/>
            <w:noWrap w:val="0"/>
            <w:vAlign w:val="center"/>
          </w:tcPr>
          <w:p w14:paraId="263F2673">
            <w:pPr>
              <w:spacing w:line="300" w:lineRule="exact"/>
              <w:ind w:firstLine="480"/>
              <w:jc w:val="center"/>
              <w:rPr>
                <w:rFonts w:hint="default" w:ascii="Times New Roman" w:hAnsi="Times New Roman" w:eastAsia="宋体" w:cs="Times New Roman"/>
                <w:color w:val="auto"/>
                <w:sz w:val="24"/>
                <w:highlight w:val="none"/>
              </w:rPr>
            </w:pPr>
          </w:p>
        </w:tc>
        <w:tc>
          <w:tcPr>
            <w:tcW w:w="5259" w:type="dxa"/>
            <w:noWrap w:val="0"/>
            <w:tcMar>
              <w:top w:w="113" w:type="dxa"/>
              <w:bottom w:w="113" w:type="dxa"/>
            </w:tcMar>
            <w:vAlign w:val="center"/>
          </w:tcPr>
          <w:p w14:paraId="6A0DCCC2">
            <w:pPr>
              <w:spacing w:line="300" w:lineRule="exact"/>
              <w:ind w:firstLine="440"/>
              <w:rPr>
                <w:rFonts w:hint="default" w:ascii="Times New Roman" w:hAnsi="Times New Roman" w:eastAsia="宋体" w:cs="Times New Roman"/>
                <w:color w:val="auto"/>
                <w:sz w:val="22"/>
                <w:szCs w:val="22"/>
                <w:highlight w:val="none"/>
              </w:rPr>
            </w:pPr>
            <w:r>
              <w:rPr>
                <w:rFonts w:hint="default" w:ascii="Times New Roman" w:hAnsi="Times New Roman" w:eastAsia="宋体" w:cs="Times New Roman"/>
                <w:color w:val="auto"/>
                <w:sz w:val="22"/>
                <w:szCs w:val="22"/>
                <w:highlight w:val="none"/>
              </w:rPr>
              <w:t>国家标准，得4分</w:t>
            </w:r>
            <w:r>
              <w:rPr>
                <w:rFonts w:hint="default" w:ascii="Times New Roman" w:hAnsi="Times New Roman" w:eastAsia="宋体" w:cs="Times New Roman"/>
                <w:color w:val="auto"/>
                <w:sz w:val="22"/>
                <w:szCs w:val="22"/>
                <w:highlight w:val="none"/>
                <w:lang w:eastAsia="zh-CN"/>
              </w:rPr>
              <w:t>；</w:t>
            </w:r>
            <w:r>
              <w:rPr>
                <w:rFonts w:hint="default" w:ascii="Times New Roman" w:hAnsi="Times New Roman" w:eastAsia="宋体" w:cs="Times New Roman"/>
                <w:color w:val="auto"/>
                <w:sz w:val="22"/>
                <w:szCs w:val="22"/>
                <w:highlight w:val="none"/>
              </w:rPr>
              <w:t>行业标准，得3分</w:t>
            </w:r>
            <w:r>
              <w:rPr>
                <w:rFonts w:hint="default" w:ascii="Times New Roman" w:hAnsi="Times New Roman" w:eastAsia="宋体" w:cs="Times New Roman"/>
                <w:color w:val="auto"/>
                <w:sz w:val="22"/>
                <w:szCs w:val="22"/>
                <w:highlight w:val="none"/>
                <w:lang w:eastAsia="zh-CN"/>
              </w:rPr>
              <w:t>；</w:t>
            </w:r>
            <w:r>
              <w:rPr>
                <w:rFonts w:hint="default" w:ascii="Times New Roman" w:hAnsi="Times New Roman" w:eastAsia="宋体" w:cs="Times New Roman"/>
                <w:color w:val="auto"/>
                <w:sz w:val="22"/>
                <w:szCs w:val="22"/>
                <w:highlight w:val="none"/>
              </w:rPr>
              <w:t>地方标准</w:t>
            </w:r>
            <w:r>
              <w:rPr>
                <w:rFonts w:hint="default" w:ascii="Times New Roman" w:hAnsi="Times New Roman" w:eastAsia="宋体" w:cs="Times New Roman"/>
                <w:color w:val="auto"/>
                <w:sz w:val="22"/>
                <w:szCs w:val="22"/>
                <w:highlight w:val="none"/>
                <w:lang w:eastAsia="zh-CN"/>
              </w:rPr>
              <w:t>，</w:t>
            </w:r>
            <w:r>
              <w:rPr>
                <w:rFonts w:hint="default" w:ascii="Times New Roman" w:hAnsi="Times New Roman" w:eastAsia="宋体" w:cs="Times New Roman"/>
                <w:color w:val="auto"/>
                <w:sz w:val="22"/>
                <w:szCs w:val="22"/>
                <w:highlight w:val="none"/>
              </w:rPr>
              <w:t>得2分</w:t>
            </w:r>
            <w:r>
              <w:rPr>
                <w:rFonts w:hint="default" w:ascii="Times New Roman" w:hAnsi="Times New Roman" w:eastAsia="宋体" w:cs="Times New Roman"/>
                <w:color w:val="auto"/>
                <w:sz w:val="22"/>
                <w:szCs w:val="22"/>
                <w:highlight w:val="none"/>
                <w:lang w:eastAsia="zh-CN"/>
              </w:rPr>
              <w:t>；</w:t>
            </w:r>
            <w:r>
              <w:rPr>
                <w:rFonts w:hint="default" w:ascii="Times New Roman" w:hAnsi="Times New Roman" w:eastAsia="宋体" w:cs="Times New Roman"/>
                <w:color w:val="auto"/>
                <w:sz w:val="22"/>
                <w:szCs w:val="22"/>
                <w:highlight w:val="none"/>
              </w:rPr>
              <w:t>团体标准</w:t>
            </w:r>
            <w:r>
              <w:rPr>
                <w:rFonts w:hint="default" w:ascii="Times New Roman" w:hAnsi="Times New Roman" w:eastAsia="宋体" w:cs="Times New Roman"/>
                <w:color w:val="auto"/>
                <w:sz w:val="22"/>
                <w:szCs w:val="22"/>
                <w:highlight w:val="none"/>
                <w:lang w:eastAsia="zh-CN"/>
              </w:rPr>
              <w:t>，</w:t>
            </w:r>
            <w:r>
              <w:rPr>
                <w:rFonts w:hint="default" w:ascii="Times New Roman" w:hAnsi="Times New Roman" w:eastAsia="宋体" w:cs="Times New Roman"/>
                <w:color w:val="auto"/>
                <w:sz w:val="22"/>
                <w:szCs w:val="22"/>
                <w:highlight w:val="none"/>
              </w:rPr>
              <w:t>得2分</w:t>
            </w:r>
            <w:r>
              <w:rPr>
                <w:rFonts w:hint="default" w:ascii="Times New Roman" w:hAnsi="Times New Roman" w:eastAsia="宋体" w:cs="Times New Roman"/>
                <w:color w:val="auto"/>
                <w:sz w:val="22"/>
                <w:szCs w:val="22"/>
                <w:highlight w:val="none"/>
                <w:lang w:eastAsia="zh-CN"/>
              </w:rPr>
              <w:t>；</w:t>
            </w:r>
            <w:r>
              <w:rPr>
                <w:rFonts w:hint="default" w:ascii="Times New Roman" w:hAnsi="Times New Roman" w:eastAsia="宋体" w:cs="Times New Roman"/>
                <w:color w:val="auto"/>
                <w:sz w:val="22"/>
                <w:szCs w:val="22"/>
                <w:highlight w:val="none"/>
              </w:rPr>
              <w:t>企业标准</w:t>
            </w:r>
            <w:r>
              <w:rPr>
                <w:rFonts w:hint="default" w:ascii="Times New Roman" w:hAnsi="Times New Roman" w:eastAsia="宋体" w:cs="Times New Roman"/>
                <w:color w:val="auto"/>
                <w:sz w:val="22"/>
                <w:szCs w:val="22"/>
                <w:highlight w:val="none"/>
                <w:lang w:eastAsia="zh-CN"/>
              </w:rPr>
              <w:t>，</w:t>
            </w:r>
            <w:r>
              <w:rPr>
                <w:rFonts w:hint="default" w:ascii="Times New Roman" w:hAnsi="Times New Roman" w:eastAsia="宋体" w:cs="Times New Roman"/>
                <w:color w:val="auto"/>
                <w:sz w:val="22"/>
                <w:szCs w:val="22"/>
                <w:highlight w:val="none"/>
              </w:rPr>
              <w:t>得2分</w:t>
            </w:r>
            <w:r>
              <w:rPr>
                <w:rFonts w:hint="default" w:ascii="Times New Roman" w:hAnsi="Times New Roman" w:eastAsia="宋体" w:cs="Times New Roman"/>
                <w:color w:val="auto"/>
                <w:sz w:val="22"/>
                <w:szCs w:val="22"/>
                <w:highlight w:val="none"/>
                <w:lang w:eastAsia="zh-CN"/>
              </w:rPr>
              <w:t>，</w:t>
            </w:r>
            <w:r>
              <w:rPr>
                <w:rFonts w:hint="default" w:ascii="Times New Roman" w:hAnsi="Times New Roman" w:eastAsia="宋体" w:cs="Times New Roman"/>
                <w:color w:val="auto"/>
                <w:sz w:val="22"/>
                <w:szCs w:val="22"/>
                <w:highlight w:val="none"/>
              </w:rPr>
              <w:t>同一项目按最高得分，不重复加分。作为主编单位加1分，以全国标准信息公共服务平台查询为准。</w:t>
            </w:r>
          </w:p>
        </w:tc>
      </w:tr>
    </w:tbl>
    <w:p w14:paraId="532F0008">
      <w:pPr>
        <w:spacing w:line="300" w:lineRule="exact"/>
        <w:ind w:firstLine="420"/>
        <w:rPr>
          <w:rFonts w:hint="default" w:ascii="Times New Roman" w:hAnsi="Times New Roman" w:eastAsia="宋体" w:cs="Times New Roman"/>
          <w:color w:val="auto"/>
          <w:sz w:val="21"/>
          <w:highlight w:val="none"/>
        </w:rPr>
      </w:pPr>
    </w:p>
    <w:tbl>
      <w:tblPr>
        <w:tblStyle w:val="27"/>
        <w:tblW w:w="13961"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1333"/>
        <w:gridCol w:w="2266"/>
        <w:gridCol w:w="2976"/>
        <w:gridCol w:w="993"/>
        <w:gridCol w:w="850"/>
        <w:gridCol w:w="5543"/>
      </w:tblGrid>
      <w:tr w14:paraId="087AC10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329" w:hRule="atLeast"/>
          <w:jc w:val="center"/>
        </w:trPr>
        <w:tc>
          <w:tcPr>
            <w:tcW w:w="1333" w:type="dxa"/>
            <w:vMerge w:val="restart"/>
            <w:noWrap w:val="0"/>
            <w:vAlign w:val="center"/>
          </w:tcPr>
          <w:p w14:paraId="6BEF8616">
            <w:pPr>
              <w:spacing w:line="300" w:lineRule="exact"/>
              <w:ind w:left="388" w:right="-34" w:rightChars="-16" w:hanging="388" w:hangingChars="161"/>
              <w:jc w:val="left"/>
              <w:rPr>
                <w:rFonts w:hint="default" w:ascii="Times New Roman" w:hAnsi="Times New Roman" w:eastAsia="宋体" w:cs="Times New Roman"/>
                <w:b/>
                <w:color w:val="auto"/>
                <w:sz w:val="24"/>
                <w:highlight w:val="none"/>
              </w:rPr>
            </w:pPr>
            <w:r>
              <w:rPr>
                <w:rFonts w:hint="default" w:ascii="Times New Roman" w:hAnsi="Times New Roman" w:eastAsia="宋体" w:cs="Times New Roman"/>
                <w:b/>
                <w:color w:val="auto"/>
                <w:sz w:val="24"/>
                <w:highlight w:val="none"/>
              </w:rPr>
              <w:t>五、信用记录指标</w:t>
            </w:r>
          </w:p>
          <w:p w14:paraId="3B213518">
            <w:pPr>
              <w:spacing w:line="300" w:lineRule="exact"/>
              <w:ind w:left="494" w:right="-34" w:rightChars="-16" w:hanging="494" w:hangingChars="205"/>
              <w:jc w:val="center"/>
              <w:rPr>
                <w:rFonts w:hint="default" w:ascii="Times New Roman" w:hAnsi="Times New Roman" w:eastAsia="宋体" w:cs="Times New Roman"/>
                <w:b/>
                <w:color w:val="auto"/>
                <w:sz w:val="21"/>
                <w:highlight w:val="none"/>
              </w:rPr>
            </w:pPr>
            <w:r>
              <w:rPr>
                <w:rFonts w:hint="default" w:ascii="Times New Roman" w:hAnsi="Times New Roman" w:eastAsia="宋体" w:cs="Times New Roman"/>
                <w:b/>
                <w:color w:val="auto"/>
                <w:sz w:val="24"/>
                <w:highlight w:val="none"/>
                <w:lang w:val="en-US" w:eastAsia="zh-CN"/>
              </w:rPr>
              <w:t>25</w:t>
            </w:r>
            <w:r>
              <w:rPr>
                <w:rFonts w:hint="default" w:ascii="Times New Roman" w:hAnsi="Times New Roman" w:eastAsia="宋体" w:cs="Times New Roman"/>
                <w:b/>
                <w:color w:val="auto"/>
                <w:sz w:val="24"/>
                <w:highlight w:val="none"/>
              </w:rPr>
              <w:t>分</w:t>
            </w:r>
          </w:p>
        </w:tc>
        <w:tc>
          <w:tcPr>
            <w:tcW w:w="2266" w:type="dxa"/>
            <w:noWrap w:val="0"/>
            <w:vAlign w:val="center"/>
          </w:tcPr>
          <w:p w14:paraId="7548902B">
            <w:pPr>
              <w:spacing w:line="280" w:lineRule="exact"/>
              <w:ind w:firstLine="0" w:firstLineChars="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lang w:val="en-US" w:eastAsia="zh-CN"/>
              </w:rPr>
              <w:t>1、</w:t>
            </w:r>
            <w:r>
              <w:rPr>
                <w:rFonts w:hint="default" w:ascii="Times New Roman" w:hAnsi="Times New Roman" w:eastAsia="宋体" w:cs="Times New Roman"/>
                <w:color w:val="auto"/>
                <w:sz w:val="24"/>
                <w:highlight w:val="none"/>
              </w:rPr>
              <w:t>企业履约评价</w:t>
            </w:r>
          </w:p>
        </w:tc>
        <w:tc>
          <w:tcPr>
            <w:tcW w:w="2976" w:type="dxa"/>
            <w:noWrap w:val="0"/>
            <w:vAlign w:val="center"/>
          </w:tcPr>
          <w:p w14:paraId="6088B0B6">
            <w:pPr>
              <w:spacing w:line="280" w:lineRule="exact"/>
              <w:ind w:firstLine="48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企业履行合同、诚信经营、获得广东省市场协会颁发的广东省守合同重信用企业称号</w:t>
            </w:r>
          </w:p>
        </w:tc>
        <w:tc>
          <w:tcPr>
            <w:tcW w:w="993" w:type="dxa"/>
            <w:noWrap w:val="0"/>
            <w:vAlign w:val="center"/>
          </w:tcPr>
          <w:p w14:paraId="3CD5349F">
            <w:pPr>
              <w:spacing w:line="280" w:lineRule="exact"/>
              <w:ind w:firstLine="0" w:firstLineChars="0"/>
              <w:jc w:val="center"/>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5分</w:t>
            </w:r>
          </w:p>
        </w:tc>
        <w:tc>
          <w:tcPr>
            <w:tcW w:w="850" w:type="dxa"/>
            <w:noWrap w:val="0"/>
            <w:vAlign w:val="center"/>
          </w:tcPr>
          <w:p w14:paraId="7F5AFF59">
            <w:pPr>
              <w:spacing w:line="280" w:lineRule="exact"/>
              <w:ind w:firstLine="480"/>
              <w:jc w:val="center"/>
              <w:rPr>
                <w:rFonts w:hint="default" w:ascii="Times New Roman" w:hAnsi="Times New Roman" w:eastAsia="宋体" w:cs="Times New Roman"/>
                <w:color w:val="auto"/>
                <w:sz w:val="24"/>
                <w:highlight w:val="none"/>
              </w:rPr>
            </w:pPr>
          </w:p>
        </w:tc>
        <w:tc>
          <w:tcPr>
            <w:tcW w:w="5543" w:type="dxa"/>
            <w:noWrap w:val="0"/>
            <w:tcMar>
              <w:top w:w="113" w:type="dxa"/>
              <w:bottom w:w="113" w:type="dxa"/>
            </w:tcMar>
            <w:vAlign w:val="center"/>
          </w:tcPr>
          <w:p w14:paraId="7B12E73C">
            <w:pPr>
              <w:spacing w:line="300" w:lineRule="exact"/>
              <w:ind w:firstLine="440"/>
              <w:rPr>
                <w:rFonts w:hint="default" w:ascii="Times New Roman" w:hAnsi="Times New Roman" w:eastAsia="宋体" w:cs="Times New Roman"/>
                <w:color w:val="auto"/>
                <w:sz w:val="22"/>
                <w:szCs w:val="22"/>
                <w:highlight w:val="none"/>
              </w:rPr>
            </w:pPr>
            <w:r>
              <w:rPr>
                <w:rFonts w:hint="default" w:ascii="Times New Roman" w:hAnsi="Times New Roman" w:eastAsia="宋体" w:cs="Times New Roman"/>
                <w:color w:val="auto"/>
                <w:sz w:val="22"/>
                <w:szCs w:val="22"/>
                <w:highlight w:val="none"/>
              </w:rPr>
              <w:t>最近一年度，获得AAAAA级称号的得5分；获得AAAA级称号的得4分；获得AAA级称号的得3分；没有获得称号的不得分。</w:t>
            </w:r>
          </w:p>
        </w:tc>
      </w:tr>
      <w:tr w14:paraId="1056D49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61" w:hRule="atLeast"/>
          <w:jc w:val="center"/>
        </w:trPr>
        <w:tc>
          <w:tcPr>
            <w:tcW w:w="1333" w:type="dxa"/>
            <w:vMerge w:val="continue"/>
            <w:noWrap w:val="0"/>
            <w:vAlign w:val="center"/>
          </w:tcPr>
          <w:p w14:paraId="2284F544">
            <w:pPr>
              <w:spacing w:line="300" w:lineRule="exact"/>
              <w:ind w:left="388" w:right="-34" w:rightChars="-16" w:hanging="388" w:hangingChars="161"/>
              <w:jc w:val="left"/>
              <w:rPr>
                <w:rFonts w:hint="default" w:ascii="Times New Roman" w:hAnsi="Times New Roman" w:eastAsia="宋体" w:cs="Times New Roman"/>
                <w:b/>
                <w:color w:val="auto"/>
                <w:sz w:val="24"/>
                <w:highlight w:val="none"/>
              </w:rPr>
            </w:pPr>
          </w:p>
        </w:tc>
        <w:tc>
          <w:tcPr>
            <w:tcW w:w="2266" w:type="dxa"/>
            <w:noWrap w:val="0"/>
            <w:vAlign w:val="center"/>
          </w:tcPr>
          <w:p w14:paraId="2DF84341">
            <w:pPr>
              <w:spacing w:line="280" w:lineRule="exact"/>
              <w:ind w:firstLine="0" w:firstLineChars="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lang w:val="en-US" w:eastAsia="zh-CN"/>
              </w:rPr>
              <w:t>2、</w:t>
            </w:r>
            <w:r>
              <w:rPr>
                <w:rFonts w:hint="default" w:ascii="Times New Roman" w:hAnsi="Times New Roman" w:eastAsia="宋体" w:cs="Times New Roman"/>
                <w:color w:val="auto"/>
                <w:sz w:val="24"/>
                <w:highlight w:val="none"/>
              </w:rPr>
              <w:t>行为记录</w:t>
            </w:r>
          </w:p>
        </w:tc>
        <w:tc>
          <w:tcPr>
            <w:tcW w:w="2976" w:type="dxa"/>
            <w:noWrap w:val="0"/>
            <w:vAlign w:val="center"/>
          </w:tcPr>
          <w:p w14:paraId="7C96262B">
            <w:pPr>
              <w:spacing w:line="280" w:lineRule="exact"/>
              <w:ind w:firstLine="48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企业经营中无违反有关法律、法规、规章或强制性标准和执业行为规范，无构成不良行为</w:t>
            </w:r>
          </w:p>
        </w:tc>
        <w:tc>
          <w:tcPr>
            <w:tcW w:w="993" w:type="dxa"/>
            <w:noWrap w:val="0"/>
            <w:vAlign w:val="center"/>
          </w:tcPr>
          <w:p w14:paraId="64B8C0BD">
            <w:pPr>
              <w:spacing w:line="280" w:lineRule="exact"/>
              <w:ind w:firstLine="0" w:firstLineChars="0"/>
              <w:jc w:val="center"/>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lang w:val="en-US" w:eastAsia="zh-CN"/>
              </w:rPr>
              <w:t>20</w:t>
            </w:r>
            <w:r>
              <w:rPr>
                <w:rFonts w:hint="default" w:ascii="Times New Roman" w:hAnsi="Times New Roman" w:eastAsia="宋体" w:cs="Times New Roman"/>
                <w:color w:val="auto"/>
                <w:sz w:val="24"/>
                <w:highlight w:val="none"/>
              </w:rPr>
              <w:t>分</w:t>
            </w:r>
          </w:p>
        </w:tc>
        <w:tc>
          <w:tcPr>
            <w:tcW w:w="850" w:type="dxa"/>
            <w:noWrap w:val="0"/>
            <w:vAlign w:val="center"/>
          </w:tcPr>
          <w:p w14:paraId="572976E1">
            <w:pPr>
              <w:spacing w:line="280" w:lineRule="exact"/>
              <w:ind w:firstLine="480"/>
              <w:jc w:val="center"/>
              <w:rPr>
                <w:rFonts w:hint="default" w:ascii="Times New Roman" w:hAnsi="Times New Roman" w:eastAsia="宋体" w:cs="Times New Roman"/>
                <w:color w:val="auto"/>
                <w:sz w:val="24"/>
                <w:highlight w:val="none"/>
              </w:rPr>
            </w:pPr>
          </w:p>
        </w:tc>
        <w:tc>
          <w:tcPr>
            <w:tcW w:w="5543" w:type="dxa"/>
            <w:noWrap w:val="0"/>
            <w:tcMar>
              <w:top w:w="113" w:type="dxa"/>
              <w:bottom w:w="113" w:type="dxa"/>
            </w:tcMar>
            <w:vAlign w:val="center"/>
          </w:tcPr>
          <w:p w14:paraId="70CEC50E">
            <w:pPr>
              <w:spacing w:line="300" w:lineRule="exact"/>
              <w:ind w:firstLine="440"/>
              <w:rPr>
                <w:rFonts w:hint="default" w:ascii="Times New Roman" w:hAnsi="Times New Roman" w:eastAsia="宋体" w:cs="Times New Roman"/>
                <w:color w:val="auto"/>
                <w:sz w:val="22"/>
                <w:szCs w:val="22"/>
                <w:highlight w:val="none"/>
              </w:rPr>
            </w:pPr>
            <w:r>
              <w:rPr>
                <w:rFonts w:hint="default" w:ascii="Times New Roman" w:hAnsi="Times New Roman" w:eastAsia="宋体" w:cs="Times New Roman"/>
                <w:color w:val="auto"/>
                <w:sz w:val="22"/>
                <w:szCs w:val="22"/>
                <w:highlight w:val="none"/>
              </w:rPr>
              <w:t>近一年内，企业没有不良行为记录得</w:t>
            </w:r>
            <w:r>
              <w:rPr>
                <w:rFonts w:hint="default" w:ascii="Times New Roman" w:hAnsi="Times New Roman" w:eastAsia="宋体" w:cs="Times New Roman"/>
                <w:color w:val="auto"/>
                <w:sz w:val="22"/>
                <w:szCs w:val="22"/>
                <w:highlight w:val="none"/>
                <w:lang w:val="en-US" w:eastAsia="zh-CN"/>
              </w:rPr>
              <w:t>20</w:t>
            </w:r>
            <w:r>
              <w:rPr>
                <w:rFonts w:hint="default" w:ascii="Times New Roman" w:hAnsi="Times New Roman" w:eastAsia="宋体" w:cs="Times New Roman"/>
                <w:color w:val="auto"/>
                <w:sz w:val="22"/>
                <w:szCs w:val="22"/>
                <w:highlight w:val="none"/>
              </w:rPr>
              <w:t>分。根据国家和本省有关违法违规、不良行为的规定，企业或企业法人被列入法院被执行对象的每起扣15分，受建设行政主管部门或其委托的执行监督机构处罚的每起扣5分，受其他行政部门处罚的视不良行为严重程度酌情扣分（以上不良行为处罚信息以政府部门信息公开平台查实并公布的信息为准，同一行为按最重的扣分）。每年不按建设主管部门要求在统计系统平台申报企业统计数据的扣5分。</w:t>
            </w:r>
          </w:p>
        </w:tc>
      </w:tr>
      <w:tr w14:paraId="342DF62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109" w:hRule="atLeast"/>
          <w:jc w:val="center"/>
        </w:trPr>
        <w:tc>
          <w:tcPr>
            <w:tcW w:w="1333" w:type="dxa"/>
            <w:noWrap w:val="0"/>
            <w:vAlign w:val="center"/>
          </w:tcPr>
          <w:p w14:paraId="09FFE31D">
            <w:pPr>
              <w:spacing w:line="300" w:lineRule="exact"/>
              <w:ind w:left="354" w:right="-34" w:rightChars="-16" w:hanging="354" w:hangingChars="147"/>
              <w:rPr>
                <w:rFonts w:hint="default" w:ascii="Times New Roman" w:hAnsi="Times New Roman" w:eastAsia="宋体" w:cs="Times New Roman"/>
                <w:b/>
                <w:color w:val="auto"/>
                <w:sz w:val="21"/>
                <w:highlight w:val="none"/>
              </w:rPr>
            </w:pPr>
            <w:r>
              <w:rPr>
                <w:rFonts w:hint="default" w:ascii="Times New Roman" w:hAnsi="Times New Roman" w:eastAsia="宋体" w:cs="Times New Roman"/>
                <w:b/>
                <w:color w:val="auto"/>
                <w:sz w:val="24"/>
                <w:highlight w:val="none"/>
              </w:rPr>
              <w:t>六、社会责任</w:t>
            </w:r>
            <w:r>
              <w:rPr>
                <w:rFonts w:hint="default" w:ascii="Times New Roman" w:hAnsi="Times New Roman" w:cs="Times New Roman"/>
                <w:b/>
                <w:color w:val="auto"/>
                <w:sz w:val="24"/>
                <w:highlight w:val="none"/>
                <w:lang w:val="en-US" w:eastAsia="zh-CN"/>
              </w:rPr>
              <w:t>5</w:t>
            </w:r>
            <w:r>
              <w:rPr>
                <w:rFonts w:hint="default" w:ascii="Times New Roman" w:hAnsi="Times New Roman" w:eastAsia="宋体" w:cs="Times New Roman"/>
                <w:b/>
                <w:color w:val="auto"/>
                <w:sz w:val="24"/>
                <w:highlight w:val="none"/>
              </w:rPr>
              <w:t>分</w:t>
            </w:r>
          </w:p>
        </w:tc>
        <w:tc>
          <w:tcPr>
            <w:tcW w:w="2266" w:type="dxa"/>
            <w:noWrap w:val="0"/>
            <w:vAlign w:val="center"/>
          </w:tcPr>
          <w:p w14:paraId="082B49AF">
            <w:pPr>
              <w:spacing w:line="280" w:lineRule="exact"/>
              <w:ind w:firstLine="48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社会责任</w:t>
            </w:r>
          </w:p>
        </w:tc>
        <w:tc>
          <w:tcPr>
            <w:tcW w:w="2976" w:type="dxa"/>
            <w:noWrap w:val="0"/>
            <w:vAlign w:val="center"/>
          </w:tcPr>
          <w:p w14:paraId="2AB89F88">
            <w:pPr>
              <w:spacing w:line="280" w:lineRule="exact"/>
              <w:ind w:firstLine="48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企业在从事建筑业活动、参与抢险救灾或社会其他公益活动中获得政府主管部门表彰、表扬的</w:t>
            </w:r>
          </w:p>
        </w:tc>
        <w:tc>
          <w:tcPr>
            <w:tcW w:w="993" w:type="dxa"/>
            <w:noWrap w:val="0"/>
            <w:vAlign w:val="center"/>
          </w:tcPr>
          <w:p w14:paraId="68158DF1">
            <w:pPr>
              <w:spacing w:line="280" w:lineRule="exact"/>
              <w:ind w:firstLine="0" w:firstLineChars="0"/>
              <w:jc w:val="center"/>
              <w:rPr>
                <w:rFonts w:hint="default" w:ascii="Times New Roman" w:hAnsi="Times New Roman" w:eastAsia="宋体" w:cs="Times New Roman"/>
                <w:color w:val="auto"/>
                <w:sz w:val="24"/>
                <w:highlight w:val="none"/>
              </w:rPr>
            </w:pPr>
            <w:r>
              <w:rPr>
                <w:rFonts w:hint="default" w:ascii="Times New Roman" w:hAnsi="Times New Roman" w:cs="Times New Roman"/>
                <w:color w:val="auto"/>
                <w:sz w:val="24"/>
                <w:highlight w:val="none"/>
                <w:lang w:val="en-US" w:eastAsia="zh-CN"/>
              </w:rPr>
              <w:t>5</w:t>
            </w:r>
            <w:r>
              <w:rPr>
                <w:rFonts w:hint="default" w:ascii="Times New Roman" w:hAnsi="Times New Roman" w:eastAsia="宋体" w:cs="Times New Roman"/>
                <w:color w:val="auto"/>
                <w:sz w:val="24"/>
                <w:highlight w:val="none"/>
              </w:rPr>
              <w:t>分</w:t>
            </w:r>
          </w:p>
        </w:tc>
        <w:tc>
          <w:tcPr>
            <w:tcW w:w="850" w:type="dxa"/>
            <w:noWrap w:val="0"/>
            <w:vAlign w:val="center"/>
          </w:tcPr>
          <w:p w14:paraId="601EDADD">
            <w:pPr>
              <w:spacing w:line="280" w:lineRule="exact"/>
              <w:ind w:firstLine="480"/>
              <w:jc w:val="center"/>
              <w:rPr>
                <w:rFonts w:hint="default" w:ascii="Times New Roman" w:hAnsi="Times New Roman" w:eastAsia="宋体" w:cs="Times New Roman"/>
                <w:color w:val="auto"/>
                <w:sz w:val="24"/>
                <w:highlight w:val="none"/>
              </w:rPr>
            </w:pPr>
          </w:p>
        </w:tc>
        <w:tc>
          <w:tcPr>
            <w:tcW w:w="5543" w:type="dxa"/>
            <w:noWrap w:val="0"/>
            <w:tcMar>
              <w:top w:w="113" w:type="dxa"/>
              <w:bottom w:w="113" w:type="dxa"/>
            </w:tcMar>
            <w:vAlign w:val="center"/>
          </w:tcPr>
          <w:p w14:paraId="76DA7E0A">
            <w:pPr>
              <w:spacing w:line="300" w:lineRule="exact"/>
              <w:ind w:firstLine="440"/>
              <w:rPr>
                <w:rFonts w:hint="default" w:ascii="Times New Roman" w:hAnsi="Times New Roman" w:eastAsia="宋体" w:cs="Times New Roman"/>
                <w:color w:val="auto"/>
                <w:sz w:val="22"/>
                <w:szCs w:val="22"/>
                <w:highlight w:val="none"/>
              </w:rPr>
            </w:pPr>
            <w:r>
              <w:rPr>
                <w:rFonts w:hint="default" w:ascii="Times New Roman" w:hAnsi="Times New Roman" w:eastAsia="宋体" w:cs="Times New Roman"/>
                <w:color w:val="auto"/>
                <w:sz w:val="22"/>
                <w:szCs w:val="22"/>
                <w:highlight w:val="none"/>
              </w:rPr>
              <w:t>企业在从事建筑业活动、参与抢险救灾、扶贫、援建项目、“百千万工程”或社会其他公益活动中获得政府主管部门表彰、表扬的；获国家级加5分，部级加4分，省级加3分，地市级加2分。（本项满分5分）。</w:t>
            </w:r>
          </w:p>
        </w:tc>
      </w:tr>
    </w:tbl>
    <w:p w14:paraId="7BB2429C">
      <w:pPr>
        <w:keepNext w:val="0"/>
        <w:keepLines w:val="0"/>
        <w:pageBreakBefore w:val="0"/>
        <w:widowControl w:val="0"/>
        <w:kinsoku/>
        <w:wordWrap/>
        <w:overflowPunct/>
        <w:topLinePunct w:val="0"/>
        <w:autoSpaceDE/>
        <w:autoSpaceDN/>
        <w:bidi w:val="0"/>
        <w:adjustRightInd w:val="0"/>
        <w:snapToGrid w:val="0"/>
        <w:spacing w:line="240" w:lineRule="auto"/>
        <w:ind w:left="844" w:leftChars="0" w:right="-323" w:rightChars="-154" w:hanging="844" w:hangingChars="352"/>
        <w:textAlignment w:val="auto"/>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注：1.本表所称生产安全较大事故，是指《生产安全事故报告和调查处理条例》（国务院令第493号）规定的“造成3人以上10人以</w:t>
      </w:r>
    </w:p>
    <w:p w14:paraId="1647C2D3">
      <w:pPr>
        <w:keepNext w:val="0"/>
        <w:keepLines w:val="0"/>
        <w:pageBreakBefore w:val="0"/>
        <w:widowControl w:val="0"/>
        <w:kinsoku/>
        <w:wordWrap/>
        <w:overflowPunct/>
        <w:topLinePunct w:val="0"/>
        <w:autoSpaceDE/>
        <w:autoSpaceDN/>
        <w:bidi w:val="0"/>
        <w:adjustRightInd w:val="0"/>
        <w:snapToGrid w:val="0"/>
        <w:spacing w:line="240" w:lineRule="auto"/>
        <w:ind w:left="845" w:leftChars="208" w:right="-323" w:rightChars="-154" w:hanging="408" w:hangingChars="170"/>
        <w:textAlignment w:val="auto"/>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下死亡，或者10人以上50人以下重伤，或者1000万元以上5000万元以下直接经济损失的事故”。</w:t>
      </w:r>
    </w:p>
    <w:p w14:paraId="3FB4D49F">
      <w:pPr>
        <w:keepNext w:val="0"/>
        <w:keepLines w:val="0"/>
        <w:pageBreakBefore w:val="0"/>
        <w:widowControl w:val="0"/>
        <w:kinsoku/>
        <w:wordWrap/>
        <w:overflowPunct/>
        <w:topLinePunct w:val="0"/>
        <w:autoSpaceDE/>
        <w:autoSpaceDN/>
        <w:bidi w:val="0"/>
        <w:adjustRightInd w:val="0"/>
        <w:snapToGrid w:val="0"/>
        <w:spacing w:line="240" w:lineRule="auto"/>
        <w:ind w:left="479" w:leftChars="228" w:firstLine="0" w:firstLineChars="0"/>
        <w:textAlignment w:val="auto"/>
        <w:rPr>
          <w:rFonts w:hint="default" w:ascii="Times New Roman" w:hAnsi="Times New Roman" w:eastAsia="宋体" w:cs="Times New Roman"/>
          <w:color w:val="auto"/>
          <w:sz w:val="24"/>
          <w:highlight w:val="none"/>
          <w:lang w:val="en-US" w:eastAsia="zh-CN"/>
        </w:rPr>
      </w:pPr>
      <w:r>
        <w:rPr>
          <w:rFonts w:hint="default" w:ascii="Times New Roman" w:hAnsi="Times New Roman" w:eastAsia="宋体" w:cs="Times New Roman"/>
          <w:color w:val="auto"/>
          <w:sz w:val="24"/>
          <w:highlight w:val="none"/>
        </w:rPr>
        <w:t>2.本表所要求提供的指标均为申报年度前3年的指标。</w:t>
      </w:r>
      <w:r>
        <w:rPr>
          <w:rFonts w:hint="default"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lang w:val="en-US" w:eastAsia="zh-CN"/>
        </w:rPr>
        <w:t>申报前3年的1月1日到申报前1年的12月30日</w:t>
      </w:r>
      <w:r>
        <w:rPr>
          <w:rFonts w:hint="default" w:ascii="Times New Roman" w:hAnsi="Times New Roman" w:cs="Times New Roman"/>
          <w:color w:val="auto"/>
          <w:sz w:val="24"/>
          <w:highlight w:val="none"/>
          <w:lang w:eastAsia="zh-CN"/>
        </w:rPr>
        <w:t>，</w:t>
      </w:r>
      <w:r>
        <w:rPr>
          <w:rFonts w:hint="default" w:ascii="Times New Roman" w:hAnsi="Times New Roman" w:cs="Times New Roman"/>
          <w:color w:val="auto"/>
          <w:sz w:val="24"/>
          <w:highlight w:val="none"/>
          <w:lang w:val="en-US" w:eastAsia="zh-CN"/>
        </w:rPr>
        <w:t>例如：2025年评审，需要提供2022年1月1日~2024年12月30日的证明材料。）</w:t>
      </w:r>
    </w:p>
    <w:p w14:paraId="2EF68DD5">
      <w:pPr>
        <w:keepNext w:val="0"/>
        <w:keepLines w:val="0"/>
        <w:pageBreakBefore w:val="0"/>
        <w:widowControl w:val="0"/>
        <w:kinsoku/>
        <w:wordWrap/>
        <w:overflowPunct/>
        <w:topLinePunct w:val="0"/>
        <w:autoSpaceDE/>
        <w:autoSpaceDN/>
        <w:bidi w:val="0"/>
        <w:adjustRightInd w:val="0"/>
        <w:snapToGrid w:val="0"/>
        <w:spacing w:line="240" w:lineRule="auto"/>
        <w:ind w:firstLine="480" w:firstLineChars="200"/>
        <w:textAlignment w:val="auto"/>
        <w:rPr>
          <w:rFonts w:hint="default" w:ascii="Times New Roman" w:hAnsi="Times New Roman" w:eastAsia="宋体" w:cs="Times New Roman"/>
          <w:color w:val="auto"/>
          <w:sz w:val="24"/>
          <w:highlight w:val="none"/>
          <w:lang w:eastAsia="zh-CN"/>
        </w:rPr>
      </w:pPr>
      <w:r>
        <w:rPr>
          <w:rFonts w:hint="default" w:ascii="Times New Roman" w:hAnsi="Times New Roman" w:eastAsia="宋体" w:cs="Times New Roman"/>
          <w:color w:val="auto"/>
          <w:sz w:val="24"/>
          <w:highlight w:val="none"/>
        </w:rPr>
        <w:t>3.所有采分项，同一项目均按最高级别奖项采分，不重复叠加分</w:t>
      </w:r>
      <w:r>
        <w:rPr>
          <w:rFonts w:hint="default" w:ascii="Times New Roman" w:hAnsi="Times New Roman" w:eastAsia="宋体" w:cs="Times New Roman"/>
          <w:color w:val="auto"/>
          <w:sz w:val="24"/>
          <w:highlight w:val="none"/>
          <w:lang w:eastAsia="zh-CN"/>
        </w:rPr>
        <w:t>。</w:t>
      </w:r>
    </w:p>
    <w:p w14:paraId="098583DE">
      <w:pPr>
        <w:adjustRightInd w:val="0"/>
        <w:snapToGrid w:val="0"/>
        <w:spacing w:line="270" w:lineRule="exact"/>
        <w:ind w:firstLine="630" w:firstLineChars="300"/>
        <w:jc w:val="left"/>
        <w:rPr>
          <w:rFonts w:hint="default" w:ascii="Times New Roman" w:hAnsi="Times New Roman" w:cs="Times New Roman"/>
          <w:color w:val="auto"/>
          <w:highlight w:val="none"/>
          <w:lang w:val="en-US" w:eastAsia="zh-CN"/>
        </w:rPr>
      </w:pPr>
    </w:p>
    <w:sectPr>
      <w:headerReference r:id="rId21" w:type="default"/>
      <w:footerReference r:id="rId22" w:type="default"/>
      <w:pgSz w:w="16838" w:h="11906" w:orient="landscape"/>
      <w:pgMar w:top="1463" w:right="1440" w:bottom="1463" w:left="1440" w:header="851" w:footer="992" w:gutter="0"/>
      <w:pgBorders>
        <w:top w:val="none" w:sz="0" w:space="0"/>
        <w:left w:val="none" w:sz="0" w:space="0"/>
        <w:bottom w:val="none" w:sz="0" w:space="0"/>
        <w:right w:val="none" w:sz="0" w:space="0"/>
      </w:pgBorders>
      <w:cols w:space="720" w:num="1"/>
      <w:docGrid w:type="lines" w:linePitch="312" w:charSpace="0"/>
    </w:sectPr>
  </w:body>
</w:document>
</file>

<file path=word/customizations.xml><?xml version="1.0" encoding="utf-8"?>
<wne:tcg xmlns:r="http://schemas.openxmlformats.org/officeDocument/2006/relationships" xmlns:wne="http://schemas.microsoft.com/office/word/2006/wordml">
  <wne:toolbars>
    <wne:toolbarData r:id="rId1"/>
  </wne:toolbars>
</wne:tcg>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77FC4568-DDE0-424E-A829-0EF82022A11C}"/>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embedRegular r:id="rId2" w:fontKey="{E0F0DCB9-5A12-4246-9311-D3685C178F11}"/>
  </w:font>
  <w:font w:name="方正公文小标宋">
    <w:panose1 w:val="02000500000000000000"/>
    <w:charset w:val="86"/>
    <w:family w:val="auto"/>
    <w:pitch w:val="default"/>
    <w:sig w:usb0="A00002BF" w:usb1="38CF7CFA" w:usb2="00000016" w:usb3="00000000" w:csb0="00040001" w:csb1="00000000"/>
    <w:embedRegular r:id="rId3" w:fontKey="{4BA1E7F0-74F7-470F-9213-85E0564577B8}"/>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8DD643B">
    <w:pPr>
      <w:pStyle w:val="17"/>
    </w:pPr>
    <w:r>
      <w:fldChar w:fldCharType="begin"/>
    </w:r>
    <w:r>
      <w:instrText xml:space="preserve">PAGE   \* MERGEFORMAT</w:instrText>
    </w:r>
    <w:r>
      <w:fldChar w:fldCharType="separate"/>
    </w:r>
    <w:r>
      <w:rPr>
        <w:lang w:val="zh-CN"/>
      </w:rPr>
      <w:t>2</w:t>
    </w:r>
    <w: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C80519C">
    <w:pPr>
      <w:pStyle w:val="17"/>
      <w:ind w:right="720"/>
      <w:jc w:val="both"/>
      <w:rPr>
        <w:sz w:val="2"/>
        <w:szCs w:val="2"/>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50CC35A">
    <w:pPr>
      <w:pStyle w:val="53"/>
    </w:pPr>
    <w:r>
      <w:fldChar w:fldCharType="begin"/>
    </w:r>
    <w:r>
      <w:instrText xml:space="preserve">PAGE   \* MERGEFORMAT</w:instrText>
    </w:r>
    <w:r>
      <w:fldChar w:fldCharType="separate"/>
    </w:r>
    <w:r>
      <w:rPr>
        <w:lang w:val="zh-CN"/>
      </w:rPr>
      <w:t>I</w:t>
    </w:r>
    <w:r>
      <w:fldChar w:fldCharType="end"/>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73A7238">
    <w:pPr>
      <w:pStyle w:val="52"/>
    </w:pPr>
    <w:r>
      <w:fldChar w:fldCharType="begin"/>
    </w:r>
    <w:r>
      <w:instrText xml:space="preserve"> PAGE   \* MERGEFORMAT \* MERGEFORMAT </w:instrText>
    </w:r>
    <w:r>
      <w:fldChar w:fldCharType="separate"/>
    </w:r>
    <w:r>
      <w:t>II</w:t>
    </w:r>
    <w:r>
      <w:fldChar w:fldCharType="end"/>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D6E459">
    <w:pPr>
      <w:pStyle w:val="53"/>
    </w:pPr>
    <w:r>
      <w:fldChar w:fldCharType="begin"/>
    </w:r>
    <w:r>
      <w:instrText xml:space="preserve">PAGE   \* MERGEFORMAT</w:instrText>
    </w:r>
    <w:r>
      <w:fldChar w:fldCharType="separate"/>
    </w:r>
    <w:r>
      <w:rPr>
        <w:lang w:val="zh-CN"/>
      </w:rPr>
      <w:t>I</w:t>
    </w:r>
    <w:r>
      <w:fldChar w:fldCharType="end"/>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8B68849">
    <w:pPr>
      <w:pStyle w:val="52"/>
    </w:pPr>
    <w:r>
      <w:fldChar w:fldCharType="begin"/>
    </w:r>
    <w:r>
      <w:instrText xml:space="preserve"> PAGE   \* MERGEFORMAT \* MERGEFORMAT </w:instrText>
    </w:r>
    <w:r>
      <w:fldChar w:fldCharType="separate"/>
    </w:r>
    <w:r>
      <w:t>II</w:t>
    </w:r>
    <w:r>
      <w:fldChar w:fldCharType="end"/>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B7F0F77">
    <w:pPr>
      <w:pStyle w:val="53"/>
    </w:pPr>
    <w:r>
      <w:rPr>
        <w:sz w:val="18"/>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6539C4D">
                          <w:pPr>
                            <w:pStyle w:val="53"/>
                            <w:rPr>
                              <w:sz w:val="28"/>
                              <w:szCs w:val="28"/>
                            </w:rPr>
                          </w:pPr>
                          <w:r>
                            <w:rPr>
                              <w:sz w:val="28"/>
                              <w:szCs w:val="28"/>
                            </w:rPr>
                            <w:fldChar w:fldCharType="begin"/>
                          </w:r>
                          <w:r>
                            <w:rPr>
                              <w:sz w:val="28"/>
                              <w:szCs w:val="28"/>
                            </w:rPr>
                            <w:instrText xml:space="preserve">PAGE   \* MERGEFORMAT</w:instrText>
                          </w:r>
                          <w:r>
                            <w:rPr>
                              <w:sz w:val="28"/>
                              <w:szCs w:val="28"/>
                            </w:rPr>
                            <w:fldChar w:fldCharType="separate"/>
                          </w:r>
                          <w:r>
                            <w:rPr>
                              <w:sz w:val="28"/>
                              <w:szCs w:val="28"/>
                              <w:lang w:val="zh-CN"/>
                            </w:rPr>
                            <w:t>11</w:t>
                          </w:r>
                          <w:r>
                            <w:rPr>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KVIPQyAgAAYQQAAA4AAABkcnMvZTJvRG9jLnhtbK1UzY7TMBC+I/EO&#10;lu80aRGrbt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ApUg9DICAABhBAAADgAAAAAAAAABACAAAAAfAQAAZHJzL2Uyb0RvYy54bWxQSwUG&#10;AAAAAAYABgBZAQAAwwUAAAAA&#10;">
              <v:fill on="f" focussize="0,0"/>
              <v:stroke on="f" weight="0.5pt"/>
              <v:imagedata o:title=""/>
              <o:lock v:ext="edit" aspectratio="f"/>
              <v:textbox inset="0mm,0mm,0mm,0mm" style="mso-fit-shape-to-text:t;">
                <w:txbxContent>
                  <w:p w14:paraId="66539C4D">
                    <w:pPr>
                      <w:pStyle w:val="53"/>
                      <w:rPr>
                        <w:sz w:val="28"/>
                        <w:szCs w:val="28"/>
                      </w:rPr>
                    </w:pPr>
                    <w:r>
                      <w:rPr>
                        <w:sz w:val="28"/>
                        <w:szCs w:val="28"/>
                      </w:rPr>
                      <w:fldChar w:fldCharType="begin"/>
                    </w:r>
                    <w:r>
                      <w:rPr>
                        <w:sz w:val="28"/>
                        <w:szCs w:val="28"/>
                      </w:rPr>
                      <w:instrText xml:space="preserve">PAGE   \* MERGEFORMAT</w:instrText>
                    </w:r>
                    <w:r>
                      <w:rPr>
                        <w:sz w:val="28"/>
                        <w:szCs w:val="28"/>
                      </w:rPr>
                      <w:fldChar w:fldCharType="separate"/>
                    </w:r>
                    <w:r>
                      <w:rPr>
                        <w:sz w:val="28"/>
                        <w:szCs w:val="28"/>
                        <w:lang w:val="zh-CN"/>
                      </w:rPr>
                      <w:t>11</w:t>
                    </w:r>
                    <w:r>
                      <w:rPr>
                        <w:sz w:val="28"/>
                        <w:szCs w:val="28"/>
                      </w:rPr>
                      <w:fldChar w:fldCharType="end"/>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516D58A">
    <w:pPr>
      <w:pStyle w:val="52"/>
    </w:pPr>
    <w:r>
      <w:rPr>
        <w:sz w:val="18"/>
      </w:rPr>
      <mc:AlternateContent>
        <mc:Choice Requires="wps">
          <w:drawing>
            <wp:anchor distT="0" distB="0" distL="114300" distR="114300" simplePos="0" relativeHeight="251660288" behindDoc="0" locked="0" layoutInCell="1" allowOverlap="1">
              <wp:simplePos x="0" y="0"/>
              <wp:positionH relativeFrom="margin">
                <wp:align>right</wp:align>
              </wp:positionH>
              <wp:positionV relativeFrom="paragraph">
                <wp:posOffset>0</wp:posOffset>
              </wp:positionV>
              <wp:extent cx="1828800" cy="1828800"/>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2A07A2F">
                          <w:pPr>
                            <w:pStyle w:val="52"/>
                            <w:rPr>
                              <w:sz w:val="28"/>
                              <w:szCs w:val="28"/>
                            </w:rPr>
                          </w:pPr>
                          <w:r>
                            <w:rPr>
                              <w:sz w:val="28"/>
                              <w:szCs w:val="28"/>
                            </w:rPr>
                            <w:fldChar w:fldCharType="begin"/>
                          </w:r>
                          <w:r>
                            <w:rPr>
                              <w:sz w:val="28"/>
                              <w:szCs w:val="28"/>
                            </w:rPr>
                            <w:instrText xml:space="preserve"> PAGE   \* MERGEFORMAT \* MERGEFORMAT </w:instrText>
                          </w:r>
                          <w:r>
                            <w:rPr>
                              <w:sz w:val="28"/>
                              <w:szCs w:val="28"/>
                            </w:rPr>
                            <w:fldChar w:fldCharType="separate"/>
                          </w:r>
                          <w:r>
                            <w:rPr>
                              <w:sz w:val="28"/>
                              <w:szCs w:val="28"/>
                            </w:rPr>
                            <w:t>10</w:t>
                          </w:r>
                          <w:r>
                            <w:rPr>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mor5U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CpqK+VMQIAAGMEAAAOAAAAAAAAAAEAIAAAAB8BAABkcnMvZTJvRG9jLnhtbFBLBQYA&#10;AAAABgAGAFkBAADCBQAAAAA=&#10;">
              <v:fill on="f" focussize="0,0"/>
              <v:stroke on="f" weight="0.5pt"/>
              <v:imagedata o:title=""/>
              <o:lock v:ext="edit" aspectratio="f"/>
              <v:textbox inset="0mm,0mm,0mm,0mm" style="mso-fit-shape-to-text:t;">
                <w:txbxContent>
                  <w:p w14:paraId="12A07A2F">
                    <w:pPr>
                      <w:pStyle w:val="52"/>
                      <w:rPr>
                        <w:sz w:val="28"/>
                        <w:szCs w:val="28"/>
                      </w:rPr>
                    </w:pPr>
                    <w:r>
                      <w:rPr>
                        <w:sz w:val="28"/>
                        <w:szCs w:val="28"/>
                      </w:rPr>
                      <w:fldChar w:fldCharType="begin"/>
                    </w:r>
                    <w:r>
                      <w:rPr>
                        <w:sz w:val="28"/>
                        <w:szCs w:val="28"/>
                      </w:rPr>
                      <w:instrText xml:space="preserve"> PAGE   \* MERGEFORMAT \* MERGEFORMAT </w:instrText>
                    </w:r>
                    <w:r>
                      <w:rPr>
                        <w:sz w:val="28"/>
                        <w:szCs w:val="28"/>
                      </w:rPr>
                      <w:fldChar w:fldCharType="separate"/>
                    </w:r>
                    <w:r>
                      <w:rPr>
                        <w:sz w:val="28"/>
                        <w:szCs w:val="28"/>
                      </w:rPr>
                      <w:t>10</w:t>
                    </w:r>
                    <w:r>
                      <w:rPr>
                        <w:sz w:val="28"/>
                        <w:szCs w:val="28"/>
                      </w:rPr>
                      <w:fldChar w:fldCharType="end"/>
                    </w:r>
                  </w:p>
                </w:txbxContent>
              </v:textbox>
            </v:shape>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5111B2C">
    <w:pPr>
      <w:pStyle w:val="17"/>
      <w:ind w:firstLine="0" w:firstLineChars="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5A99C92">
    <w:pPr>
      <w:pStyle w:val="18"/>
      <w:wordWrap w:val="0"/>
      <w:jc w:val="right"/>
      <w:rPr>
        <w:rFonts w:ascii="黑体" w:hAnsi="黑体" w:eastAsia="黑体"/>
      </w:rPr>
    </w:pPr>
    <w:r>
      <w:rPr>
        <w:rFonts w:ascii="黑体" w:hAnsi="黑体" w:eastAsia="黑体"/>
      </w:rPr>
      <w:t>Q/LB.</w:t>
    </w:r>
    <w:r>
      <w:rPr>
        <w:rFonts w:hint="eastAsia" w:ascii="黑体" w:hAnsi="黑体" w:eastAsia="黑体"/>
      </w:rPr>
      <w:t>□</w:t>
    </w:r>
    <w:r>
      <w:rPr>
        <w:rFonts w:ascii="黑体" w:hAnsi="黑体" w:eastAsia="黑体"/>
      </w:rPr>
      <w:t>XXXXX-XXXX</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1F70198">
    <w:pPr>
      <w:pStyle w:val="18"/>
      <w:jc w:val="both"/>
      <w:rPr>
        <w:sz w:val="2"/>
        <w:szCs w:val="2"/>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0B77E65">
    <w:pPr>
      <w:pStyle w:val="62"/>
    </w:pPr>
    <w:r>
      <w:fldChar w:fldCharType="begin"/>
    </w:r>
    <w:r>
      <w:instrText xml:space="preserve"> STYLEREF  标准文件_文件编号  \* MERGEFORMAT </w:instrText>
    </w:r>
    <w:r>
      <w:fldChar w:fldCharType="separate"/>
    </w:r>
    <w:r>
      <w:t>T/GZSCIA XXX—2025</w:t>
    </w:r>
    <w:r>
      <w:fldChar w:fldCharType="end"/>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B1B5F28">
    <w:pPr>
      <w:pStyle w:val="63"/>
    </w:pPr>
    <w:r>
      <w:fldChar w:fldCharType="begin"/>
    </w:r>
    <w:r>
      <w:instrText xml:space="preserve"> STYLEREF  标准文件_文件编号 \* MERGEFORMAT </w:instrText>
    </w:r>
    <w:r>
      <w:fldChar w:fldCharType="separate"/>
    </w:r>
    <w:r>
      <w:t>T/GZSCIA XXX—2025</w:t>
    </w:r>
    <w:r>
      <w:fldChar w:fldCharType="end"/>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D629B3D">
    <w:pPr>
      <w:pStyle w:val="62"/>
    </w:pPr>
    <w:r>
      <w:fldChar w:fldCharType="begin"/>
    </w:r>
    <w:r>
      <w:instrText xml:space="preserve"> STYLEREF  标准文件_文件编号  \* MERGEFORMAT </w:instrText>
    </w:r>
    <w:r>
      <w:fldChar w:fldCharType="separate"/>
    </w:r>
    <w:r>
      <w:t>T/GZSCIA XXX—2025</w:t>
    </w:r>
    <w:r>
      <w:fldChar w:fldCharType="end"/>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A7FC19B">
    <w:pPr>
      <w:pStyle w:val="63"/>
    </w:pPr>
    <w:r>
      <w:fldChar w:fldCharType="begin"/>
    </w:r>
    <w:r>
      <w:instrText xml:space="preserve"> STYLEREF  标准文件_文件编号 \* MERGEFORMAT </w:instrText>
    </w:r>
    <w:r>
      <w:fldChar w:fldCharType="separate"/>
    </w:r>
    <w:r>
      <w:t>T/GZSCIA XXX—2025</w:t>
    </w:r>
    <w:r>
      <w:fldChar w:fldCharType="end"/>
    </w: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6BF6BB5">
    <w:pPr>
      <w:pStyle w:val="62"/>
    </w:pPr>
    <w:r>
      <w:fldChar w:fldCharType="begin"/>
    </w:r>
    <w:r>
      <w:instrText xml:space="preserve"> STYLEREF  标准文件_文件编号  \* MERGEFORMAT </w:instrText>
    </w:r>
    <w:r>
      <w:fldChar w:fldCharType="separate"/>
    </w:r>
    <w:r>
      <w:t>T/GZSCIA XXX—2025</w:t>
    </w:r>
    <w:r>
      <w:fldChar w:fldCharType="end"/>
    </w: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9D4CDEE">
    <w:pPr>
      <w:pStyle w:val="63"/>
    </w:pPr>
    <w:r>
      <w:fldChar w:fldCharType="begin"/>
    </w:r>
    <w:r>
      <w:instrText xml:space="preserve"> STYLEREF  标准文件_文件编号 \* MERGEFORMAT </w:instrText>
    </w:r>
    <w:r>
      <w:fldChar w:fldCharType="separate"/>
    </w:r>
    <w:r>
      <w:t>T/GZSCIA XXX—2025</w:t>
    </w:r>
    <w:r>
      <w:fldChar w:fldCharType="end"/>
    </w: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D242A8E">
    <w:pPr>
      <w:pStyle w:val="18"/>
      <w:pBdr>
        <w:bottom w:val="none" w:color="auto" w:sz="0" w:space="1"/>
      </w:pBdr>
      <w:ind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2837933"/>
    <w:multiLevelType w:val="multilevel"/>
    <w:tmpl w:val="02837933"/>
    <w:lvl w:ilvl="0" w:tentative="0">
      <w:start w:val="1"/>
      <w:numFmt w:val="decimal"/>
      <w:pStyle w:val="65"/>
      <w:lvlText w:val="[%1]"/>
      <w:lvlJc w:val="left"/>
      <w:pPr>
        <w:tabs>
          <w:tab w:val="left" w:pos="1646"/>
        </w:tabs>
        <w:ind w:left="1646" w:hanging="648"/>
      </w:pPr>
    </w:lvl>
    <w:lvl w:ilvl="1" w:tentative="0">
      <w:start w:val="1"/>
      <w:numFmt w:val="lowerLetter"/>
      <w:lvlText w:val="%2)"/>
      <w:lvlJc w:val="left"/>
      <w:pPr>
        <w:tabs>
          <w:tab w:val="left" w:pos="1838"/>
        </w:tabs>
        <w:ind w:left="1838" w:hanging="420"/>
      </w:pPr>
    </w:lvl>
    <w:lvl w:ilvl="2" w:tentative="0">
      <w:start w:val="1"/>
      <w:numFmt w:val="lowerRoman"/>
      <w:lvlText w:val="%3."/>
      <w:lvlJc w:val="right"/>
      <w:pPr>
        <w:tabs>
          <w:tab w:val="left" w:pos="2258"/>
        </w:tabs>
        <w:ind w:left="2258" w:hanging="420"/>
      </w:pPr>
    </w:lvl>
    <w:lvl w:ilvl="3" w:tentative="0">
      <w:start w:val="1"/>
      <w:numFmt w:val="decimal"/>
      <w:lvlText w:val="%4."/>
      <w:lvlJc w:val="left"/>
      <w:pPr>
        <w:tabs>
          <w:tab w:val="left" w:pos="2678"/>
        </w:tabs>
        <w:ind w:left="2678" w:hanging="420"/>
      </w:pPr>
    </w:lvl>
    <w:lvl w:ilvl="4" w:tentative="0">
      <w:start w:val="1"/>
      <w:numFmt w:val="lowerLetter"/>
      <w:lvlText w:val="%5)"/>
      <w:lvlJc w:val="left"/>
      <w:pPr>
        <w:tabs>
          <w:tab w:val="left" w:pos="3098"/>
        </w:tabs>
        <w:ind w:left="3098" w:hanging="420"/>
      </w:pPr>
    </w:lvl>
    <w:lvl w:ilvl="5" w:tentative="0">
      <w:start w:val="1"/>
      <w:numFmt w:val="lowerRoman"/>
      <w:lvlText w:val="%6."/>
      <w:lvlJc w:val="right"/>
      <w:pPr>
        <w:tabs>
          <w:tab w:val="left" w:pos="3518"/>
        </w:tabs>
        <w:ind w:left="3518" w:hanging="420"/>
      </w:pPr>
    </w:lvl>
    <w:lvl w:ilvl="6" w:tentative="0">
      <w:start w:val="1"/>
      <w:numFmt w:val="decimal"/>
      <w:lvlText w:val="%7."/>
      <w:lvlJc w:val="left"/>
      <w:pPr>
        <w:tabs>
          <w:tab w:val="left" w:pos="3938"/>
        </w:tabs>
        <w:ind w:left="3938" w:hanging="420"/>
      </w:pPr>
    </w:lvl>
    <w:lvl w:ilvl="7" w:tentative="0">
      <w:start w:val="1"/>
      <w:numFmt w:val="lowerLetter"/>
      <w:lvlText w:val="%8)"/>
      <w:lvlJc w:val="left"/>
      <w:pPr>
        <w:tabs>
          <w:tab w:val="left" w:pos="4358"/>
        </w:tabs>
        <w:ind w:left="4358" w:hanging="420"/>
      </w:pPr>
    </w:lvl>
    <w:lvl w:ilvl="8" w:tentative="0">
      <w:start w:val="1"/>
      <w:numFmt w:val="lowerRoman"/>
      <w:lvlText w:val="%9."/>
      <w:lvlJc w:val="right"/>
      <w:pPr>
        <w:tabs>
          <w:tab w:val="left" w:pos="4778"/>
        </w:tabs>
        <w:ind w:left="4778" w:hanging="420"/>
      </w:pPr>
    </w:lvl>
  </w:abstractNum>
  <w:abstractNum w:abstractNumId="1">
    <w:nsid w:val="040A15CD"/>
    <w:multiLevelType w:val="multilevel"/>
    <w:tmpl w:val="040A15CD"/>
    <w:lvl w:ilvl="0" w:tentative="0">
      <w:start w:val="1"/>
      <w:numFmt w:val="none"/>
      <w:suff w:val="nothing"/>
      <w:lvlText w:val="　"/>
      <w:lvlJc w:val="left"/>
      <w:pPr>
        <w:ind w:left="0" w:firstLine="0"/>
      </w:pPr>
    </w:lvl>
    <w:lvl w:ilvl="1" w:tentative="0">
      <w:start w:val="1"/>
      <w:numFmt w:val="decimal"/>
      <w:isLgl/>
      <w:suff w:val="nothing"/>
      <w:lvlText w:val="%2　"/>
      <w:lvlJc w:val="left"/>
      <w:pPr>
        <w:ind w:left="0" w:firstLine="0"/>
      </w:pPr>
    </w:lvl>
    <w:lvl w:ilvl="2" w:tentative="0">
      <w:start w:val="1"/>
      <w:numFmt w:val="decimal"/>
      <w:pStyle w:val="160"/>
      <w:suff w:val="nothing"/>
      <w:lvlText w:val="%1%2.%3　"/>
      <w:lvlJc w:val="left"/>
      <w:pPr>
        <w:ind w:left="0" w:firstLine="0"/>
      </w:pPr>
    </w:lvl>
    <w:lvl w:ilvl="3" w:tentative="0">
      <w:start w:val="1"/>
      <w:numFmt w:val="decimal"/>
      <w:pStyle w:val="119"/>
      <w:suff w:val="nothing"/>
      <w:lvlText w:val="%1%2.%3.%4　"/>
      <w:lvlJc w:val="left"/>
      <w:pPr>
        <w:ind w:left="0" w:firstLine="0"/>
      </w:pPr>
    </w:lvl>
    <w:lvl w:ilvl="4" w:tentative="0">
      <w:start w:val="1"/>
      <w:numFmt w:val="decimal"/>
      <w:pStyle w:val="154"/>
      <w:suff w:val="nothing"/>
      <w:lvlText w:val="%1%2.%3.%4.%5　"/>
      <w:lvlJc w:val="left"/>
      <w:pPr>
        <w:ind w:left="0" w:firstLine="0"/>
      </w:pPr>
    </w:lvl>
    <w:lvl w:ilvl="5" w:tentative="0">
      <w:start w:val="1"/>
      <w:numFmt w:val="decimal"/>
      <w:pStyle w:val="156"/>
      <w:suff w:val="nothing"/>
      <w:lvlText w:val="%1%2.%3.%4.%5.%6　"/>
      <w:lvlJc w:val="left"/>
      <w:pPr>
        <w:ind w:left="0" w:firstLine="0"/>
      </w:pPr>
    </w:lvl>
    <w:lvl w:ilvl="6" w:tentative="0">
      <w:start w:val="1"/>
      <w:numFmt w:val="decimal"/>
      <w:pStyle w:val="159"/>
      <w:suff w:val="nothing"/>
      <w:lvlText w:val="%1%2.%3.%4.%5.%6.%7　"/>
      <w:lvlJc w:val="left"/>
      <w:pPr>
        <w:ind w:left="0" w:firstLine="0"/>
      </w:pPr>
    </w:lvl>
    <w:lvl w:ilvl="7" w:tentative="0">
      <w:start w:val="1"/>
      <w:numFmt w:val="decimal"/>
      <w:lvlText w:val="%1.%2.%3.%4.%5.%6.%7.%8"/>
      <w:lvlJc w:val="left"/>
      <w:pPr>
        <w:tabs>
          <w:tab w:val="left" w:pos="4394"/>
        </w:tabs>
        <w:ind w:left="4394" w:hanging="1418"/>
      </w:pPr>
    </w:lvl>
    <w:lvl w:ilvl="8" w:tentative="0">
      <w:start w:val="1"/>
      <w:numFmt w:val="decimal"/>
      <w:lvlText w:val="%1.%2.%3.%4.%5.%6.%7.%8.%9"/>
      <w:lvlJc w:val="left"/>
      <w:pPr>
        <w:tabs>
          <w:tab w:val="left" w:pos="5102"/>
        </w:tabs>
        <w:ind w:left="5102" w:hanging="1700"/>
      </w:pPr>
    </w:lvl>
  </w:abstractNum>
  <w:abstractNum w:abstractNumId="2">
    <w:nsid w:val="079102AD"/>
    <w:multiLevelType w:val="multilevel"/>
    <w:tmpl w:val="079102AD"/>
    <w:lvl w:ilvl="0" w:tentative="0">
      <w:start w:val="1"/>
      <w:numFmt w:val="decimal"/>
      <w:pStyle w:val="181"/>
      <w:suff w:val="nothing"/>
      <w:lvlText w:val="注%1："/>
      <w:lvlJc w:val="left"/>
      <w:pPr>
        <w:ind w:left="811" w:hanging="448"/>
      </w:pPr>
      <w:rPr>
        <w:rFonts w:hint="eastAsia" w:ascii="黑体" w:eastAsia="黑体"/>
        <w:b w:val="0"/>
        <w:i w:val="0"/>
        <w:sz w:val="18"/>
      </w:rPr>
    </w:lvl>
    <w:lvl w:ilvl="1" w:tentative="0">
      <w:start w:val="1"/>
      <w:numFmt w:val="lowerLetter"/>
      <w:lvlText w:val="%2)"/>
      <w:lvlJc w:val="left"/>
      <w:pPr>
        <w:tabs>
          <w:tab w:val="left" w:pos="0"/>
        </w:tabs>
        <w:ind w:left="992" w:hanging="629"/>
      </w:pPr>
      <w:rPr>
        <w:rFonts w:hint="eastAsia"/>
      </w:rPr>
    </w:lvl>
    <w:lvl w:ilvl="2" w:tentative="0">
      <w:start w:val="1"/>
      <w:numFmt w:val="lowerRoman"/>
      <w:lvlText w:val="%3."/>
      <w:lvlJc w:val="right"/>
      <w:pPr>
        <w:tabs>
          <w:tab w:val="left" w:pos="0"/>
        </w:tabs>
        <w:ind w:left="992" w:hanging="629"/>
      </w:pPr>
      <w:rPr>
        <w:rFonts w:hint="eastAsia"/>
      </w:rPr>
    </w:lvl>
    <w:lvl w:ilvl="3" w:tentative="0">
      <w:start w:val="1"/>
      <w:numFmt w:val="decimal"/>
      <w:lvlText w:val="%4."/>
      <w:lvlJc w:val="left"/>
      <w:pPr>
        <w:tabs>
          <w:tab w:val="left" w:pos="0"/>
        </w:tabs>
        <w:ind w:left="992" w:hanging="629"/>
      </w:pPr>
      <w:rPr>
        <w:rFonts w:hint="eastAsia"/>
      </w:rPr>
    </w:lvl>
    <w:lvl w:ilvl="4" w:tentative="0">
      <w:start w:val="1"/>
      <w:numFmt w:val="lowerLetter"/>
      <w:lvlText w:val="%5)"/>
      <w:lvlJc w:val="left"/>
      <w:pPr>
        <w:tabs>
          <w:tab w:val="left" w:pos="0"/>
        </w:tabs>
        <w:ind w:left="992" w:hanging="629"/>
      </w:pPr>
      <w:rPr>
        <w:rFonts w:hint="eastAsia"/>
      </w:rPr>
    </w:lvl>
    <w:lvl w:ilvl="5" w:tentative="0">
      <w:start w:val="1"/>
      <w:numFmt w:val="lowerRoman"/>
      <w:lvlText w:val="%6."/>
      <w:lvlJc w:val="right"/>
      <w:pPr>
        <w:tabs>
          <w:tab w:val="left" w:pos="0"/>
        </w:tabs>
        <w:ind w:left="992" w:hanging="629"/>
      </w:pPr>
      <w:rPr>
        <w:rFonts w:hint="eastAsia"/>
      </w:rPr>
    </w:lvl>
    <w:lvl w:ilvl="6" w:tentative="0">
      <w:start w:val="1"/>
      <w:numFmt w:val="decimal"/>
      <w:lvlText w:val="%7."/>
      <w:lvlJc w:val="left"/>
      <w:pPr>
        <w:tabs>
          <w:tab w:val="left" w:pos="0"/>
        </w:tabs>
        <w:ind w:left="992" w:hanging="629"/>
      </w:pPr>
      <w:rPr>
        <w:rFonts w:hint="eastAsia"/>
      </w:rPr>
    </w:lvl>
    <w:lvl w:ilvl="7" w:tentative="0">
      <w:start w:val="1"/>
      <w:numFmt w:val="lowerLetter"/>
      <w:lvlText w:val="%8)"/>
      <w:lvlJc w:val="left"/>
      <w:pPr>
        <w:tabs>
          <w:tab w:val="left" w:pos="0"/>
        </w:tabs>
        <w:ind w:left="992" w:hanging="629"/>
      </w:pPr>
      <w:rPr>
        <w:rFonts w:hint="eastAsia"/>
      </w:rPr>
    </w:lvl>
    <w:lvl w:ilvl="8" w:tentative="0">
      <w:start w:val="1"/>
      <w:numFmt w:val="lowerRoman"/>
      <w:lvlText w:val="%9."/>
      <w:lvlJc w:val="right"/>
      <w:pPr>
        <w:tabs>
          <w:tab w:val="left" w:pos="0"/>
        </w:tabs>
        <w:ind w:left="992" w:hanging="629"/>
      </w:pPr>
      <w:rPr>
        <w:rFonts w:hint="eastAsia"/>
      </w:rPr>
    </w:lvl>
  </w:abstractNum>
  <w:abstractNum w:abstractNumId="3">
    <w:nsid w:val="07ED3FEA"/>
    <w:multiLevelType w:val="multilevel"/>
    <w:tmpl w:val="07ED3FEA"/>
    <w:lvl w:ilvl="0" w:tentative="0">
      <w:start w:val="1"/>
      <w:numFmt w:val="none"/>
      <w:pStyle w:val="90"/>
      <w:lvlText w:val="%1"/>
      <w:lvlJc w:val="left"/>
      <w:pPr>
        <w:ind w:left="425" w:hanging="425"/>
      </w:pPr>
      <w:rPr>
        <w:rFonts w:hint="eastAsia"/>
      </w:rPr>
    </w:lvl>
    <w:lvl w:ilvl="1" w:tentative="0">
      <w:start w:val="1"/>
      <w:numFmt w:val="decimal"/>
      <w:pStyle w:val="201"/>
      <w:suff w:val="nothing"/>
      <w:lvlText w:val="%10.%2 "/>
      <w:lvlJc w:val="left"/>
      <w:pPr>
        <w:ind w:left="0" w:firstLine="0"/>
      </w:pPr>
      <w:rPr>
        <w:rFonts w:hint="eastAsia" w:ascii="黑体" w:eastAsia="黑体" w:hAnsiTheme="minorHAnsi"/>
        <w:b w:val="0"/>
        <w:i w:val="0"/>
        <w:sz w:val="21"/>
      </w:rPr>
    </w:lvl>
    <w:lvl w:ilvl="2" w:tentative="0">
      <w:start w:val="1"/>
      <w:numFmt w:val="decimal"/>
      <w:pStyle w:val="202"/>
      <w:suff w:val="nothing"/>
      <w:lvlText w:val="%10.%2.%3 "/>
      <w:lvlJc w:val="left"/>
      <w:pPr>
        <w:ind w:left="0" w:firstLine="0"/>
      </w:pPr>
      <w:rPr>
        <w:rFonts w:hint="eastAsia" w:ascii="黑体" w:eastAsia="黑体" w:hAnsiTheme="minorHAnsi"/>
        <w:b w:val="0"/>
        <w:i w:val="0"/>
        <w:sz w:val="21"/>
      </w:rPr>
    </w:lvl>
    <w:lvl w:ilvl="3" w:tentative="0">
      <w:start w:val="1"/>
      <w:numFmt w:val="decimal"/>
      <w:pStyle w:val="203"/>
      <w:suff w:val="nothing"/>
      <w:lvlText w:val="%10.%2.%3.%4 "/>
      <w:lvlJc w:val="left"/>
      <w:pPr>
        <w:ind w:left="0" w:firstLine="0"/>
      </w:pPr>
      <w:rPr>
        <w:rFonts w:hint="eastAsia" w:ascii="黑体" w:eastAsia="黑体" w:hAnsiTheme="minorHAnsi"/>
        <w:b w:val="0"/>
        <w:i w:val="0"/>
        <w:sz w:val="21"/>
      </w:rPr>
    </w:lvl>
    <w:lvl w:ilvl="4" w:tentative="0">
      <w:start w:val="1"/>
      <w:numFmt w:val="decimal"/>
      <w:pStyle w:val="204"/>
      <w:suff w:val="nothing"/>
      <w:lvlText w:val="%10.%2.%3.%4.%5 "/>
      <w:lvlJc w:val="left"/>
      <w:pPr>
        <w:ind w:left="0" w:firstLine="0"/>
      </w:pPr>
      <w:rPr>
        <w:rFonts w:hint="eastAsia" w:ascii="黑体" w:eastAsia="黑体" w:hAnsiTheme="minorHAnsi"/>
        <w:b w:val="0"/>
        <w:i w:val="0"/>
        <w:sz w:val="21"/>
      </w:rPr>
    </w:lvl>
    <w:lvl w:ilvl="5" w:tentative="0">
      <w:start w:val="1"/>
      <w:numFmt w:val="decimal"/>
      <w:pStyle w:val="205"/>
      <w:suff w:val="nothing"/>
      <w:lvlText w:val="%10.%2.%3.%4.%5.%6 "/>
      <w:lvlJc w:val="left"/>
      <w:pPr>
        <w:ind w:left="0" w:firstLine="0"/>
      </w:pPr>
      <w:rPr>
        <w:rFonts w:hint="eastAsia" w:ascii="黑体" w:eastAsia="黑体" w:hAnsiTheme="minorHAnsi"/>
        <w:b w:val="0"/>
        <w:i w:val="0"/>
        <w:sz w:val="21"/>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4">
    <w:nsid w:val="0AE367E9"/>
    <w:multiLevelType w:val="multilevel"/>
    <w:tmpl w:val="0AE367E9"/>
    <w:lvl w:ilvl="0" w:tentative="0">
      <w:start w:val="1"/>
      <w:numFmt w:val="none"/>
      <w:pStyle w:val="182"/>
      <w:suff w:val="nothing"/>
      <w:lvlText w:val="%1示例："/>
      <w:lvlJc w:val="left"/>
      <w:pPr>
        <w:ind w:left="0" w:firstLine="363"/>
      </w:pPr>
      <w:rPr>
        <w:rFonts w:hint="eastAsia" w:ascii="黑体" w:eastAsia="黑体"/>
        <w:b w:val="0"/>
        <w:i w:val="0"/>
        <w:sz w:val="18"/>
      </w:rPr>
    </w:lvl>
    <w:lvl w:ilvl="1" w:tentative="0">
      <w:start w:val="1"/>
      <w:numFmt w:val="lowerLetter"/>
      <w:lvlText w:val="%2)"/>
      <w:lvlJc w:val="left"/>
      <w:pPr>
        <w:tabs>
          <w:tab w:val="left" w:pos="363"/>
        </w:tabs>
        <w:ind w:left="0" w:firstLine="363"/>
      </w:pPr>
      <w:rPr>
        <w:rFonts w:hint="eastAsia"/>
      </w:rPr>
    </w:lvl>
    <w:lvl w:ilvl="2" w:tentative="0">
      <w:start w:val="1"/>
      <w:numFmt w:val="lowerRoman"/>
      <w:lvlText w:val="%3."/>
      <w:lvlJc w:val="right"/>
      <w:pPr>
        <w:tabs>
          <w:tab w:val="left" w:pos="363"/>
        </w:tabs>
        <w:ind w:left="0" w:firstLine="363"/>
      </w:pPr>
      <w:rPr>
        <w:rFonts w:hint="eastAsia"/>
      </w:rPr>
    </w:lvl>
    <w:lvl w:ilvl="3" w:tentative="0">
      <w:start w:val="1"/>
      <w:numFmt w:val="decimal"/>
      <w:lvlText w:val="%4."/>
      <w:lvlJc w:val="left"/>
      <w:pPr>
        <w:tabs>
          <w:tab w:val="left" w:pos="363"/>
        </w:tabs>
        <w:ind w:left="0" w:firstLine="363"/>
      </w:pPr>
      <w:rPr>
        <w:rFonts w:hint="eastAsia"/>
      </w:rPr>
    </w:lvl>
    <w:lvl w:ilvl="4" w:tentative="0">
      <w:start w:val="1"/>
      <w:numFmt w:val="lowerLetter"/>
      <w:lvlText w:val="%5)"/>
      <w:lvlJc w:val="left"/>
      <w:pPr>
        <w:tabs>
          <w:tab w:val="left" w:pos="363"/>
        </w:tabs>
        <w:ind w:left="0" w:firstLine="363"/>
      </w:pPr>
      <w:rPr>
        <w:rFonts w:hint="eastAsia"/>
      </w:rPr>
    </w:lvl>
    <w:lvl w:ilvl="5" w:tentative="0">
      <w:start w:val="1"/>
      <w:numFmt w:val="lowerRoman"/>
      <w:lvlText w:val="%6."/>
      <w:lvlJc w:val="right"/>
      <w:pPr>
        <w:tabs>
          <w:tab w:val="left" w:pos="363"/>
        </w:tabs>
        <w:ind w:left="0" w:firstLine="363"/>
      </w:pPr>
      <w:rPr>
        <w:rFonts w:hint="eastAsia"/>
      </w:rPr>
    </w:lvl>
    <w:lvl w:ilvl="6" w:tentative="0">
      <w:start w:val="1"/>
      <w:numFmt w:val="decimal"/>
      <w:lvlText w:val="%7."/>
      <w:lvlJc w:val="left"/>
      <w:pPr>
        <w:tabs>
          <w:tab w:val="left" w:pos="363"/>
        </w:tabs>
        <w:ind w:left="0" w:firstLine="363"/>
      </w:pPr>
      <w:rPr>
        <w:rFonts w:hint="eastAsia"/>
      </w:rPr>
    </w:lvl>
    <w:lvl w:ilvl="7" w:tentative="0">
      <w:start w:val="1"/>
      <w:numFmt w:val="lowerLetter"/>
      <w:lvlText w:val="%8)"/>
      <w:lvlJc w:val="left"/>
      <w:pPr>
        <w:tabs>
          <w:tab w:val="left" w:pos="363"/>
        </w:tabs>
        <w:ind w:left="0" w:firstLine="363"/>
      </w:pPr>
      <w:rPr>
        <w:rFonts w:hint="eastAsia"/>
      </w:rPr>
    </w:lvl>
    <w:lvl w:ilvl="8" w:tentative="0">
      <w:start w:val="1"/>
      <w:numFmt w:val="lowerRoman"/>
      <w:lvlText w:val="%9."/>
      <w:lvlJc w:val="right"/>
      <w:pPr>
        <w:tabs>
          <w:tab w:val="left" w:pos="363"/>
        </w:tabs>
        <w:ind w:left="0" w:firstLine="363"/>
      </w:pPr>
      <w:rPr>
        <w:rFonts w:hint="eastAsia"/>
      </w:rPr>
    </w:lvl>
  </w:abstractNum>
  <w:abstractNum w:abstractNumId="5">
    <w:nsid w:val="0BDC1670"/>
    <w:multiLevelType w:val="multilevel"/>
    <w:tmpl w:val="0BDC1670"/>
    <w:lvl w:ilvl="0" w:tentative="0">
      <w:start w:val="1"/>
      <w:numFmt w:val="decimal"/>
      <w:pStyle w:val="68"/>
      <w:lvlText w:val="[%1]"/>
      <w:lvlJc w:val="left"/>
      <w:pPr>
        <w:ind w:left="823"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6">
    <w:nsid w:val="0D051F45"/>
    <w:multiLevelType w:val="multilevel"/>
    <w:tmpl w:val="0D051F45"/>
    <w:lvl w:ilvl="0" w:tentative="0">
      <w:start w:val="1"/>
      <w:numFmt w:val="lowerRoman"/>
      <w:pStyle w:val="170"/>
      <w:lvlText w:val="%1)"/>
      <w:lvlJc w:val="left"/>
      <w:pPr>
        <w:tabs>
          <w:tab w:val="left" w:pos="851"/>
        </w:tabs>
        <w:ind w:left="851" w:hanging="426"/>
      </w:pPr>
      <w:rPr>
        <w:rFonts w:hint="eastAsia" w:ascii="宋体" w:hAnsi="Times New Roman" w:eastAsia="宋体"/>
        <w:sz w:val="21"/>
      </w:rPr>
    </w:lvl>
    <w:lvl w:ilvl="1" w:tentative="0">
      <w:start w:val="1"/>
      <w:numFmt w:val="lowerLetter"/>
      <w:lvlText w:val="%2)"/>
      <w:lvlJc w:val="left"/>
      <w:pPr>
        <w:tabs>
          <w:tab w:val="left" w:pos="1543"/>
        </w:tabs>
        <w:ind w:left="1543" w:hanging="420"/>
      </w:pPr>
      <w:rPr>
        <w:rFonts w:hint="eastAsia"/>
      </w:rPr>
    </w:lvl>
    <w:lvl w:ilvl="2" w:tentative="0">
      <w:start w:val="1"/>
      <w:numFmt w:val="lowerRoman"/>
      <w:lvlText w:val="%3."/>
      <w:lvlJc w:val="right"/>
      <w:pPr>
        <w:tabs>
          <w:tab w:val="left" w:pos="1963"/>
        </w:tabs>
        <w:ind w:left="1963" w:hanging="420"/>
      </w:pPr>
      <w:rPr>
        <w:rFonts w:hint="eastAsia"/>
      </w:rPr>
    </w:lvl>
    <w:lvl w:ilvl="3" w:tentative="0">
      <w:start w:val="1"/>
      <w:numFmt w:val="decimal"/>
      <w:lvlText w:val="%4."/>
      <w:lvlJc w:val="left"/>
      <w:pPr>
        <w:tabs>
          <w:tab w:val="left" w:pos="2383"/>
        </w:tabs>
        <w:ind w:left="2383" w:hanging="420"/>
      </w:pPr>
      <w:rPr>
        <w:rFonts w:hint="eastAsia"/>
      </w:rPr>
    </w:lvl>
    <w:lvl w:ilvl="4" w:tentative="0">
      <w:start w:val="1"/>
      <w:numFmt w:val="lowerLetter"/>
      <w:lvlText w:val="%5)"/>
      <w:lvlJc w:val="left"/>
      <w:pPr>
        <w:tabs>
          <w:tab w:val="left" w:pos="2803"/>
        </w:tabs>
        <w:ind w:left="2803" w:hanging="420"/>
      </w:pPr>
      <w:rPr>
        <w:rFonts w:hint="eastAsia"/>
      </w:rPr>
    </w:lvl>
    <w:lvl w:ilvl="5" w:tentative="0">
      <w:start w:val="1"/>
      <w:numFmt w:val="lowerRoman"/>
      <w:lvlText w:val="%6."/>
      <w:lvlJc w:val="right"/>
      <w:pPr>
        <w:tabs>
          <w:tab w:val="left" w:pos="3223"/>
        </w:tabs>
        <w:ind w:left="3223" w:hanging="420"/>
      </w:pPr>
      <w:rPr>
        <w:rFonts w:hint="eastAsia"/>
      </w:rPr>
    </w:lvl>
    <w:lvl w:ilvl="6" w:tentative="0">
      <w:start w:val="1"/>
      <w:numFmt w:val="decimal"/>
      <w:lvlText w:val="%7."/>
      <w:lvlJc w:val="left"/>
      <w:pPr>
        <w:tabs>
          <w:tab w:val="left" w:pos="3643"/>
        </w:tabs>
        <w:ind w:left="3643" w:hanging="420"/>
      </w:pPr>
      <w:rPr>
        <w:rFonts w:hint="eastAsia"/>
      </w:rPr>
    </w:lvl>
    <w:lvl w:ilvl="7" w:tentative="0">
      <w:start w:val="1"/>
      <w:numFmt w:val="lowerLetter"/>
      <w:lvlText w:val="%8)"/>
      <w:lvlJc w:val="left"/>
      <w:pPr>
        <w:tabs>
          <w:tab w:val="left" w:pos="4063"/>
        </w:tabs>
        <w:ind w:left="4063" w:hanging="420"/>
      </w:pPr>
      <w:rPr>
        <w:rFonts w:hint="eastAsia"/>
      </w:rPr>
    </w:lvl>
    <w:lvl w:ilvl="8" w:tentative="0">
      <w:start w:val="1"/>
      <w:numFmt w:val="lowerRoman"/>
      <w:lvlText w:val="%9."/>
      <w:lvlJc w:val="right"/>
      <w:pPr>
        <w:tabs>
          <w:tab w:val="left" w:pos="4483"/>
        </w:tabs>
        <w:ind w:left="4483" w:hanging="420"/>
      </w:pPr>
      <w:rPr>
        <w:rFonts w:hint="eastAsia"/>
      </w:rPr>
    </w:lvl>
  </w:abstractNum>
  <w:abstractNum w:abstractNumId="7">
    <w:nsid w:val="1AD20F90"/>
    <w:multiLevelType w:val="multilevel"/>
    <w:tmpl w:val="1AD20F90"/>
    <w:lvl w:ilvl="0" w:tentative="0">
      <w:start w:val="1"/>
      <w:numFmt w:val="none"/>
      <w:pStyle w:val="111"/>
      <w:lvlText w:val="%1注："/>
      <w:lvlJc w:val="left"/>
      <w:pPr>
        <w:tabs>
          <w:tab w:val="left" w:pos="845"/>
        </w:tabs>
        <w:ind w:left="-102" w:firstLine="419"/>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8">
    <w:nsid w:val="1AF15012"/>
    <w:multiLevelType w:val="multilevel"/>
    <w:tmpl w:val="1AF15012"/>
    <w:lvl w:ilvl="0" w:tentative="0">
      <w:start w:val="1"/>
      <w:numFmt w:val="upperLetter"/>
      <w:pStyle w:val="86"/>
      <w:suff w:val="nothing"/>
      <w:lvlText w:val="附 录(Annex) %1"/>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94"/>
        </w:tabs>
        <w:ind w:left="4394" w:hanging="1418"/>
      </w:pPr>
    </w:lvl>
    <w:lvl w:ilvl="8" w:tentative="0">
      <w:start w:val="1"/>
      <w:numFmt w:val="decimal"/>
      <w:lvlText w:val="%1.%2.%3.%4.%5.%6.%7.%8.%9"/>
      <w:lvlJc w:val="left"/>
      <w:pPr>
        <w:tabs>
          <w:tab w:val="left" w:pos="5102"/>
        </w:tabs>
        <w:ind w:left="5102" w:hanging="1700"/>
      </w:pPr>
    </w:lvl>
  </w:abstractNum>
  <w:abstractNum w:abstractNumId="9">
    <w:nsid w:val="1EAA1992"/>
    <w:multiLevelType w:val="multilevel"/>
    <w:tmpl w:val="1EAA1992"/>
    <w:lvl w:ilvl="0" w:tentative="0">
      <w:start w:val="1"/>
      <w:numFmt w:val="none"/>
      <w:pStyle w:val="93"/>
      <w:suff w:val="nothing"/>
      <w:lvlText w:val="——"/>
      <w:lvlJc w:val="left"/>
      <w:pPr>
        <w:ind w:left="794" w:hanging="397"/>
      </w:pPr>
    </w:lvl>
    <w:lvl w:ilvl="1" w:tentative="0">
      <w:start w:val="1"/>
      <w:numFmt w:val="decimal"/>
      <w:suff w:val="nothing"/>
      <w:lvlText w:val="%1.%2　"/>
      <w:lvlJc w:val="left"/>
      <w:pPr>
        <w:ind w:left="397" w:firstLine="0"/>
      </w:pPr>
    </w:lvl>
    <w:lvl w:ilvl="2" w:tentative="0">
      <w:start w:val="1"/>
      <w:numFmt w:val="decimal"/>
      <w:suff w:val="nothing"/>
      <w:lvlText w:val="%1.%2.%3　"/>
      <w:lvlJc w:val="left"/>
      <w:pPr>
        <w:ind w:left="397" w:firstLine="0"/>
      </w:pPr>
    </w:lvl>
    <w:lvl w:ilvl="3" w:tentative="0">
      <w:start w:val="1"/>
      <w:numFmt w:val="decimal"/>
      <w:suff w:val="nothing"/>
      <w:lvlText w:val="%1.%2.%3.%4　"/>
      <w:lvlJc w:val="left"/>
      <w:pPr>
        <w:ind w:left="397" w:firstLine="0"/>
      </w:pPr>
    </w:lvl>
    <w:lvl w:ilvl="4" w:tentative="0">
      <w:start w:val="1"/>
      <w:numFmt w:val="decimal"/>
      <w:suff w:val="nothing"/>
      <w:lvlText w:val="%1.%2.%3.%4.%5　"/>
      <w:lvlJc w:val="left"/>
      <w:pPr>
        <w:ind w:left="397" w:firstLine="0"/>
      </w:pPr>
    </w:lvl>
    <w:lvl w:ilvl="5" w:tentative="0">
      <w:start w:val="1"/>
      <w:numFmt w:val="decimal"/>
      <w:suff w:val="nothing"/>
      <w:lvlText w:val="%1.%2.%3.%4.%5.%6　"/>
      <w:lvlJc w:val="left"/>
      <w:pPr>
        <w:ind w:left="397" w:firstLine="0"/>
      </w:pPr>
    </w:lvl>
    <w:lvl w:ilvl="6" w:tentative="0">
      <w:start w:val="1"/>
      <w:numFmt w:val="decimal"/>
      <w:suff w:val="nothing"/>
      <w:lvlText w:val="%1.%2.%3.%4.%5.%6.%7　"/>
      <w:lvlJc w:val="left"/>
      <w:pPr>
        <w:ind w:left="397" w:firstLine="0"/>
      </w:pPr>
    </w:lvl>
    <w:lvl w:ilvl="7" w:tentative="0">
      <w:start w:val="1"/>
      <w:numFmt w:val="decimal"/>
      <w:lvlText w:val="%1.%2.%3.%4.%5.%6.%7.%8"/>
      <w:lvlJc w:val="left"/>
      <w:pPr>
        <w:tabs>
          <w:tab w:val="left" w:pos="4791"/>
        </w:tabs>
        <w:ind w:left="4791" w:hanging="1418"/>
      </w:pPr>
    </w:lvl>
    <w:lvl w:ilvl="8" w:tentative="0">
      <w:start w:val="1"/>
      <w:numFmt w:val="decimal"/>
      <w:lvlText w:val="%1.%2.%3.%4.%5.%6.%7.%8.%9"/>
      <w:lvlJc w:val="left"/>
      <w:pPr>
        <w:tabs>
          <w:tab w:val="left" w:pos="5499"/>
        </w:tabs>
        <w:ind w:left="5499" w:hanging="1700"/>
      </w:pPr>
    </w:lvl>
  </w:abstractNum>
  <w:abstractNum w:abstractNumId="10">
    <w:nsid w:val="2C5917C3"/>
    <w:multiLevelType w:val="multilevel"/>
    <w:tmpl w:val="2C5917C3"/>
    <w:lvl w:ilvl="0" w:tentative="0">
      <w:start w:val="1"/>
      <w:numFmt w:val="none"/>
      <w:pStyle w:val="133"/>
      <w:lvlText w:val="%1——"/>
      <w:lvlJc w:val="left"/>
      <w:pPr>
        <w:tabs>
          <w:tab w:val="left" w:pos="851"/>
        </w:tabs>
        <w:ind w:left="851" w:hanging="426"/>
      </w:pPr>
      <w:rPr>
        <w:rFonts w:hint="eastAsia" w:ascii="宋体" w:hAnsi="Times New Roman" w:eastAsia="宋体"/>
        <w:b w:val="0"/>
        <w:i w:val="0"/>
        <w:sz w:val="21"/>
      </w:rPr>
    </w:lvl>
    <w:lvl w:ilvl="1" w:tentative="0">
      <w:start w:val="1"/>
      <w:numFmt w:val="none"/>
      <w:pStyle w:val="188"/>
      <w:lvlText w:val=""/>
      <w:lvlJc w:val="left"/>
      <w:pPr>
        <w:ind w:left="851" w:hanging="431"/>
      </w:pPr>
      <w:rPr>
        <w:rFonts w:hint="default" w:ascii="Symbol" w:hAnsi="Symbol"/>
        <w:sz w:val="21"/>
      </w:rPr>
    </w:lvl>
    <w:lvl w:ilvl="2" w:tentative="0">
      <w:start w:val="1"/>
      <w:numFmt w:val="bullet"/>
      <w:pStyle w:val="173"/>
      <w:lvlText w:val=""/>
      <w:lvlJc w:val="left"/>
      <w:pPr>
        <w:ind w:left="851" w:hanging="426"/>
      </w:pPr>
      <w:rPr>
        <w:rFonts w:hint="default" w:ascii="Wingdings" w:hAnsi="Wingdings"/>
        <w:sz w:val="21"/>
      </w:rPr>
    </w:lvl>
    <w:lvl w:ilvl="3" w:tentative="0">
      <w:start w:val="1"/>
      <w:numFmt w:val="decimal"/>
      <w:lvlText w:val="%4."/>
      <w:lvlJc w:val="left"/>
      <w:pPr>
        <w:tabs>
          <w:tab w:val="left" w:pos="2071"/>
        </w:tabs>
        <w:ind w:left="1884" w:hanging="528"/>
      </w:pPr>
      <w:rPr>
        <w:rFonts w:hint="eastAsia"/>
      </w:rPr>
    </w:lvl>
    <w:lvl w:ilvl="4" w:tentative="0">
      <w:start w:val="1"/>
      <w:numFmt w:val="lowerLetter"/>
      <w:lvlText w:val="%5)"/>
      <w:lvlJc w:val="left"/>
      <w:pPr>
        <w:tabs>
          <w:tab w:val="left" w:pos="2383"/>
        </w:tabs>
        <w:ind w:left="2196" w:hanging="528"/>
      </w:pPr>
      <w:rPr>
        <w:rFonts w:hint="eastAsia"/>
      </w:rPr>
    </w:lvl>
    <w:lvl w:ilvl="5" w:tentative="0">
      <w:start w:val="1"/>
      <w:numFmt w:val="lowerRoman"/>
      <w:lvlText w:val="%6."/>
      <w:lvlJc w:val="right"/>
      <w:pPr>
        <w:tabs>
          <w:tab w:val="left" w:pos="2695"/>
        </w:tabs>
        <w:ind w:left="2508" w:hanging="528"/>
      </w:pPr>
      <w:rPr>
        <w:rFonts w:hint="eastAsia"/>
      </w:rPr>
    </w:lvl>
    <w:lvl w:ilvl="6" w:tentative="0">
      <w:start w:val="1"/>
      <w:numFmt w:val="decimal"/>
      <w:lvlText w:val="%7."/>
      <w:lvlJc w:val="left"/>
      <w:pPr>
        <w:tabs>
          <w:tab w:val="left" w:pos="3007"/>
        </w:tabs>
        <w:ind w:left="2820" w:hanging="528"/>
      </w:pPr>
      <w:rPr>
        <w:rFonts w:hint="eastAsia"/>
      </w:rPr>
    </w:lvl>
    <w:lvl w:ilvl="7" w:tentative="0">
      <w:start w:val="1"/>
      <w:numFmt w:val="lowerLetter"/>
      <w:lvlText w:val="%8)"/>
      <w:lvlJc w:val="left"/>
      <w:pPr>
        <w:tabs>
          <w:tab w:val="left" w:pos="3319"/>
        </w:tabs>
        <w:ind w:left="3132" w:hanging="528"/>
      </w:pPr>
      <w:rPr>
        <w:rFonts w:hint="eastAsia"/>
      </w:rPr>
    </w:lvl>
    <w:lvl w:ilvl="8" w:tentative="0">
      <w:start w:val="1"/>
      <w:numFmt w:val="lowerRoman"/>
      <w:lvlText w:val="%9."/>
      <w:lvlJc w:val="right"/>
      <w:pPr>
        <w:tabs>
          <w:tab w:val="left" w:pos="3631"/>
        </w:tabs>
        <w:ind w:left="3444" w:hanging="528"/>
      </w:pPr>
      <w:rPr>
        <w:rFonts w:hint="eastAsia"/>
      </w:rPr>
    </w:lvl>
  </w:abstractNum>
  <w:abstractNum w:abstractNumId="11">
    <w:nsid w:val="32F04FB2"/>
    <w:multiLevelType w:val="multilevel"/>
    <w:tmpl w:val="32F04FB2"/>
    <w:lvl w:ilvl="0" w:tentative="0">
      <w:start w:val="1"/>
      <w:numFmt w:val="lowerLetter"/>
      <w:pStyle w:val="102"/>
      <w:lvlText w:val="%1"/>
      <w:lvlJc w:val="left"/>
      <w:pPr>
        <w:tabs>
          <w:tab w:val="left" w:pos="539"/>
        </w:tabs>
        <w:ind w:left="539" w:hanging="119"/>
      </w:pPr>
      <w:rPr>
        <w:rFonts w:hint="eastAsia"/>
        <w:caps w:val="0"/>
        <w:strike w:val="0"/>
        <w:dstrike w:val="0"/>
        <w:vanish w:val="0"/>
        <w:vertAlign w:val="superscript"/>
      </w:rPr>
    </w:lvl>
    <w:lvl w:ilvl="1" w:tentative="0">
      <w:start w:val="1"/>
      <w:numFmt w:val="lowerLetter"/>
      <w:lvlText w:val="%2)"/>
      <w:lvlJc w:val="left"/>
      <w:pPr>
        <w:ind w:left="1040" w:hanging="420"/>
      </w:pPr>
      <w:rPr>
        <w:rFonts w:hint="eastAsia"/>
      </w:rPr>
    </w:lvl>
    <w:lvl w:ilvl="2" w:tentative="0">
      <w:start w:val="1"/>
      <w:numFmt w:val="lowerRoman"/>
      <w:lvlText w:val="%3."/>
      <w:lvlJc w:val="right"/>
      <w:pPr>
        <w:ind w:left="1460" w:hanging="420"/>
      </w:pPr>
      <w:rPr>
        <w:rFonts w:hint="eastAsia"/>
      </w:rPr>
    </w:lvl>
    <w:lvl w:ilvl="3" w:tentative="0">
      <w:start w:val="1"/>
      <w:numFmt w:val="decimal"/>
      <w:lvlText w:val="%4."/>
      <w:lvlJc w:val="left"/>
      <w:pPr>
        <w:ind w:left="1880" w:hanging="420"/>
      </w:pPr>
      <w:rPr>
        <w:rFonts w:hint="eastAsia"/>
      </w:rPr>
    </w:lvl>
    <w:lvl w:ilvl="4" w:tentative="0">
      <w:start w:val="1"/>
      <w:numFmt w:val="lowerLetter"/>
      <w:lvlText w:val="%5)"/>
      <w:lvlJc w:val="left"/>
      <w:pPr>
        <w:ind w:left="2300" w:hanging="420"/>
      </w:pPr>
      <w:rPr>
        <w:rFonts w:hint="eastAsia"/>
      </w:rPr>
    </w:lvl>
    <w:lvl w:ilvl="5" w:tentative="0">
      <w:start w:val="1"/>
      <w:numFmt w:val="lowerRoman"/>
      <w:lvlText w:val="%6."/>
      <w:lvlJc w:val="right"/>
      <w:pPr>
        <w:ind w:left="2720" w:hanging="420"/>
      </w:pPr>
      <w:rPr>
        <w:rFonts w:hint="eastAsia"/>
      </w:rPr>
    </w:lvl>
    <w:lvl w:ilvl="6" w:tentative="0">
      <w:start w:val="1"/>
      <w:numFmt w:val="decimal"/>
      <w:lvlText w:val="%7."/>
      <w:lvlJc w:val="left"/>
      <w:pPr>
        <w:ind w:left="3140" w:hanging="420"/>
      </w:pPr>
      <w:rPr>
        <w:rFonts w:hint="eastAsia"/>
      </w:rPr>
    </w:lvl>
    <w:lvl w:ilvl="7" w:tentative="0">
      <w:start w:val="1"/>
      <w:numFmt w:val="lowerLetter"/>
      <w:lvlText w:val="%8)"/>
      <w:lvlJc w:val="left"/>
      <w:pPr>
        <w:ind w:left="3560" w:hanging="420"/>
      </w:pPr>
      <w:rPr>
        <w:rFonts w:hint="eastAsia"/>
      </w:rPr>
    </w:lvl>
    <w:lvl w:ilvl="8" w:tentative="0">
      <w:start w:val="1"/>
      <w:numFmt w:val="lowerRoman"/>
      <w:lvlText w:val="%9."/>
      <w:lvlJc w:val="right"/>
      <w:pPr>
        <w:ind w:left="3980" w:hanging="420"/>
      </w:pPr>
      <w:rPr>
        <w:rFonts w:hint="eastAsia"/>
      </w:rPr>
    </w:lvl>
  </w:abstractNum>
  <w:abstractNum w:abstractNumId="12">
    <w:nsid w:val="44C50F90"/>
    <w:multiLevelType w:val="multilevel"/>
    <w:tmpl w:val="44C50F90"/>
    <w:lvl w:ilvl="0" w:tentative="0">
      <w:start w:val="1"/>
      <w:numFmt w:val="lowerLetter"/>
      <w:pStyle w:val="175"/>
      <w:lvlText w:val="%1)"/>
      <w:lvlJc w:val="left"/>
      <w:pPr>
        <w:tabs>
          <w:tab w:val="left" w:pos="851"/>
        </w:tabs>
        <w:ind w:left="851" w:hanging="426"/>
      </w:pPr>
      <w:rPr>
        <w:rFonts w:hint="eastAsia" w:ascii="宋体" w:hAnsi="Times New Roman" w:eastAsia="宋体"/>
        <w:sz w:val="21"/>
      </w:rPr>
    </w:lvl>
    <w:lvl w:ilvl="1" w:tentative="0">
      <w:start w:val="1"/>
      <w:numFmt w:val="decimal"/>
      <w:pStyle w:val="110"/>
      <w:lvlText w:val="%2)"/>
      <w:lvlJc w:val="left"/>
      <w:pPr>
        <w:tabs>
          <w:tab w:val="left" w:pos="1276"/>
        </w:tabs>
        <w:ind w:left="1276" w:hanging="425"/>
      </w:pPr>
      <w:rPr>
        <w:rFonts w:hint="eastAsia" w:ascii="宋体" w:hAnsi="Times New Roman" w:eastAsia="宋体"/>
        <w:sz w:val="21"/>
      </w:rPr>
    </w:lvl>
    <w:lvl w:ilvl="2" w:tentative="0">
      <w:start w:val="1"/>
      <w:numFmt w:val="decimal"/>
      <w:pStyle w:val="118"/>
      <w:lvlText w:val="(%3)"/>
      <w:lvlJc w:val="left"/>
      <w:pPr>
        <w:ind w:left="1701" w:hanging="425"/>
      </w:pPr>
      <w:rPr>
        <w:rFonts w:hint="eastAsia" w:ascii="宋体" w:hAnsi="Times New Roman" w:eastAsia="宋体"/>
        <w:sz w:val="21"/>
      </w:rPr>
    </w:lvl>
    <w:lvl w:ilvl="3" w:tentative="0">
      <w:start w:val="1"/>
      <w:numFmt w:val="decimal"/>
      <w:lvlText w:val="%4."/>
      <w:lvlJc w:val="left"/>
      <w:pPr>
        <w:tabs>
          <w:tab w:val="left" w:pos="2100"/>
        </w:tabs>
        <w:ind w:left="2099" w:hanging="419"/>
      </w:pPr>
      <w:rPr>
        <w:rFonts w:hint="eastAsia"/>
      </w:rPr>
    </w:lvl>
    <w:lvl w:ilvl="4" w:tentative="0">
      <w:start w:val="1"/>
      <w:numFmt w:val="lowerLetter"/>
      <w:lvlText w:val="%5)"/>
      <w:lvlJc w:val="left"/>
      <w:pPr>
        <w:tabs>
          <w:tab w:val="left" w:pos="2520"/>
        </w:tabs>
        <w:ind w:left="2519" w:hanging="419"/>
      </w:pPr>
      <w:rPr>
        <w:rFonts w:hint="eastAsia"/>
      </w:rPr>
    </w:lvl>
    <w:lvl w:ilvl="5" w:tentative="0">
      <w:start w:val="1"/>
      <w:numFmt w:val="lowerRoman"/>
      <w:lvlText w:val="%6."/>
      <w:lvlJc w:val="right"/>
      <w:pPr>
        <w:tabs>
          <w:tab w:val="left" w:pos="2940"/>
        </w:tabs>
        <w:ind w:left="2939" w:hanging="419"/>
      </w:pPr>
      <w:rPr>
        <w:rFonts w:hint="eastAsia"/>
      </w:rPr>
    </w:lvl>
    <w:lvl w:ilvl="6" w:tentative="0">
      <w:start w:val="1"/>
      <w:numFmt w:val="decimal"/>
      <w:lvlText w:val="%7."/>
      <w:lvlJc w:val="left"/>
      <w:pPr>
        <w:tabs>
          <w:tab w:val="left" w:pos="3360"/>
        </w:tabs>
        <w:ind w:left="3359" w:hanging="419"/>
      </w:pPr>
      <w:rPr>
        <w:rFonts w:hint="eastAsia"/>
      </w:rPr>
    </w:lvl>
    <w:lvl w:ilvl="7" w:tentative="0">
      <w:start w:val="1"/>
      <w:numFmt w:val="lowerLetter"/>
      <w:lvlText w:val="%8)"/>
      <w:lvlJc w:val="left"/>
      <w:pPr>
        <w:tabs>
          <w:tab w:val="left" w:pos="3780"/>
        </w:tabs>
        <w:ind w:left="3779" w:hanging="419"/>
      </w:pPr>
      <w:rPr>
        <w:rFonts w:hint="eastAsia"/>
      </w:rPr>
    </w:lvl>
    <w:lvl w:ilvl="8" w:tentative="0">
      <w:start w:val="1"/>
      <w:numFmt w:val="lowerRoman"/>
      <w:lvlText w:val="%9."/>
      <w:lvlJc w:val="right"/>
      <w:pPr>
        <w:tabs>
          <w:tab w:val="left" w:pos="4200"/>
        </w:tabs>
        <w:ind w:left="4199" w:hanging="419"/>
      </w:pPr>
      <w:rPr>
        <w:rFonts w:hint="eastAsia"/>
      </w:rPr>
    </w:lvl>
  </w:abstractNum>
  <w:abstractNum w:abstractNumId="13">
    <w:nsid w:val="48802D1C"/>
    <w:multiLevelType w:val="multilevel"/>
    <w:tmpl w:val="48802D1C"/>
    <w:lvl w:ilvl="0" w:tentative="0">
      <w:start w:val="1"/>
      <w:numFmt w:val="upperLetter"/>
      <w:pStyle w:val="199"/>
      <w:lvlText w:val="%1"/>
      <w:lvlJc w:val="left"/>
      <w:pPr>
        <w:ind w:left="420" w:hanging="420"/>
      </w:pPr>
      <w:rPr>
        <w:rFonts w:hint="eastAsia"/>
      </w:rPr>
    </w:lvl>
    <w:lvl w:ilvl="1" w:tentative="0">
      <w:start w:val="1"/>
      <w:numFmt w:val="decimal"/>
      <w:pStyle w:val="84"/>
      <w:suff w:val="space"/>
      <w:lvlText w:val="图%1.%2"/>
      <w:lvlJc w:val="center"/>
      <w:pPr>
        <w:ind w:left="0" w:firstLine="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4">
    <w:nsid w:val="4B733A5F"/>
    <w:multiLevelType w:val="multilevel"/>
    <w:tmpl w:val="4B733A5F"/>
    <w:lvl w:ilvl="0" w:tentative="0">
      <w:start w:val="1"/>
      <w:numFmt w:val="decimal"/>
      <w:pStyle w:val="184"/>
      <w:suff w:val="nothing"/>
      <w:lvlText w:val="示例%1："/>
      <w:lvlJc w:val="left"/>
      <w:pPr>
        <w:ind w:left="0" w:firstLine="363"/>
      </w:pPr>
      <w:rPr>
        <w:rFonts w:hint="eastAsia" w:ascii="黑体" w:eastAsia="黑体"/>
        <w:b w:val="0"/>
        <w:i w:val="0"/>
        <w:sz w:val="18"/>
      </w:rPr>
    </w:lvl>
    <w:lvl w:ilvl="1" w:tentative="0">
      <w:start w:val="1"/>
      <w:numFmt w:val="none"/>
      <w:suff w:val="space"/>
      <w:lvlText w:val=""/>
      <w:lvlJc w:val="left"/>
      <w:pPr>
        <w:ind w:left="0" w:firstLine="0"/>
      </w:pPr>
      <w:rPr>
        <w:rFonts w:hint="eastAsia"/>
      </w:rPr>
    </w:lvl>
    <w:lvl w:ilvl="2" w:tentative="0">
      <w:start w:val="1"/>
      <w:numFmt w:val="decimal"/>
      <w:suff w:val="space"/>
      <w:lvlText w:val="2.2.%3"/>
      <w:lvlJc w:val="left"/>
      <w:pPr>
        <w:ind w:left="0" w:firstLine="0"/>
      </w:pPr>
      <w:rPr>
        <w:rFonts w:hint="eastAsia"/>
      </w:rPr>
    </w:lvl>
    <w:lvl w:ilvl="3" w:tentative="0">
      <w:start w:val="1"/>
      <w:numFmt w:val="decimal"/>
      <w:lvlText w:val="%4."/>
      <w:lvlJc w:val="left"/>
      <w:pPr>
        <w:tabs>
          <w:tab w:val="left" w:pos="0"/>
        </w:tabs>
        <w:ind w:left="992" w:hanging="629"/>
      </w:pPr>
      <w:rPr>
        <w:rFonts w:hint="eastAsia"/>
      </w:rPr>
    </w:lvl>
    <w:lvl w:ilvl="4" w:tentative="0">
      <w:start w:val="1"/>
      <w:numFmt w:val="lowerLetter"/>
      <w:lvlText w:val="%5)"/>
      <w:lvlJc w:val="left"/>
      <w:pPr>
        <w:tabs>
          <w:tab w:val="left" w:pos="0"/>
        </w:tabs>
        <w:ind w:left="992" w:hanging="629"/>
      </w:pPr>
      <w:rPr>
        <w:rFonts w:hint="eastAsia"/>
      </w:rPr>
    </w:lvl>
    <w:lvl w:ilvl="5" w:tentative="0">
      <w:start w:val="1"/>
      <w:numFmt w:val="lowerRoman"/>
      <w:lvlText w:val="%6."/>
      <w:lvlJc w:val="right"/>
      <w:pPr>
        <w:tabs>
          <w:tab w:val="left" w:pos="0"/>
        </w:tabs>
        <w:ind w:left="992" w:hanging="629"/>
      </w:pPr>
      <w:rPr>
        <w:rFonts w:hint="eastAsia"/>
      </w:rPr>
    </w:lvl>
    <w:lvl w:ilvl="6" w:tentative="0">
      <w:start w:val="1"/>
      <w:numFmt w:val="decimal"/>
      <w:lvlText w:val="%7."/>
      <w:lvlJc w:val="left"/>
      <w:pPr>
        <w:tabs>
          <w:tab w:val="left" w:pos="0"/>
        </w:tabs>
        <w:ind w:left="992" w:hanging="629"/>
      </w:pPr>
      <w:rPr>
        <w:rFonts w:hint="eastAsia"/>
      </w:rPr>
    </w:lvl>
    <w:lvl w:ilvl="7" w:tentative="0">
      <w:start w:val="1"/>
      <w:numFmt w:val="lowerLetter"/>
      <w:lvlText w:val="%8)"/>
      <w:lvlJc w:val="left"/>
      <w:pPr>
        <w:tabs>
          <w:tab w:val="left" w:pos="0"/>
        </w:tabs>
        <w:ind w:left="992" w:hanging="629"/>
      </w:pPr>
      <w:rPr>
        <w:rFonts w:hint="eastAsia"/>
      </w:rPr>
    </w:lvl>
    <w:lvl w:ilvl="8" w:tentative="0">
      <w:start w:val="1"/>
      <w:numFmt w:val="lowerRoman"/>
      <w:lvlText w:val="%9."/>
      <w:lvlJc w:val="right"/>
      <w:pPr>
        <w:tabs>
          <w:tab w:val="left" w:pos="0"/>
        </w:tabs>
        <w:ind w:left="992" w:hanging="629"/>
      </w:pPr>
      <w:rPr>
        <w:rFonts w:hint="eastAsia"/>
      </w:rPr>
    </w:lvl>
  </w:abstractNum>
  <w:abstractNum w:abstractNumId="15">
    <w:nsid w:val="4E5D0534"/>
    <w:multiLevelType w:val="multilevel"/>
    <w:tmpl w:val="4E5D0534"/>
    <w:lvl w:ilvl="0" w:tentative="0">
      <w:start w:val="1"/>
      <w:numFmt w:val="decimal"/>
      <w:pStyle w:val="117"/>
      <w:suff w:val="nothing"/>
      <w:lvlText w:val="Figure %1　"/>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48"/>
        </w:tabs>
        <w:ind w:left="3969" w:hanging="1418"/>
      </w:pPr>
    </w:lvl>
    <w:lvl w:ilvl="8" w:tentative="0">
      <w:start w:val="1"/>
      <w:numFmt w:val="decimal"/>
      <w:lvlText w:val="%1.%2.%3.%4.%5.%6.%7.%8.%9"/>
      <w:lvlJc w:val="left"/>
      <w:pPr>
        <w:tabs>
          <w:tab w:val="left" w:pos="4774"/>
        </w:tabs>
        <w:ind w:left="4677" w:hanging="1701"/>
      </w:pPr>
    </w:lvl>
  </w:abstractNum>
  <w:abstractNum w:abstractNumId="16">
    <w:nsid w:val="54632751"/>
    <w:multiLevelType w:val="multilevel"/>
    <w:tmpl w:val="54632751"/>
    <w:lvl w:ilvl="0" w:tentative="0">
      <w:start w:val="1"/>
      <w:numFmt w:val="none"/>
      <w:pStyle w:val="94"/>
      <w:suff w:val="nothing"/>
      <w:lvlText w:val="——"/>
      <w:lvlJc w:val="left"/>
      <w:pPr>
        <w:ind w:left="1588" w:firstLine="0"/>
      </w:pPr>
    </w:lvl>
    <w:lvl w:ilvl="1" w:tentative="0">
      <w:start w:val="1"/>
      <w:numFmt w:val="decimal"/>
      <w:suff w:val="nothing"/>
      <w:lvlText w:val="%1.%2　"/>
      <w:lvlJc w:val="left"/>
      <w:pPr>
        <w:ind w:left="1588" w:firstLine="0"/>
      </w:pPr>
    </w:lvl>
    <w:lvl w:ilvl="2" w:tentative="0">
      <w:start w:val="1"/>
      <w:numFmt w:val="decimal"/>
      <w:suff w:val="nothing"/>
      <w:lvlText w:val="%1.%2.%3　"/>
      <w:lvlJc w:val="left"/>
      <w:pPr>
        <w:ind w:left="1588" w:firstLine="0"/>
      </w:pPr>
    </w:lvl>
    <w:lvl w:ilvl="3" w:tentative="0">
      <w:start w:val="1"/>
      <w:numFmt w:val="decimal"/>
      <w:suff w:val="nothing"/>
      <w:lvlText w:val="%1.%2.%3.%4　"/>
      <w:lvlJc w:val="left"/>
      <w:pPr>
        <w:ind w:left="1588" w:firstLine="0"/>
      </w:pPr>
    </w:lvl>
    <w:lvl w:ilvl="4" w:tentative="0">
      <w:start w:val="1"/>
      <w:numFmt w:val="decimal"/>
      <w:suff w:val="nothing"/>
      <w:lvlText w:val="%1.%2.%3.%4.%5　"/>
      <w:lvlJc w:val="left"/>
      <w:pPr>
        <w:ind w:left="1588" w:firstLine="0"/>
      </w:pPr>
    </w:lvl>
    <w:lvl w:ilvl="5" w:tentative="0">
      <w:start w:val="1"/>
      <w:numFmt w:val="decimal"/>
      <w:suff w:val="nothing"/>
      <w:lvlText w:val="%1.%2.%3.%4.%5.%6　"/>
      <w:lvlJc w:val="left"/>
      <w:pPr>
        <w:ind w:left="1588" w:firstLine="0"/>
      </w:pPr>
    </w:lvl>
    <w:lvl w:ilvl="6" w:tentative="0">
      <w:start w:val="1"/>
      <w:numFmt w:val="decimal"/>
      <w:suff w:val="nothing"/>
      <w:lvlText w:val="%1.%2.%3.%4.%5.%6.%7　"/>
      <w:lvlJc w:val="left"/>
      <w:pPr>
        <w:ind w:left="1588" w:firstLine="0"/>
      </w:pPr>
    </w:lvl>
    <w:lvl w:ilvl="7" w:tentative="0">
      <w:start w:val="1"/>
      <w:numFmt w:val="decimal"/>
      <w:lvlText w:val="%1.%2.%3.%4.%5.%6.%7.%8"/>
      <w:lvlJc w:val="left"/>
      <w:pPr>
        <w:tabs>
          <w:tab w:val="left" w:pos="5982"/>
        </w:tabs>
        <w:ind w:left="5982" w:hanging="1418"/>
      </w:pPr>
    </w:lvl>
    <w:lvl w:ilvl="8" w:tentative="0">
      <w:start w:val="1"/>
      <w:numFmt w:val="decimal"/>
      <w:lvlText w:val="%1.%2.%3.%4.%5.%6.%7.%8.%9"/>
      <w:lvlJc w:val="left"/>
      <w:pPr>
        <w:tabs>
          <w:tab w:val="left" w:pos="6690"/>
        </w:tabs>
        <w:ind w:left="6690" w:hanging="1700"/>
      </w:pPr>
    </w:lvl>
  </w:abstractNum>
  <w:abstractNum w:abstractNumId="17">
    <w:nsid w:val="557C2AF5"/>
    <w:multiLevelType w:val="multilevel"/>
    <w:tmpl w:val="557C2AF5"/>
    <w:lvl w:ilvl="0" w:tentative="0">
      <w:start w:val="1"/>
      <w:numFmt w:val="decimal"/>
      <w:pStyle w:val="115"/>
      <w:suff w:val="nothing"/>
      <w:lvlText w:val="图%1　"/>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48"/>
        </w:tabs>
        <w:ind w:left="3969" w:hanging="1418"/>
      </w:pPr>
    </w:lvl>
    <w:lvl w:ilvl="8" w:tentative="0">
      <w:start w:val="1"/>
      <w:numFmt w:val="decimal"/>
      <w:lvlText w:val="%1.%2.%3.%4.%5.%6.%7.%8.%9"/>
      <w:lvlJc w:val="left"/>
      <w:pPr>
        <w:tabs>
          <w:tab w:val="left" w:pos="4774"/>
        </w:tabs>
        <w:ind w:left="4677" w:hanging="1701"/>
      </w:pPr>
    </w:lvl>
  </w:abstractNum>
  <w:abstractNum w:abstractNumId="18">
    <w:nsid w:val="5603797C"/>
    <w:multiLevelType w:val="multilevel"/>
    <w:tmpl w:val="5603797C"/>
    <w:lvl w:ilvl="0" w:tentative="0">
      <w:start w:val="1"/>
      <w:numFmt w:val="upperLetter"/>
      <w:pStyle w:val="200"/>
      <w:suff w:val="space"/>
      <w:lvlText w:val="%1"/>
      <w:lvlJc w:val="left"/>
      <w:pPr>
        <w:ind w:left="425" w:hanging="425"/>
      </w:pPr>
      <w:rPr>
        <w:rFonts w:hint="eastAsia"/>
      </w:rPr>
    </w:lvl>
    <w:lvl w:ilvl="1" w:tentative="0">
      <w:start w:val="1"/>
      <w:numFmt w:val="decimal"/>
      <w:pStyle w:val="78"/>
      <w:suff w:val="space"/>
      <w:lvlText w:val="表%1.%2"/>
      <w:lvlJc w:val="center"/>
      <w:pPr>
        <w:ind w:left="0" w:firstLine="0"/>
      </w:pPr>
      <w:rPr>
        <w:rFonts w:hint="eastAsia" w:ascii="黑体" w:eastAsia="黑体"/>
        <w:sz w:val="21"/>
      </w:rPr>
    </w:lvl>
    <w:lvl w:ilvl="2" w:tentative="0">
      <w:start w:val="1"/>
      <w:numFmt w:val="decimal"/>
      <w:lvlText w:val="%1.%2.%3"/>
      <w:lvlJc w:val="left"/>
      <w:pPr>
        <w:ind w:left="1418" w:hanging="567"/>
      </w:pPr>
      <w:rPr>
        <w:rFonts w:hint="eastAsia"/>
      </w:rPr>
    </w:lvl>
    <w:lvl w:ilvl="3" w:tentative="0">
      <w:start w:val="1"/>
      <w:numFmt w:val="decimal"/>
      <w:lvlText w:val="%1.%2.%3.%4"/>
      <w:lvlJc w:val="left"/>
      <w:pPr>
        <w:ind w:left="1984" w:hanging="708"/>
      </w:pPr>
      <w:rPr>
        <w:rFonts w:hint="eastAsia"/>
      </w:rPr>
    </w:lvl>
    <w:lvl w:ilvl="4" w:tentative="0">
      <w:start w:val="1"/>
      <w:numFmt w:val="decimal"/>
      <w:lvlText w:val="%1.%2.%3.%4.%5"/>
      <w:lvlJc w:val="left"/>
      <w:pPr>
        <w:ind w:left="2551" w:hanging="850"/>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19">
    <w:nsid w:val="564D2089"/>
    <w:multiLevelType w:val="multilevel"/>
    <w:tmpl w:val="564D2089"/>
    <w:lvl w:ilvl="0" w:tentative="0">
      <w:start w:val="1"/>
      <w:numFmt w:val="none"/>
      <w:pStyle w:val="112"/>
      <w:lvlText w:val="%1注"/>
      <w:lvlJc w:val="left"/>
      <w:pPr>
        <w:tabs>
          <w:tab w:val="left" w:pos="760"/>
        </w:tabs>
        <w:ind w:left="760" w:hanging="284"/>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0">
    <w:nsid w:val="644622F9"/>
    <w:multiLevelType w:val="multilevel"/>
    <w:tmpl w:val="644622F9"/>
    <w:lvl w:ilvl="0" w:tentative="0">
      <w:start w:val="1"/>
      <w:numFmt w:val="upperRoman"/>
      <w:pStyle w:val="169"/>
      <w:lvlText w:val="%1)"/>
      <w:lvlJc w:val="left"/>
      <w:pPr>
        <w:tabs>
          <w:tab w:val="left" w:pos="851"/>
        </w:tabs>
        <w:ind w:left="851" w:hanging="426"/>
      </w:pPr>
      <w:rPr>
        <w:rFonts w:hint="eastAsia" w:ascii="宋体" w:hAnsi="Times New Roman" w:eastAsia="宋体"/>
        <w:sz w:val="21"/>
      </w:rPr>
    </w:lvl>
    <w:lvl w:ilvl="1" w:tentative="0">
      <w:start w:val="1"/>
      <w:numFmt w:val="lowerLetter"/>
      <w:lvlText w:val="%2)"/>
      <w:lvlJc w:val="left"/>
      <w:pPr>
        <w:tabs>
          <w:tab w:val="left" w:pos="1310"/>
        </w:tabs>
        <w:ind w:left="1310" w:hanging="420"/>
      </w:pPr>
      <w:rPr>
        <w:rFonts w:hint="eastAsia"/>
      </w:rPr>
    </w:lvl>
    <w:lvl w:ilvl="2" w:tentative="0">
      <w:start w:val="1"/>
      <w:numFmt w:val="lowerRoman"/>
      <w:lvlText w:val="%3."/>
      <w:lvlJc w:val="right"/>
      <w:pPr>
        <w:tabs>
          <w:tab w:val="left" w:pos="1730"/>
        </w:tabs>
        <w:ind w:left="1730" w:hanging="420"/>
      </w:pPr>
      <w:rPr>
        <w:rFonts w:hint="eastAsia"/>
      </w:rPr>
    </w:lvl>
    <w:lvl w:ilvl="3" w:tentative="0">
      <w:start w:val="1"/>
      <w:numFmt w:val="decimal"/>
      <w:lvlText w:val="%4."/>
      <w:lvlJc w:val="left"/>
      <w:pPr>
        <w:tabs>
          <w:tab w:val="left" w:pos="2150"/>
        </w:tabs>
        <w:ind w:left="2150" w:hanging="420"/>
      </w:pPr>
      <w:rPr>
        <w:rFonts w:hint="eastAsia"/>
      </w:rPr>
    </w:lvl>
    <w:lvl w:ilvl="4" w:tentative="0">
      <w:start w:val="1"/>
      <w:numFmt w:val="lowerLetter"/>
      <w:lvlText w:val="%5)"/>
      <w:lvlJc w:val="left"/>
      <w:pPr>
        <w:tabs>
          <w:tab w:val="left" w:pos="2570"/>
        </w:tabs>
        <w:ind w:left="2570" w:hanging="420"/>
      </w:pPr>
      <w:rPr>
        <w:rFonts w:hint="eastAsia"/>
      </w:rPr>
    </w:lvl>
    <w:lvl w:ilvl="5" w:tentative="0">
      <w:start w:val="1"/>
      <w:numFmt w:val="lowerRoman"/>
      <w:lvlText w:val="%6."/>
      <w:lvlJc w:val="right"/>
      <w:pPr>
        <w:tabs>
          <w:tab w:val="left" w:pos="2990"/>
        </w:tabs>
        <w:ind w:left="2990" w:hanging="420"/>
      </w:pPr>
      <w:rPr>
        <w:rFonts w:hint="eastAsia"/>
      </w:rPr>
    </w:lvl>
    <w:lvl w:ilvl="6" w:tentative="0">
      <w:start w:val="1"/>
      <w:numFmt w:val="decimal"/>
      <w:lvlText w:val="%7."/>
      <w:lvlJc w:val="left"/>
      <w:pPr>
        <w:tabs>
          <w:tab w:val="left" w:pos="3410"/>
        </w:tabs>
        <w:ind w:left="3410" w:hanging="420"/>
      </w:pPr>
      <w:rPr>
        <w:rFonts w:hint="eastAsia"/>
      </w:rPr>
    </w:lvl>
    <w:lvl w:ilvl="7" w:tentative="0">
      <w:start w:val="1"/>
      <w:numFmt w:val="lowerLetter"/>
      <w:lvlText w:val="%8)"/>
      <w:lvlJc w:val="left"/>
      <w:pPr>
        <w:tabs>
          <w:tab w:val="left" w:pos="3830"/>
        </w:tabs>
        <w:ind w:left="3830" w:hanging="420"/>
      </w:pPr>
      <w:rPr>
        <w:rFonts w:hint="eastAsia"/>
      </w:rPr>
    </w:lvl>
    <w:lvl w:ilvl="8" w:tentative="0">
      <w:start w:val="1"/>
      <w:numFmt w:val="lowerRoman"/>
      <w:lvlText w:val="%9."/>
      <w:lvlJc w:val="right"/>
      <w:pPr>
        <w:tabs>
          <w:tab w:val="left" w:pos="4250"/>
        </w:tabs>
        <w:ind w:left="4250" w:hanging="420"/>
      </w:pPr>
      <w:rPr>
        <w:rFonts w:hint="eastAsia"/>
      </w:rPr>
    </w:lvl>
  </w:abstractNum>
  <w:abstractNum w:abstractNumId="21">
    <w:nsid w:val="646260FA"/>
    <w:multiLevelType w:val="multilevel"/>
    <w:tmpl w:val="646260FA"/>
    <w:lvl w:ilvl="0" w:tentative="0">
      <w:start w:val="1"/>
      <w:numFmt w:val="decimal"/>
      <w:pStyle w:val="113"/>
      <w:suff w:val="nothing"/>
      <w:lvlText w:val="表%1　"/>
      <w:lvlJc w:val="left"/>
      <w:pPr>
        <w:ind w:left="0" w:firstLine="0"/>
      </w:pPr>
    </w:lvl>
    <w:lvl w:ilvl="1" w:tentative="0">
      <w:start w:val="1"/>
      <w:numFmt w:val="decimal"/>
      <w:lvlText w:val="%1.%2"/>
      <w:lvlJc w:val="left"/>
      <w:pPr>
        <w:tabs>
          <w:tab w:val="left" w:pos="992"/>
        </w:tabs>
        <w:ind w:left="992" w:hanging="567"/>
      </w:pPr>
    </w:lvl>
    <w:lvl w:ilvl="2" w:tentative="0">
      <w:start w:val="1"/>
      <w:numFmt w:val="decimal"/>
      <w:lvlText w:val="%1.%2.%3"/>
      <w:lvlJc w:val="left"/>
      <w:pPr>
        <w:tabs>
          <w:tab w:val="left" w:pos="1417"/>
        </w:tabs>
        <w:ind w:left="1417" w:hanging="567"/>
      </w:pPr>
    </w:lvl>
    <w:lvl w:ilvl="3" w:tentative="0">
      <w:start w:val="1"/>
      <w:numFmt w:val="decimal"/>
      <w:lvlText w:val="%1.%2.%3.%4"/>
      <w:lvlJc w:val="left"/>
      <w:pPr>
        <w:tabs>
          <w:tab w:val="left" w:pos="1984"/>
        </w:tabs>
        <w:ind w:left="1984" w:hanging="708"/>
      </w:pPr>
    </w:lvl>
    <w:lvl w:ilvl="4" w:tentative="0">
      <w:start w:val="1"/>
      <w:numFmt w:val="decimal"/>
      <w:lvlText w:val="%1.%2.%3.%4.%5"/>
      <w:lvlJc w:val="left"/>
      <w:pPr>
        <w:tabs>
          <w:tab w:val="left" w:pos="2551"/>
        </w:tabs>
        <w:ind w:left="2551" w:hanging="850"/>
      </w:pPr>
    </w:lvl>
    <w:lvl w:ilvl="5" w:tentative="0">
      <w:start w:val="1"/>
      <w:numFmt w:val="decimal"/>
      <w:lvlText w:val="%1.%2.%3.%4.%5.%6"/>
      <w:lvlJc w:val="left"/>
      <w:pPr>
        <w:tabs>
          <w:tab w:val="left" w:pos="3260"/>
        </w:tabs>
        <w:ind w:left="3260" w:hanging="1134"/>
      </w:pPr>
    </w:lvl>
    <w:lvl w:ilvl="6" w:tentative="0">
      <w:start w:val="1"/>
      <w:numFmt w:val="decimal"/>
      <w:lvlText w:val="%1.%2.%3.%4.%5.%6.%7"/>
      <w:lvlJc w:val="left"/>
      <w:pPr>
        <w:tabs>
          <w:tab w:val="left" w:pos="3827"/>
        </w:tabs>
        <w:ind w:left="3827" w:hanging="1276"/>
      </w:pPr>
    </w:lvl>
    <w:lvl w:ilvl="7" w:tentative="0">
      <w:start w:val="1"/>
      <w:numFmt w:val="decimal"/>
      <w:lvlText w:val="%1.%2.%3.%4.%5.%6.%7.%8"/>
      <w:lvlJc w:val="left"/>
      <w:pPr>
        <w:tabs>
          <w:tab w:val="left" w:pos="4394"/>
        </w:tabs>
        <w:ind w:left="4394" w:hanging="1418"/>
      </w:pPr>
    </w:lvl>
    <w:lvl w:ilvl="8" w:tentative="0">
      <w:start w:val="1"/>
      <w:numFmt w:val="decimal"/>
      <w:lvlText w:val="%1.%2.%3.%4.%5.%6.%7.%8.%9"/>
      <w:lvlJc w:val="left"/>
      <w:pPr>
        <w:tabs>
          <w:tab w:val="left" w:pos="5102"/>
        </w:tabs>
        <w:ind w:left="5102" w:hanging="1700"/>
      </w:pPr>
    </w:lvl>
  </w:abstractNum>
  <w:abstractNum w:abstractNumId="22">
    <w:nsid w:val="654A26C9"/>
    <w:multiLevelType w:val="multilevel"/>
    <w:tmpl w:val="654A26C9"/>
    <w:lvl w:ilvl="0" w:tentative="0">
      <w:start w:val="1"/>
      <w:numFmt w:val="none"/>
      <w:pStyle w:val="190"/>
      <w:lvlText w:val="──"/>
      <w:lvlJc w:val="left"/>
      <w:pPr>
        <w:ind w:left="851" w:firstLine="0"/>
      </w:pPr>
      <w:rPr>
        <w:rFonts w:hint="eastAsia" w:ascii="宋体" w:eastAsia="宋体" w:hAnsiTheme="majorHAnsi"/>
        <w:b w:val="0"/>
        <w:i w:val="0"/>
        <w:sz w:val="21"/>
      </w:rPr>
    </w:lvl>
    <w:lvl w:ilvl="1" w:tentative="0">
      <w:start w:val="1"/>
      <w:numFmt w:val="bullet"/>
      <w:lvlText w:val=""/>
      <w:lvlJc w:val="left"/>
      <w:pPr>
        <w:ind w:left="1276" w:hanging="425"/>
      </w:pPr>
      <w:rPr>
        <w:rFonts w:hint="default" w:ascii="Wingdings" w:hAnsi="Wingdings"/>
      </w:rPr>
    </w:lvl>
    <w:lvl w:ilvl="2" w:tentative="0">
      <w:start w:val="1"/>
      <w:numFmt w:val="bullet"/>
      <w:lvlText w:val=""/>
      <w:lvlJc w:val="left"/>
      <w:pPr>
        <w:ind w:left="1276" w:hanging="236"/>
      </w:pPr>
      <w:rPr>
        <w:rFonts w:hint="default" w:ascii="Wingdings" w:hAnsi="Wingdings"/>
      </w:rPr>
    </w:lvl>
    <w:lvl w:ilvl="3" w:tentative="0">
      <w:start w:val="1"/>
      <w:numFmt w:val="bullet"/>
      <w:lvlText w:val=""/>
      <w:lvlJc w:val="left"/>
      <w:pPr>
        <w:ind w:left="1880" w:hanging="420"/>
      </w:pPr>
      <w:rPr>
        <w:rFonts w:hint="default" w:ascii="Wingdings" w:hAnsi="Wingdings"/>
      </w:rPr>
    </w:lvl>
    <w:lvl w:ilvl="4" w:tentative="0">
      <w:start w:val="1"/>
      <w:numFmt w:val="bullet"/>
      <w:lvlText w:val=""/>
      <w:lvlJc w:val="left"/>
      <w:pPr>
        <w:ind w:left="2300" w:hanging="420"/>
      </w:pPr>
      <w:rPr>
        <w:rFonts w:hint="default" w:ascii="Wingdings" w:hAnsi="Wingdings"/>
      </w:rPr>
    </w:lvl>
    <w:lvl w:ilvl="5" w:tentative="0">
      <w:start w:val="1"/>
      <w:numFmt w:val="bullet"/>
      <w:lvlText w:val=""/>
      <w:lvlJc w:val="left"/>
      <w:pPr>
        <w:ind w:left="2720" w:hanging="420"/>
      </w:pPr>
      <w:rPr>
        <w:rFonts w:hint="default" w:ascii="Wingdings" w:hAnsi="Wingdings"/>
      </w:rPr>
    </w:lvl>
    <w:lvl w:ilvl="6" w:tentative="0">
      <w:start w:val="1"/>
      <w:numFmt w:val="bullet"/>
      <w:lvlText w:val=""/>
      <w:lvlJc w:val="left"/>
      <w:pPr>
        <w:ind w:left="3140" w:hanging="420"/>
      </w:pPr>
      <w:rPr>
        <w:rFonts w:hint="default" w:ascii="Wingdings" w:hAnsi="Wingdings"/>
      </w:rPr>
    </w:lvl>
    <w:lvl w:ilvl="7" w:tentative="0">
      <w:start w:val="1"/>
      <w:numFmt w:val="bullet"/>
      <w:lvlText w:val=""/>
      <w:lvlJc w:val="left"/>
      <w:pPr>
        <w:ind w:left="3560" w:hanging="420"/>
      </w:pPr>
      <w:rPr>
        <w:rFonts w:hint="default" w:ascii="Wingdings" w:hAnsi="Wingdings"/>
      </w:rPr>
    </w:lvl>
    <w:lvl w:ilvl="8" w:tentative="0">
      <w:start w:val="1"/>
      <w:numFmt w:val="bullet"/>
      <w:lvlText w:val=""/>
      <w:lvlJc w:val="left"/>
      <w:pPr>
        <w:ind w:left="3980" w:hanging="420"/>
      </w:pPr>
      <w:rPr>
        <w:rFonts w:hint="default" w:ascii="Wingdings" w:hAnsi="Wingdings"/>
      </w:rPr>
    </w:lvl>
  </w:abstractNum>
  <w:abstractNum w:abstractNumId="23">
    <w:nsid w:val="657D3FBC"/>
    <w:multiLevelType w:val="multilevel"/>
    <w:tmpl w:val="657D3FBC"/>
    <w:lvl w:ilvl="0" w:tentative="0">
      <w:start w:val="1"/>
      <w:numFmt w:val="upperLetter"/>
      <w:pStyle w:val="77"/>
      <w:suff w:val="nothing"/>
      <w:lvlText w:val="附录%1"/>
      <w:lvlJc w:val="left"/>
      <w:pPr>
        <w:ind w:left="0" w:firstLine="0"/>
      </w:pPr>
      <w:rPr>
        <w:rFonts w:hint="eastAsia"/>
        <w:spacing w:val="100"/>
      </w:rPr>
    </w:lvl>
    <w:lvl w:ilvl="1" w:tentative="0">
      <w:start w:val="1"/>
      <w:numFmt w:val="decimal"/>
      <w:pStyle w:val="79"/>
      <w:suff w:val="nothing"/>
      <w:lvlText w:val="%1.%2　"/>
      <w:lvlJc w:val="left"/>
      <w:pPr>
        <w:ind w:left="0" w:firstLine="0"/>
      </w:pPr>
      <w:rPr>
        <w:rFonts w:hint="eastAsia" w:ascii="黑体" w:eastAsia="黑体"/>
        <w:b w:val="0"/>
        <w:i w:val="0"/>
        <w:sz w:val="21"/>
      </w:rPr>
    </w:lvl>
    <w:lvl w:ilvl="2" w:tentative="0">
      <w:start w:val="1"/>
      <w:numFmt w:val="decimal"/>
      <w:pStyle w:val="80"/>
      <w:suff w:val="nothing"/>
      <w:lvlText w:val="%1.%2.%3　"/>
      <w:lvlJc w:val="left"/>
      <w:pPr>
        <w:ind w:left="0" w:firstLine="0"/>
      </w:pPr>
      <w:rPr>
        <w:rFonts w:hint="eastAsia" w:ascii="黑体" w:eastAsia="黑体"/>
        <w:b w:val="0"/>
        <w:i w:val="0"/>
        <w:sz w:val="21"/>
      </w:rPr>
    </w:lvl>
    <w:lvl w:ilvl="3" w:tentative="0">
      <w:start w:val="1"/>
      <w:numFmt w:val="decimal"/>
      <w:pStyle w:val="82"/>
      <w:suff w:val="nothing"/>
      <w:lvlText w:val="%1.%2.%3.%4　"/>
      <w:lvlJc w:val="left"/>
      <w:pPr>
        <w:ind w:left="0" w:firstLine="0"/>
      </w:pPr>
      <w:rPr>
        <w:rFonts w:hint="eastAsia" w:ascii="黑体" w:eastAsia="黑体"/>
        <w:b w:val="0"/>
        <w:i w:val="0"/>
        <w:sz w:val="21"/>
      </w:rPr>
    </w:lvl>
    <w:lvl w:ilvl="4" w:tentative="0">
      <w:start w:val="1"/>
      <w:numFmt w:val="decimal"/>
      <w:pStyle w:val="83"/>
      <w:suff w:val="nothing"/>
      <w:lvlText w:val="%1.%2.%3.%4.%5　"/>
      <w:lvlJc w:val="left"/>
      <w:pPr>
        <w:ind w:left="0" w:firstLine="0"/>
      </w:pPr>
      <w:rPr>
        <w:rFonts w:hint="eastAsia" w:ascii="黑体" w:eastAsia="黑体"/>
        <w:b w:val="0"/>
        <w:i w:val="0"/>
        <w:sz w:val="21"/>
      </w:rPr>
    </w:lvl>
    <w:lvl w:ilvl="5" w:tentative="0">
      <w:start w:val="1"/>
      <w:numFmt w:val="decimal"/>
      <w:pStyle w:val="85"/>
      <w:suff w:val="nothing"/>
      <w:lvlText w:val="%1.%2.%3.%4.%5.%6　"/>
      <w:lvlJc w:val="left"/>
      <w:pPr>
        <w:ind w:left="0" w:firstLine="0"/>
      </w:pPr>
      <w:rPr>
        <w:rFonts w:hint="eastAsia" w:ascii="黑体" w:eastAsia="黑体"/>
        <w:b w:val="0"/>
        <w:i w:val="0"/>
        <w:sz w:val="21"/>
      </w:rPr>
    </w:lvl>
    <w:lvl w:ilvl="6" w:tentative="0">
      <w:start w:val="1"/>
      <w:numFmt w:val="decimal"/>
      <w:suff w:val="nothing"/>
      <w:lvlText w:val="%1.%2.%3.%4.%5.%6.%7　"/>
      <w:lvlJc w:val="left"/>
      <w:pPr>
        <w:ind w:left="0" w:firstLine="0"/>
      </w:pPr>
      <w:rPr>
        <w:rFonts w:hint="eastAsia"/>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24">
    <w:nsid w:val="69506ABF"/>
    <w:multiLevelType w:val="multilevel"/>
    <w:tmpl w:val="69506ABF"/>
    <w:lvl w:ilvl="0" w:tentative="0">
      <w:start w:val="1"/>
      <w:numFmt w:val="bullet"/>
      <w:pStyle w:val="189"/>
      <w:lvlText w:val=""/>
      <w:lvlJc w:val="left"/>
      <w:pPr>
        <w:ind w:left="851" w:firstLine="0"/>
      </w:pPr>
      <w:rPr>
        <w:rFonts w:hint="default" w:ascii="Wingdings" w:hAnsi="Wingdings"/>
        <w:color w:val="auto"/>
      </w:rPr>
    </w:lvl>
    <w:lvl w:ilvl="1" w:tentative="0">
      <w:start w:val="1"/>
      <w:numFmt w:val="lowerLetter"/>
      <w:lvlText w:val="%2)"/>
      <w:lvlJc w:val="left"/>
      <w:pPr>
        <w:ind w:left="1040" w:hanging="420"/>
      </w:pPr>
      <w:rPr>
        <w:rFonts w:hint="eastAsia"/>
      </w:rPr>
    </w:lvl>
    <w:lvl w:ilvl="2" w:tentative="0">
      <w:start w:val="1"/>
      <w:numFmt w:val="lowerRoman"/>
      <w:lvlText w:val="%3."/>
      <w:lvlJc w:val="right"/>
      <w:pPr>
        <w:ind w:left="1460" w:hanging="420"/>
      </w:pPr>
      <w:rPr>
        <w:rFonts w:hint="eastAsia"/>
      </w:rPr>
    </w:lvl>
    <w:lvl w:ilvl="3" w:tentative="0">
      <w:start w:val="1"/>
      <w:numFmt w:val="decimal"/>
      <w:lvlText w:val="%4."/>
      <w:lvlJc w:val="left"/>
      <w:pPr>
        <w:ind w:left="1880" w:hanging="420"/>
      </w:pPr>
      <w:rPr>
        <w:rFonts w:hint="eastAsia"/>
      </w:rPr>
    </w:lvl>
    <w:lvl w:ilvl="4" w:tentative="0">
      <w:start w:val="1"/>
      <w:numFmt w:val="lowerLetter"/>
      <w:lvlText w:val="%5)"/>
      <w:lvlJc w:val="left"/>
      <w:pPr>
        <w:ind w:left="2300" w:hanging="420"/>
      </w:pPr>
      <w:rPr>
        <w:rFonts w:hint="eastAsia"/>
      </w:rPr>
    </w:lvl>
    <w:lvl w:ilvl="5" w:tentative="0">
      <w:start w:val="1"/>
      <w:numFmt w:val="lowerRoman"/>
      <w:lvlText w:val="%6."/>
      <w:lvlJc w:val="right"/>
      <w:pPr>
        <w:ind w:left="2720" w:hanging="420"/>
      </w:pPr>
      <w:rPr>
        <w:rFonts w:hint="eastAsia"/>
      </w:rPr>
    </w:lvl>
    <w:lvl w:ilvl="6" w:tentative="0">
      <w:start w:val="1"/>
      <w:numFmt w:val="decimal"/>
      <w:lvlText w:val="%7."/>
      <w:lvlJc w:val="left"/>
      <w:pPr>
        <w:ind w:left="3140" w:hanging="420"/>
      </w:pPr>
      <w:rPr>
        <w:rFonts w:hint="eastAsia"/>
      </w:rPr>
    </w:lvl>
    <w:lvl w:ilvl="7" w:tentative="0">
      <w:start w:val="1"/>
      <w:numFmt w:val="lowerLetter"/>
      <w:lvlText w:val="%8)"/>
      <w:lvlJc w:val="left"/>
      <w:pPr>
        <w:ind w:left="3560" w:hanging="420"/>
      </w:pPr>
      <w:rPr>
        <w:rFonts w:hint="eastAsia"/>
      </w:rPr>
    </w:lvl>
    <w:lvl w:ilvl="8" w:tentative="0">
      <w:start w:val="1"/>
      <w:numFmt w:val="lowerRoman"/>
      <w:lvlText w:val="%9."/>
      <w:lvlJc w:val="right"/>
      <w:pPr>
        <w:ind w:left="3980" w:hanging="420"/>
      </w:pPr>
      <w:rPr>
        <w:rFonts w:hint="eastAsia"/>
      </w:rPr>
    </w:lvl>
  </w:abstractNum>
  <w:abstractNum w:abstractNumId="25">
    <w:nsid w:val="6CA41985"/>
    <w:multiLevelType w:val="multilevel"/>
    <w:tmpl w:val="6CA41985"/>
    <w:lvl w:ilvl="0" w:tentative="0">
      <w:start w:val="1"/>
      <w:numFmt w:val="decimal"/>
      <w:pStyle w:val="98"/>
      <w:lvlText w:val="%1)"/>
      <w:lvlJc w:val="left"/>
      <w:pPr>
        <w:tabs>
          <w:tab w:val="left" w:pos="823"/>
        </w:tabs>
        <w:ind w:left="823"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6">
    <w:nsid w:val="6CE42AC1"/>
    <w:multiLevelType w:val="multilevel"/>
    <w:tmpl w:val="6CE42AC1"/>
    <w:lvl w:ilvl="0" w:tentative="0">
      <w:start w:val="1"/>
      <w:numFmt w:val="lowerLetter"/>
      <w:pStyle w:val="174"/>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7">
    <w:nsid w:val="6CEA2025"/>
    <w:multiLevelType w:val="multilevel"/>
    <w:tmpl w:val="6CEA2025"/>
    <w:lvl w:ilvl="0" w:tentative="0">
      <w:start w:val="1"/>
      <w:numFmt w:val="none"/>
      <w:pStyle w:val="153"/>
      <w:suff w:val="nothing"/>
      <w:lvlText w:val="%1"/>
      <w:lvlJc w:val="left"/>
      <w:pPr>
        <w:ind w:left="0" w:firstLine="0"/>
      </w:pPr>
      <w:rPr>
        <w:rFonts w:hint="eastAsia"/>
      </w:rPr>
    </w:lvl>
    <w:lvl w:ilvl="1" w:tentative="0">
      <w:start w:val="1"/>
      <w:numFmt w:val="decimal"/>
      <w:pStyle w:val="105"/>
      <w:suff w:val="nothing"/>
      <w:lvlText w:val="%1%2　"/>
      <w:lvlJc w:val="left"/>
      <w:pPr>
        <w:ind w:left="0" w:firstLine="0"/>
      </w:pPr>
      <w:rPr>
        <w:rFonts w:hint="eastAsia" w:ascii="黑体" w:eastAsia="黑体"/>
        <w:b w:val="0"/>
        <w:i w:val="0"/>
        <w:sz w:val="21"/>
      </w:rPr>
    </w:lvl>
    <w:lvl w:ilvl="2" w:tentative="0">
      <w:start w:val="1"/>
      <w:numFmt w:val="decimal"/>
      <w:pStyle w:val="106"/>
      <w:suff w:val="nothing"/>
      <w:lvlText w:val="%1%2.%3　"/>
      <w:lvlJc w:val="left"/>
      <w:pPr>
        <w:ind w:left="0" w:firstLine="0"/>
      </w:pPr>
      <w:rPr>
        <w:rFonts w:hint="eastAsia" w:ascii="黑体" w:hAnsi="Times New Roman" w:eastAsia="黑体" w:cs="Times New Roman"/>
        <w:b w:val="0"/>
        <w:bCs w:val="0"/>
        <w:i w:val="0"/>
        <w:iCs w:val="0"/>
        <w:caps w:val="0"/>
        <w:smallCaps w:val="0"/>
        <w:strike w:val="0"/>
        <w:dstrike w:val="0"/>
        <w:vanish w:val="0"/>
        <w:color w:val="000000"/>
        <w:spacing w:val="0"/>
        <w:kern w:val="0"/>
        <w:position w:val="0"/>
        <w:sz w:val="21"/>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lightRig w14:rig="threePt" w14:dir="t">
            <w14:rot w14:lat="0" w14:lon="0" w14:rev="0"/>
          </w14:lightRig>
        </w14:scene3d>
        <w14:ligatures w14:val="none"/>
        <w14:numForm w14:val="default"/>
        <w14:numSpacing w14:val="default"/>
      </w:rPr>
    </w:lvl>
    <w:lvl w:ilvl="3" w:tentative="0">
      <w:start w:val="1"/>
      <w:numFmt w:val="decimal"/>
      <w:pStyle w:val="66"/>
      <w:suff w:val="nothing"/>
      <w:lvlText w:val="%1%2.%3.%4　"/>
      <w:lvlJc w:val="left"/>
      <w:pPr>
        <w:ind w:left="0" w:firstLine="0"/>
      </w:pPr>
      <w:rPr>
        <w:rFonts w:hint="eastAsia" w:ascii="黑体" w:eastAsia="黑体"/>
        <w:b w:val="0"/>
        <w:i w:val="0"/>
        <w:sz w:val="21"/>
      </w:rPr>
    </w:lvl>
    <w:lvl w:ilvl="4" w:tentative="0">
      <w:start w:val="1"/>
      <w:numFmt w:val="decimal"/>
      <w:pStyle w:val="95"/>
      <w:suff w:val="nothing"/>
      <w:lvlText w:val="%1%2.%3.%4.%5　"/>
      <w:lvlJc w:val="left"/>
      <w:pPr>
        <w:ind w:left="0" w:firstLine="0"/>
      </w:pPr>
      <w:rPr>
        <w:rFonts w:hint="eastAsia" w:ascii="黑体" w:eastAsia="黑体"/>
        <w:b w:val="0"/>
        <w:i w:val="0"/>
        <w:sz w:val="21"/>
      </w:rPr>
    </w:lvl>
    <w:lvl w:ilvl="5" w:tentative="0">
      <w:start w:val="1"/>
      <w:numFmt w:val="decimal"/>
      <w:pStyle w:val="99"/>
      <w:suff w:val="nothing"/>
      <w:lvlText w:val="%1%2.%3.%4.%5.%6　"/>
      <w:lvlJc w:val="left"/>
      <w:pPr>
        <w:ind w:left="0" w:firstLine="0"/>
      </w:pPr>
      <w:rPr>
        <w:rFonts w:hint="eastAsia" w:ascii="黑体" w:eastAsia="黑体"/>
        <w:b w:val="0"/>
        <w:i w:val="0"/>
        <w:sz w:val="21"/>
      </w:rPr>
    </w:lvl>
    <w:lvl w:ilvl="6" w:tentative="0">
      <w:start w:val="1"/>
      <w:numFmt w:val="decimal"/>
      <w:pStyle w:val="104"/>
      <w:suff w:val="nothing"/>
      <w:lvlText w:val="%1%2.%3.%4.%5.%6.%7　"/>
      <w:lvlJc w:val="left"/>
      <w:pPr>
        <w:ind w:left="0" w:firstLine="0"/>
      </w:pPr>
      <w:rPr>
        <w:rFonts w:hint="eastAsia" w:ascii="黑体"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28">
    <w:nsid w:val="6DBF04F4"/>
    <w:multiLevelType w:val="multilevel"/>
    <w:tmpl w:val="6DBF04F4"/>
    <w:lvl w:ilvl="0" w:tentative="0">
      <w:start w:val="1"/>
      <w:numFmt w:val="none"/>
      <w:pStyle w:val="180"/>
      <w:lvlText w:val="%1注："/>
      <w:lvlJc w:val="left"/>
      <w:pPr>
        <w:ind w:left="737" w:hanging="374"/>
      </w:pPr>
      <w:rPr>
        <w:rFonts w:hint="eastAsia" w:ascii="黑体" w:eastAsia="黑体"/>
        <w:b w:val="0"/>
        <w:i w:val="0"/>
        <w:sz w:val="18"/>
      </w:rPr>
    </w:lvl>
    <w:lvl w:ilvl="1" w:tentative="0">
      <w:start w:val="1"/>
      <w:numFmt w:val="lowerLetter"/>
      <w:lvlText w:val="%2)"/>
      <w:lvlJc w:val="left"/>
      <w:pPr>
        <w:tabs>
          <w:tab w:val="left" w:pos="1140"/>
        </w:tabs>
        <w:ind w:left="726" w:hanging="363"/>
      </w:pPr>
      <w:rPr>
        <w:rFonts w:hint="eastAsia"/>
      </w:rPr>
    </w:lvl>
    <w:lvl w:ilvl="2" w:tentative="0">
      <w:start w:val="1"/>
      <w:numFmt w:val="lowerRoman"/>
      <w:lvlText w:val="%3."/>
      <w:lvlJc w:val="right"/>
      <w:pPr>
        <w:tabs>
          <w:tab w:val="left" w:pos="1140"/>
        </w:tabs>
        <w:ind w:left="726" w:hanging="363"/>
      </w:pPr>
      <w:rPr>
        <w:rFonts w:hint="eastAsia"/>
      </w:rPr>
    </w:lvl>
    <w:lvl w:ilvl="3" w:tentative="0">
      <w:start w:val="1"/>
      <w:numFmt w:val="decimal"/>
      <w:lvlText w:val="%4."/>
      <w:lvlJc w:val="left"/>
      <w:pPr>
        <w:tabs>
          <w:tab w:val="left" w:pos="1140"/>
        </w:tabs>
        <w:ind w:left="726" w:hanging="363"/>
      </w:pPr>
      <w:rPr>
        <w:rFonts w:hint="eastAsia"/>
      </w:rPr>
    </w:lvl>
    <w:lvl w:ilvl="4" w:tentative="0">
      <w:start w:val="1"/>
      <w:numFmt w:val="lowerLetter"/>
      <w:lvlText w:val="%5)"/>
      <w:lvlJc w:val="left"/>
      <w:pPr>
        <w:tabs>
          <w:tab w:val="left" w:pos="1140"/>
        </w:tabs>
        <w:ind w:left="726" w:hanging="363"/>
      </w:pPr>
      <w:rPr>
        <w:rFonts w:hint="eastAsia"/>
      </w:rPr>
    </w:lvl>
    <w:lvl w:ilvl="5" w:tentative="0">
      <w:start w:val="1"/>
      <w:numFmt w:val="lowerRoman"/>
      <w:lvlText w:val="%6."/>
      <w:lvlJc w:val="right"/>
      <w:pPr>
        <w:tabs>
          <w:tab w:val="left" w:pos="1140"/>
        </w:tabs>
        <w:ind w:left="726" w:hanging="363"/>
      </w:pPr>
      <w:rPr>
        <w:rFonts w:hint="eastAsia"/>
      </w:rPr>
    </w:lvl>
    <w:lvl w:ilvl="6" w:tentative="0">
      <w:start w:val="1"/>
      <w:numFmt w:val="decimal"/>
      <w:lvlText w:val="%7."/>
      <w:lvlJc w:val="left"/>
      <w:pPr>
        <w:tabs>
          <w:tab w:val="left" w:pos="1140"/>
        </w:tabs>
        <w:ind w:left="726" w:hanging="363"/>
      </w:pPr>
      <w:rPr>
        <w:rFonts w:hint="eastAsia"/>
      </w:rPr>
    </w:lvl>
    <w:lvl w:ilvl="7" w:tentative="0">
      <w:start w:val="1"/>
      <w:numFmt w:val="lowerLetter"/>
      <w:lvlText w:val="%8)"/>
      <w:lvlJc w:val="left"/>
      <w:pPr>
        <w:tabs>
          <w:tab w:val="left" w:pos="1140"/>
        </w:tabs>
        <w:ind w:left="726" w:hanging="363"/>
      </w:pPr>
      <w:rPr>
        <w:rFonts w:hint="eastAsia"/>
      </w:rPr>
    </w:lvl>
    <w:lvl w:ilvl="8" w:tentative="0">
      <w:start w:val="1"/>
      <w:numFmt w:val="lowerRoman"/>
      <w:lvlText w:val="%9."/>
      <w:lvlJc w:val="right"/>
      <w:pPr>
        <w:tabs>
          <w:tab w:val="left" w:pos="1140"/>
        </w:tabs>
        <w:ind w:left="726" w:hanging="363"/>
      </w:pPr>
      <w:rPr>
        <w:rFonts w:hint="eastAsia"/>
      </w:rPr>
    </w:lvl>
  </w:abstractNum>
  <w:abstractNum w:abstractNumId="29">
    <w:nsid w:val="6DF35F19"/>
    <w:multiLevelType w:val="multilevel"/>
    <w:tmpl w:val="6DF35F19"/>
    <w:lvl w:ilvl="0" w:tentative="0">
      <w:start w:val="1"/>
      <w:numFmt w:val="decimal"/>
      <w:pStyle w:val="116"/>
      <w:suff w:val="nothing"/>
      <w:lvlText w:val="Table %1　"/>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48"/>
        </w:tabs>
        <w:ind w:left="3969" w:hanging="1418"/>
      </w:pPr>
    </w:lvl>
    <w:lvl w:ilvl="8" w:tentative="0">
      <w:start w:val="1"/>
      <w:numFmt w:val="decimal"/>
      <w:lvlText w:val="%1.%2.%3.%4.%5.%6.%7.%8.%9"/>
      <w:lvlJc w:val="left"/>
      <w:pPr>
        <w:tabs>
          <w:tab w:val="left" w:pos="4774"/>
        </w:tabs>
        <w:ind w:left="4677" w:hanging="1701"/>
      </w:pPr>
    </w:lvl>
  </w:abstractNum>
  <w:abstractNum w:abstractNumId="30">
    <w:nsid w:val="76933334"/>
    <w:multiLevelType w:val="multilevel"/>
    <w:tmpl w:val="76933334"/>
    <w:lvl w:ilvl="0" w:tentative="0">
      <w:start w:val="1"/>
      <w:numFmt w:val="none"/>
      <w:pStyle w:val="140"/>
      <w:lvlText w:val="%1——"/>
      <w:lvlJc w:val="left"/>
      <w:pPr>
        <w:tabs>
          <w:tab w:val="left" w:pos="330"/>
        </w:tabs>
        <w:ind w:left="948"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0"/>
  </w:num>
  <w:num w:numId="2">
    <w:abstractNumId w:val="27"/>
  </w:num>
  <w:num w:numId="3">
    <w:abstractNumId w:val="5"/>
  </w:num>
  <w:num w:numId="4">
    <w:abstractNumId w:val="23"/>
  </w:num>
  <w:num w:numId="5">
    <w:abstractNumId w:val="18"/>
  </w:num>
  <w:num w:numId="6">
    <w:abstractNumId w:val="13"/>
  </w:num>
  <w:num w:numId="7">
    <w:abstractNumId w:val="8"/>
  </w:num>
  <w:num w:numId="8">
    <w:abstractNumId w:val="3"/>
  </w:num>
  <w:num w:numId="9">
    <w:abstractNumId w:val="9"/>
  </w:num>
  <w:num w:numId="10">
    <w:abstractNumId w:val="16"/>
  </w:num>
  <w:num w:numId="11">
    <w:abstractNumId w:val="25"/>
  </w:num>
  <w:num w:numId="12">
    <w:abstractNumId w:val="11"/>
  </w:num>
  <w:num w:numId="13">
    <w:abstractNumId w:val="12"/>
  </w:num>
  <w:num w:numId="14">
    <w:abstractNumId w:val="7"/>
  </w:num>
  <w:num w:numId="15">
    <w:abstractNumId w:val="19"/>
  </w:num>
  <w:num w:numId="16">
    <w:abstractNumId w:val="21"/>
  </w:num>
  <w:num w:numId="17">
    <w:abstractNumId w:val="17"/>
  </w:num>
  <w:num w:numId="18">
    <w:abstractNumId w:val="29"/>
  </w:num>
  <w:num w:numId="19">
    <w:abstractNumId w:val="15"/>
  </w:num>
  <w:num w:numId="20">
    <w:abstractNumId w:val="1"/>
  </w:num>
  <w:num w:numId="21">
    <w:abstractNumId w:val="10"/>
  </w:num>
  <w:num w:numId="22">
    <w:abstractNumId w:val="30"/>
  </w:num>
  <w:num w:numId="23">
    <w:abstractNumId w:val="20"/>
  </w:num>
  <w:num w:numId="24">
    <w:abstractNumId w:val="6"/>
  </w:num>
  <w:num w:numId="25">
    <w:abstractNumId w:val="26"/>
  </w:num>
  <w:num w:numId="26">
    <w:abstractNumId w:val="28"/>
  </w:num>
  <w:num w:numId="27">
    <w:abstractNumId w:val="2"/>
  </w:num>
  <w:num w:numId="28">
    <w:abstractNumId w:val="4"/>
  </w:num>
  <w:num w:numId="29">
    <w:abstractNumId w:val="14"/>
  </w:num>
  <w:num w:numId="30">
    <w:abstractNumId w:val="24"/>
  </w:num>
  <w:num w:numId="31">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5"/>
  <w:embedTrueTypeFonts/>
  <w:saveSubsetFonts/>
  <w:bordersDoNotSurroundHeader w:val="0"/>
  <w:bordersDoNotSurroundFooter w:val="0"/>
  <w:attachedTemplate r:id="rId1"/>
  <w:documentProtection w:edit="forms" w:enforcement="0"/>
  <w:defaultTabStop w:val="420"/>
  <w:evenAndOddHeaders w:val="1"/>
  <w:drawingGridHorizontalSpacing w:val="105"/>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NjZTQ0MmYyOGQzZjI1N2E2MjRkOTZlM2YwN2I1OWUifQ=="/>
  </w:docVars>
  <w:rsids>
    <w:rsidRoot w:val="002A6FE5"/>
    <w:rsid w:val="0000040A"/>
    <w:rsid w:val="00000465"/>
    <w:rsid w:val="00000A94"/>
    <w:rsid w:val="00001972"/>
    <w:rsid w:val="00001D9A"/>
    <w:rsid w:val="00001F0B"/>
    <w:rsid w:val="00002AEF"/>
    <w:rsid w:val="0000474A"/>
    <w:rsid w:val="000065EF"/>
    <w:rsid w:val="00007B3A"/>
    <w:rsid w:val="000107E0"/>
    <w:rsid w:val="00010CC6"/>
    <w:rsid w:val="00010FC0"/>
    <w:rsid w:val="00011C3E"/>
    <w:rsid w:val="00011FDE"/>
    <w:rsid w:val="00012FFD"/>
    <w:rsid w:val="00014162"/>
    <w:rsid w:val="000142B8"/>
    <w:rsid w:val="00014340"/>
    <w:rsid w:val="00016A9C"/>
    <w:rsid w:val="00017FE7"/>
    <w:rsid w:val="00021DE1"/>
    <w:rsid w:val="00022184"/>
    <w:rsid w:val="00022476"/>
    <w:rsid w:val="00022762"/>
    <w:rsid w:val="000227A0"/>
    <w:rsid w:val="00023371"/>
    <w:rsid w:val="000238E0"/>
    <w:rsid w:val="000249DB"/>
    <w:rsid w:val="00024A8B"/>
    <w:rsid w:val="0002595E"/>
    <w:rsid w:val="00025EB2"/>
    <w:rsid w:val="000263F6"/>
    <w:rsid w:val="00026992"/>
    <w:rsid w:val="00030307"/>
    <w:rsid w:val="000303C3"/>
    <w:rsid w:val="000331D3"/>
    <w:rsid w:val="00033DE5"/>
    <w:rsid w:val="000346A5"/>
    <w:rsid w:val="00034D35"/>
    <w:rsid w:val="0003514B"/>
    <w:rsid w:val="000359C3"/>
    <w:rsid w:val="00035A7D"/>
    <w:rsid w:val="00035D01"/>
    <w:rsid w:val="000365ED"/>
    <w:rsid w:val="00036942"/>
    <w:rsid w:val="00037F93"/>
    <w:rsid w:val="00040DB2"/>
    <w:rsid w:val="0004249A"/>
    <w:rsid w:val="00042D82"/>
    <w:rsid w:val="00043282"/>
    <w:rsid w:val="000432BE"/>
    <w:rsid w:val="00044286"/>
    <w:rsid w:val="00044B6E"/>
    <w:rsid w:val="00047F28"/>
    <w:rsid w:val="000503AA"/>
    <w:rsid w:val="000506A1"/>
    <w:rsid w:val="000515DD"/>
    <w:rsid w:val="0005265A"/>
    <w:rsid w:val="00052BAC"/>
    <w:rsid w:val="0005380E"/>
    <w:rsid w:val="000539DD"/>
    <w:rsid w:val="00053BD3"/>
    <w:rsid w:val="000556ED"/>
    <w:rsid w:val="00055824"/>
    <w:rsid w:val="00055FE2"/>
    <w:rsid w:val="0005616F"/>
    <w:rsid w:val="00057954"/>
    <w:rsid w:val="00060C2E"/>
    <w:rsid w:val="00061033"/>
    <w:rsid w:val="000610F9"/>
    <w:rsid w:val="000619E9"/>
    <w:rsid w:val="0006220B"/>
    <w:rsid w:val="000622D4"/>
    <w:rsid w:val="0006357D"/>
    <w:rsid w:val="000651BE"/>
    <w:rsid w:val="000657DA"/>
    <w:rsid w:val="00067F1E"/>
    <w:rsid w:val="000712EA"/>
    <w:rsid w:val="00071CC0"/>
    <w:rsid w:val="00071CFC"/>
    <w:rsid w:val="0007226A"/>
    <w:rsid w:val="000722B1"/>
    <w:rsid w:val="00072E8C"/>
    <w:rsid w:val="00073C8C"/>
    <w:rsid w:val="00077B64"/>
    <w:rsid w:val="00080A1C"/>
    <w:rsid w:val="00082317"/>
    <w:rsid w:val="0008275C"/>
    <w:rsid w:val="00083800"/>
    <w:rsid w:val="00083D2C"/>
    <w:rsid w:val="00086AA1"/>
    <w:rsid w:val="00087A77"/>
    <w:rsid w:val="00090CA6"/>
    <w:rsid w:val="00092266"/>
    <w:rsid w:val="00092B8A"/>
    <w:rsid w:val="00092FB0"/>
    <w:rsid w:val="00093191"/>
    <w:rsid w:val="000934C5"/>
    <w:rsid w:val="00093D25"/>
    <w:rsid w:val="00093DAB"/>
    <w:rsid w:val="0009428E"/>
    <w:rsid w:val="00094D73"/>
    <w:rsid w:val="00096AD3"/>
    <w:rsid w:val="00096D63"/>
    <w:rsid w:val="000A0B60"/>
    <w:rsid w:val="000A0EB8"/>
    <w:rsid w:val="000A188B"/>
    <w:rsid w:val="000A19FC"/>
    <w:rsid w:val="000A20A1"/>
    <w:rsid w:val="000A296B"/>
    <w:rsid w:val="000A67E0"/>
    <w:rsid w:val="000A6E23"/>
    <w:rsid w:val="000A7311"/>
    <w:rsid w:val="000A778A"/>
    <w:rsid w:val="000A7C43"/>
    <w:rsid w:val="000B060F"/>
    <w:rsid w:val="000B08A9"/>
    <w:rsid w:val="000B09E8"/>
    <w:rsid w:val="000B1592"/>
    <w:rsid w:val="000B1FF2"/>
    <w:rsid w:val="000B278C"/>
    <w:rsid w:val="000B3CDA"/>
    <w:rsid w:val="000B4375"/>
    <w:rsid w:val="000B45CF"/>
    <w:rsid w:val="000B6A0B"/>
    <w:rsid w:val="000C0F6C"/>
    <w:rsid w:val="000C11DB"/>
    <w:rsid w:val="000C1492"/>
    <w:rsid w:val="000C2FBD"/>
    <w:rsid w:val="000C3C92"/>
    <w:rsid w:val="000C4B41"/>
    <w:rsid w:val="000C57D6"/>
    <w:rsid w:val="000C6362"/>
    <w:rsid w:val="000C7666"/>
    <w:rsid w:val="000D0A9C"/>
    <w:rsid w:val="000D1795"/>
    <w:rsid w:val="000D3037"/>
    <w:rsid w:val="000D329A"/>
    <w:rsid w:val="000D4B9C"/>
    <w:rsid w:val="000D4EB6"/>
    <w:rsid w:val="000D5333"/>
    <w:rsid w:val="000D725E"/>
    <w:rsid w:val="000D753B"/>
    <w:rsid w:val="000E2C5F"/>
    <w:rsid w:val="000E34C3"/>
    <w:rsid w:val="000E4C9E"/>
    <w:rsid w:val="000E6FD7"/>
    <w:rsid w:val="000F06E1"/>
    <w:rsid w:val="000F0E3C"/>
    <w:rsid w:val="000F17C5"/>
    <w:rsid w:val="000F19D5"/>
    <w:rsid w:val="000F1EB5"/>
    <w:rsid w:val="000F2363"/>
    <w:rsid w:val="000F4050"/>
    <w:rsid w:val="000F4884"/>
    <w:rsid w:val="000F4AEA"/>
    <w:rsid w:val="000F4E72"/>
    <w:rsid w:val="000F5570"/>
    <w:rsid w:val="000F6760"/>
    <w:rsid w:val="000F67E9"/>
    <w:rsid w:val="00100897"/>
    <w:rsid w:val="00104926"/>
    <w:rsid w:val="00104FFC"/>
    <w:rsid w:val="0010562F"/>
    <w:rsid w:val="00106564"/>
    <w:rsid w:val="00106D6A"/>
    <w:rsid w:val="00110B0F"/>
    <w:rsid w:val="00111BC5"/>
    <w:rsid w:val="00111E06"/>
    <w:rsid w:val="0011375D"/>
    <w:rsid w:val="00113B1E"/>
    <w:rsid w:val="00113DBC"/>
    <w:rsid w:val="001143CF"/>
    <w:rsid w:val="00115905"/>
    <w:rsid w:val="001162A6"/>
    <w:rsid w:val="00116A2E"/>
    <w:rsid w:val="0011711C"/>
    <w:rsid w:val="001201C3"/>
    <w:rsid w:val="001221EC"/>
    <w:rsid w:val="00124050"/>
    <w:rsid w:val="00124E4F"/>
    <w:rsid w:val="001260B7"/>
    <w:rsid w:val="001265CB"/>
    <w:rsid w:val="001321C6"/>
    <w:rsid w:val="001325C4"/>
    <w:rsid w:val="00132C88"/>
    <w:rsid w:val="00133010"/>
    <w:rsid w:val="001338EE"/>
    <w:rsid w:val="00133AAE"/>
    <w:rsid w:val="001344D2"/>
    <w:rsid w:val="00135323"/>
    <w:rsid w:val="001356C4"/>
    <w:rsid w:val="00137565"/>
    <w:rsid w:val="001408F1"/>
    <w:rsid w:val="00141114"/>
    <w:rsid w:val="00142969"/>
    <w:rsid w:val="001446C2"/>
    <w:rsid w:val="00145173"/>
    <w:rsid w:val="001457E7"/>
    <w:rsid w:val="00145D9D"/>
    <w:rsid w:val="00146388"/>
    <w:rsid w:val="00150918"/>
    <w:rsid w:val="0015288A"/>
    <w:rsid w:val="001529E5"/>
    <w:rsid w:val="00152CFD"/>
    <w:rsid w:val="00152FB3"/>
    <w:rsid w:val="00153A99"/>
    <w:rsid w:val="00153C7E"/>
    <w:rsid w:val="00156B25"/>
    <w:rsid w:val="00156B54"/>
    <w:rsid w:val="00156E1A"/>
    <w:rsid w:val="001577AD"/>
    <w:rsid w:val="00157894"/>
    <w:rsid w:val="00157B55"/>
    <w:rsid w:val="001604AB"/>
    <w:rsid w:val="001642FA"/>
    <w:rsid w:val="0016488E"/>
    <w:rsid w:val="001649EB"/>
    <w:rsid w:val="00164BA5"/>
    <w:rsid w:val="00164BAF"/>
    <w:rsid w:val="00164FA8"/>
    <w:rsid w:val="00165065"/>
    <w:rsid w:val="00165434"/>
    <w:rsid w:val="0016580B"/>
    <w:rsid w:val="00165F49"/>
    <w:rsid w:val="00166588"/>
    <w:rsid w:val="001668A0"/>
    <w:rsid w:val="00166B88"/>
    <w:rsid w:val="0016770A"/>
    <w:rsid w:val="00170804"/>
    <w:rsid w:val="001708E9"/>
    <w:rsid w:val="0017186E"/>
    <w:rsid w:val="00172256"/>
    <w:rsid w:val="0017340B"/>
    <w:rsid w:val="00173FB1"/>
    <w:rsid w:val="00176DFD"/>
    <w:rsid w:val="001771B0"/>
    <w:rsid w:val="00177322"/>
    <w:rsid w:val="001852C9"/>
    <w:rsid w:val="0018630D"/>
    <w:rsid w:val="00186B87"/>
    <w:rsid w:val="00187A0B"/>
    <w:rsid w:val="00190087"/>
    <w:rsid w:val="0019043C"/>
    <w:rsid w:val="001913C4"/>
    <w:rsid w:val="0019348F"/>
    <w:rsid w:val="0019384B"/>
    <w:rsid w:val="00193A07"/>
    <w:rsid w:val="00194C95"/>
    <w:rsid w:val="00194EDA"/>
    <w:rsid w:val="00195C34"/>
    <w:rsid w:val="00196EF5"/>
    <w:rsid w:val="00197C5D"/>
    <w:rsid w:val="001A1A53"/>
    <w:rsid w:val="001A234A"/>
    <w:rsid w:val="001A241A"/>
    <w:rsid w:val="001A4210"/>
    <w:rsid w:val="001A4993"/>
    <w:rsid w:val="001A4CF3"/>
    <w:rsid w:val="001A6696"/>
    <w:rsid w:val="001A6AA9"/>
    <w:rsid w:val="001A6E2B"/>
    <w:rsid w:val="001B002B"/>
    <w:rsid w:val="001B06E8"/>
    <w:rsid w:val="001B11B9"/>
    <w:rsid w:val="001B2B87"/>
    <w:rsid w:val="001B2E46"/>
    <w:rsid w:val="001B354B"/>
    <w:rsid w:val="001B4D89"/>
    <w:rsid w:val="001B5521"/>
    <w:rsid w:val="001B71D0"/>
    <w:rsid w:val="001B71EE"/>
    <w:rsid w:val="001B7C8D"/>
    <w:rsid w:val="001C04A8"/>
    <w:rsid w:val="001C1081"/>
    <w:rsid w:val="001C237D"/>
    <w:rsid w:val="001C2C03"/>
    <w:rsid w:val="001C42F7"/>
    <w:rsid w:val="001C49E5"/>
    <w:rsid w:val="001C680C"/>
    <w:rsid w:val="001C6B59"/>
    <w:rsid w:val="001C7A21"/>
    <w:rsid w:val="001C7FEA"/>
    <w:rsid w:val="001D0499"/>
    <w:rsid w:val="001D0BBE"/>
    <w:rsid w:val="001D0C8E"/>
    <w:rsid w:val="001D0ED4"/>
    <w:rsid w:val="001D19EB"/>
    <w:rsid w:val="001D212F"/>
    <w:rsid w:val="001D29D7"/>
    <w:rsid w:val="001D2DE7"/>
    <w:rsid w:val="001D2F48"/>
    <w:rsid w:val="001D3899"/>
    <w:rsid w:val="001D411C"/>
    <w:rsid w:val="001D4B69"/>
    <w:rsid w:val="001D6002"/>
    <w:rsid w:val="001E0282"/>
    <w:rsid w:val="001E1B6A"/>
    <w:rsid w:val="001E2484"/>
    <w:rsid w:val="001E3CC4"/>
    <w:rsid w:val="001E4882"/>
    <w:rsid w:val="001E4E9B"/>
    <w:rsid w:val="001E5982"/>
    <w:rsid w:val="001E5D97"/>
    <w:rsid w:val="001E70BA"/>
    <w:rsid w:val="001E73AB"/>
    <w:rsid w:val="001E7864"/>
    <w:rsid w:val="001F092D"/>
    <w:rsid w:val="001F143A"/>
    <w:rsid w:val="001F1605"/>
    <w:rsid w:val="001F20E9"/>
    <w:rsid w:val="001F22A1"/>
    <w:rsid w:val="001F2508"/>
    <w:rsid w:val="001F3228"/>
    <w:rsid w:val="001F3A41"/>
    <w:rsid w:val="001F3F36"/>
    <w:rsid w:val="001F4816"/>
    <w:rsid w:val="001F69B4"/>
    <w:rsid w:val="001F77C7"/>
    <w:rsid w:val="001F7BAF"/>
    <w:rsid w:val="00200183"/>
    <w:rsid w:val="00200333"/>
    <w:rsid w:val="00200852"/>
    <w:rsid w:val="0020107D"/>
    <w:rsid w:val="00202868"/>
    <w:rsid w:val="00202AA4"/>
    <w:rsid w:val="00202DD8"/>
    <w:rsid w:val="00202FC4"/>
    <w:rsid w:val="002031F7"/>
    <w:rsid w:val="002040E6"/>
    <w:rsid w:val="002044BF"/>
    <w:rsid w:val="0020527B"/>
    <w:rsid w:val="00205F2C"/>
    <w:rsid w:val="00206D8F"/>
    <w:rsid w:val="00207F8F"/>
    <w:rsid w:val="00210B15"/>
    <w:rsid w:val="002142EA"/>
    <w:rsid w:val="00215ADD"/>
    <w:rsid w:val="002204BB"/>
    <w:rsid w:val="00221B79"/>
    <w:rsid w:val="00221C6B"/>
    <w:rsid w:val="002253A1"/>
    <w:rsid w:val="00225CF8"/>
    <w:rsid w:val="0022794E"/>
    <w:rsid w:val="00232321"/>
    <w:rsid w:val="002329BB"/>
    <w:rsid w:val="00233A91"/>
    <w:rsid w:val="00233D64"/>
    <w:rsid w:val="0023482A"/>
    <w:rsid w:val="002359CB"/>
    <w:rsid w:val="00240701"/>
    <w:rsid w:val="0024129E"/>
    <w:rsid w:val="00242A22"/>
    <w:rsid w:val="0024308F"/>
    <w:rsid w:val="002433DA"/>
    <w:rsid w:val="00243540"/>
    <w:rsid w:val="0024497B"/>
    <w:rsid w:val="0024515B"/>
    <w:rsid w:val="00246021"/>
    <w:rsid w:val="00246051"/>
    <w:rsid w:val="0024666E"/>
    <w:rsid w:val="00247F52"/>
    <w:rsid w:val="00250B25"/>
    <w:rsid w:val="00250BBE"/>
    <w:rsid w:val="0025154F"/>
    <w:rsid w:val="002515C2"/>
    <w:rsid w:val="0025194F"/>
    <w:rsid w:val="00251B4C"/>
    <w:rsid w:val="00255306"/>
    <w:rsid w:val="0025620F"/>
    <w:rsid w:val="0026058E"/>
    <w:rsid w:val="0026148A"/>
    <w:rsid w:val="00262696"/>
    <w:rsid w:val="00263D25"/>
    <w:rsid w:val="002643C3"/>
    <w:rsid w:val="00264A0C"/>
    <w:rsid w:val="00266115"/>
    <w:rsid w:val="00266EEB"/>
    <w:rsid w:val="00267EE0"/>
    <w:rsid w:val="00267EF4"/>
    <w:rsid w:val="00270CB8"/>
    <w:rsid w:val="00272B08"/>
    <w:rsid w:val="0027588F"/>
    <w:rsid w:val="00276F7C"/>
    <w:rsid w:val="00277338"/>
    <w:rsid w:val="002812B6"/>
    <w:rsid w:val="00281BB8"/>
    <w:rsid w:val="00281E9E"/>
    <w:rsid w:val="00282405"/>
    <w:rsid w:val="00285170"/>
    <w:rsid w:val="00285361"/>
    <w:rsid w:val="00292B7C"/>
    <w:rsid w:val="00292D60"/>
    <w:rsid w:val="00293031"/>
    <w:rsid w:val="00293B30"/>
    <w:rsid w:val="002942EF"/>
    <w:rsid w:val="00294D34"/>
    <w:rsid w:val="00294E3B"/>
    <w:rsid w:val="00294EDE"/>
    <w:rsid w:val="00296193"/>
    <w:rsid w:val="00296C66"/>
    <w:rsid w:val="00296EBE"/>
    <w:rsid w:val="002974E3"/>
    <w:rsid w:val="002A084B"/>
    <w:rsid w:val="002A1260"/>
    <w:rsid w:val="002A1589"/>
    <w:rsid w:val="002A1608"/>
    <w:rsid w:val="002A25DC"/>
    <w:rsid w:val="002A3AAB"/>
    <w:rsid w:val="002A4CEA"/>
    <w:rsid w:val="002A5977"/>
    <w:rsid w:val="002A5A13"/>
    <w:rsid w:val="002A6FE5"/>
    <w:rsid w:val="002A757F"/>
    <w:rsid w:val="002A7A5E"/>
    <w:rsid w:val="002A7F44"/>
    <w:rsid w:val="002B02FF"/>
    <w:rsid w:val="002B06A2"/>
    <w:rsid w:val="002B0C40"/>
    <w:rsid w:val="002B1966"/>
    <w:rsid w:val="002B20F9"/>
    <w:rsid w:val="002B4508"/>
    <w:rsid w:val="002B5779"/>
    <w:rsid w:val="002B5BDB"/>
    <w:rsid w:val="002B5F15"/>
    <w:rsid w:val="002B6F97"/>
    <w:rsid w:val="002B7332"/>
    <w:rsid w:val="002B7F51"/>
    <w:rsid w:val="002C09E7"/>
    <w:rsid w:val="002C180A"/>
    <w:rsid w:val="002C1E06"/>
    <w:rsid w:val="002C3F07"/>
    <w:rsid w:val="002C5278"/>
    <w:rsid w:val="002C7765"/>
    <w:rsid w:val="002C7EBB"/>
    <w:rsid w:val="002D06C1"/>
    <w:rsid w:val="002D0FFB"/>
    <w:rsid w:val="002D1A43"/>
    <w:rsid w:val="002D2A08"/>
    <w:rsid w:val="002D305B"/>
    <w:rsid w:val="002D33BA"/>
    <w:rsid w:val="002D3EE9"/>
    <w:rsid w:val="002D42B5"/>
    <w:rsid w:val="002D4F1A"/>
    <w:rsid w:val="002D576D"/>
    <w:rsid w:val="002D653D"/>
    <w:rsid w:val="002D6EC6"/>
    <w:rsid w:val="002D79AC"/>
    <w:rsid w:val="002E039D"/>
    <w:rsid w:val="002E0FB1"/>
    <w:rsid w:val="002E1A00"/>
    <w:rsid w:val="002E28D1"/>
    <w:rsid w:val="002E2D9B"/>
    <w:rsid w:val="002E4589"/>
    <w:rsid w:val="002E4D5A"/>
    <w:rsid w:val="002E6326"/>
    <w:rsid w:val="002F30E0"/>
    <w:rsid w:val="002F35E4"/>
    <w:rsid w:val="002F3730"/>
    <w:rsid w:val="002F38E1"/>
    <w:rsid w:val="002F3FCF"/>
    <w:rsid w:val="002F449B"/>
    <w:rsid w:val="002F44EA"/>
    <w:rsid w:val="002F7999"/>
    <w:rsid w:val="002F7AF6"/>
    <w:rsid w:val="00300E63"/>
    <w:rsid w:val="003016AE"/>
    <w:rsid w:val="00301C18"/>
    <w:rsid w:val="00301F00"/>
    <w:rsid w:val="003022CC"/>
    <w:rsid w:val="00302F5F"/>
    <w:rsid w:val="0030441D"/>
    <w:rsid w:val="003047A0"/>
    <w:rsid w:val="00305293"/>
    <w:rsid w:val="00305C0C"/>
    <w:rsid w:val="00306063"/>
    <w:rsid w:val="0031259F"/>
    <w:rsid w:val="00312CFC"/>
    <w:rsid w:val="00313B85"/>
    <w:rsid w:val="00313C50"/>
    <w:rsid w:val="0031445D"/>
    <w:rsid w:val="00317275"/>
    <w:rsid w:val="003176C1"/>
    <w:rsid w:val="00317988"/>
    <w:rsid w:val="003221B4"/>
    <w:rsid w:val="003221DF"/>
    <w:rsid w:val="0032258D"/>
    <w:rsid w:val="00322E62"/>
    <w:rsid w:val="00324CB9"/>
    <w:rsid w:val="00324D13"/>
    <w:rsid w:val="00324EDD"/>
    <w:rsid w:val="00326522"/>
    <w:rsid w:val="00327166"/>
    <w:rsid w:val="00327965"/>
    <w:rsid w:val="003313FA"/>
    <w:rsid w:val="003331E4"/>
    <w:rsid w:val="00334762"/>
    <w:rsid w:val="00334DE4"/>
    <w:rsid w:val="00336C64"/>
    <w:rsid w:val="00336F96"/>
    <w:rsid w:val="00337162"/>
    <w:rsid w:val="003418E5"/>
    <w:rsid w:val="0034194F"/>
    <w:rsid w:val="0034345E"/>
    <w:rsid w:val="003444C8"/>
    <w:rsid w:val="00344605"/>
    <w:rsid w:val="003466CF"/>
    <w:rsid w:val="00346EAD"/>
    <w:rsid w:val="003474AA"/>
    <w:rsid w:val="00350D1D"/>
    <w:rsid w:val="00352037"/>
    <w:rsid w:val="003527F7"/>
    <w:rsid w:val="00352C83"/>
    <w:rsid w:val="00352F1A"/>
    <w:rsid w:val="003531B2"/>
    <w:rsid w:val="003564DA"/>
    <w:rsid w:val="003578EA"/>
    <w:rsid w:val="0036107C"/>
    <w:rsid w:val="0036135B"/>
    <w:rsid w:val="003615D2"/>
    <w:rsid w:val="0036429C"/>
    <w:rsid w:val="00364542"/>
    <w:rsid w:val="00364A53"/>
    <w:rsid w:val="00364CFC"/>
    <w:rsid w:val="003654CB"/>
    <w:rsid w:val="00365AA9"/>
    <w:rsid w:val="00365F86"/>
    <w:rsid w:val="00365F87"/>
    <w:rsid w:val="00366E89"/>
    <w:rsid w:val="003679CB"/>
    <w:rsid w:val="003705F4"/>
    <w:rsid w:val="00370B46"/>
    <w:rsid w:val="00370D58"/>
    <w:rsid w:val="00371316"/>
    <w:rsid w:val="00373179"/>
    <w:rsid w:val="003734E8"/>
    <w:rsid w:val="00374F5E"/>
    <w:rsid w:val="00376713"/>
    <w:rsid w:val="00376774"/>
    <w:rsid w:val="00376AAD"/>
    <w:rsid w:val="00381815"/>
    <w:rsid w:val="003819AF"/>
    <w:rsid w:val="003820E9"/>
    <w:rsid w:val="00382D22"/>
    <w:rsid w:val="00382DE7"/>
    <w:rsid w:val="003832D1"/>
    <w:rsid w:val="00384FFC"/>
    <w:rsid w:val="003869EC"/>
    <w:rsid w:val="003872FC"/>
    <w:rsid w:val="00387ADC"/>
    <w:rsid w:val="00390020"/>
    <w:rsid w:val="003903D6"/>
    <w:rsid w:val="00390EE6"/>
    <w:rsid w:val="0039118F"/>
    <w:rsid w:val="00392AD7"/>
    <w:rsid w:val="003938D9"/>
    <w:rsid w:val="00394376"/>
    <w:rsid w:val="003943FF"/>
    <w:rsid w:val="003952EE"/>
    <w:rsid w:val="003970C7"/>
    <w:rsid w:val="00397401"/>
    <w:rsid w:val="003974EB"/>
    <w:rsid w:val="00397CC5"/>
    <w:rsid w:val="003A0341"/>
    <w:rsid w:val="003A1582"/>
    <w:rsid w:val="003A2BEB"/>
    <w:rsid w:val="003A3D9C"/>
    <w:rsid w:val="003A3DD6"/>
    <w:rsid w:val="003A4077"/>
    <w:rsid w:val="003A46D4"/>
    <w:rsid w:val="003A4AA7"/>
    <w:rsid w:val="003A61D4"/>
    <w:rsid w:val="003A7559"/>
    <w:rsid w:val="003A7728"/>
    <w:rsid w:val="003A7A55"/>
    <w:rsid w:val="003B0684"/>
    <w:rsid w:val="003B09AD"/>
    <w:rsid w:val="003B0EFA"/>
    <w:rsid w:val="003B1F18"/>
    <w:rsid w:val="003B430A"/>
    <w:rsid w:val="003B48D1"/>
    <w:rsid w:val="003B5BF0"/>
    <w:rsid w:val="003B60BF"/>
    <w:rsid w:val="003B64D4"/>
    <w:rsid w:val="003B69D6"/>
    <w:rsid w:val="003B6BE3"/>
    <w:rsid w:val="003B7A41"/>
    <w:rsid w:val="003C010C"/>
    <w:rsid w:val="003C0A67"/>
    <w:rsid w:val="003C0A6C"/>
    <w:rsid w:val="003C0B21"/>
    <w:rsid w:val="003C14F8"/>
    <w:rsid w:val="003C217A"/>
    <w:rsid w:val="003C2F7F"/>
    <w:rsid w:val="003C55F1"/>
    <w:rsid w:val="003C5A43"/>
    <w:rsid w:val="003D0519"/>
    <w:rsid w:val="003D0FF6"/>
    <w:rsid w:val="003D262C"/>
    <w:rsid w:val="003D2FB1"/>
    <w:rsid w:val="003D5204"/>
    <w:rsid w:val="003D5A29"/>
    <w:rsid w:val="003D65A1"/>
    <w:rsid w:val="003D6D61"/>
    <w:rsid w:val="003D7191"/>
    <w:rsid w:val="003D75A0"/>
    <w:rsid w:val="003E0133"/>
    <w:rsid w:val="003E091D"/>
    <w:rsid w:val="003E1C53"/>
    <w:rsid w:val="003E1C8F"/>
    <w:rsid w:val="003E2A58"/>
    <w:rsid w:val="003E2A69"/>
    <w:rsid w:val="003E2D49"/>
    <w:rsid w:val="003E2E5E"/>
    <w:rsid w:val="003E2FD4"/>
    <w:rsid w:val="003E49F6"/>
    <w:rsid w:val="003E637D"/>
    <w:rsid w:val="003E660F"/>
    <w:rsid w:val="003F0841"/>
    <w:rsid w:val="003F10DA"/>
    <w:rsid w:val="003F23D3"/>
    <w:rsid w:val="003F33FC"/>
    <w:rsid w:val="003F379E"/>
    <w:rsid w:val="003F3F08"/>
    <w:rsid w:val="003F49F1"/>
    <w:rsid w:val="003F51EC"/>
    <w:rsid w:val="003F6272"/>
    <w:rsid w:val="003F7156"/>
    <w:rsid w:val="00400E72"/>
    <w:rsid w:val="004012BF"/>
    <w:rsid w:val="00401400"/>
    <w:rsid w:val="00404869"/>
    <w:rsid w:val="00405884"/>
    <w:rsid w:val="00407D39"/>
    <w:rsid w:val="00411E4D"/>
    <w:rsid w:val="00412434"/>
    <w:rsid w:val="00413A48"/>
    <w:rsid w:val="00413BFA"/>
    <w:rsid w:val="0041477A"/>
    <w:rsid w:val="004162E2"/>
    <w:rsid w:val="004167A3"/>
    <w:rsid w:val="00417E6F"/>
    <w:rsid w:val="00420D65"/>
    <w:rsid w:val="00421435"/>
    <w:rsid w:val="004222A9"/>
    <w:rsid w:val="0042467E"/>
    <w:rsid w:val="0043003F"/>
    <w:rsid w:val="0043103C"/>
    <w:rsid w:val="004322AE"/>
    <w:rsid w:val="00432DAA"/>
    <w:rsid w:val="00433F50"/>
    <w:rsid w:val="00434305"/>
    <w:rsid w:val="00435DF7"/>
    <w:rsid w:val="0044083F"/>
    <w:rsid w:val="00440C94"/>
    <w:rsid w:val="004410D6"/>
    <w:rsid w:val="00441AE7"/>
    <w:rsid w:val="00444856"/>
    <w:rsid w:val="00445574"/>
    <w:rsid w:val="004467FB"/>
    <w:rsid w:val="00450511"/>
    <w:rsid w:val="00452906"/>
    <w:rsid w:val="00452D6B"/>
    <w:rsid w:val="00454484"/>
    <w:rsid w:val="0045517B"/>
    <w:rsid w:val="00460B43"/>
    <w:rsid w:val="004625C8"/>
    <w:rsid w:val="00463B77"/>
    <w:rsid w:val="00463C7B"/>
    <w:rsid w:val="00464355"/>
    <w:rsid w:val="004644A6"/>
    <w:rsid w:val="004659BD"/>
    <w:rsid w:val="00470730"/>
    <w:rsid w:val="00470775"/>
    <w:rsid w:val="00471438"/>
    <w:rsid w:val="004746B1"/>
    <w:rsid w:val="004753E9"/>
    <w:rsid w:val="0047583F"/>
    <w:rsid w:val="00475DE8"/>
    <w:rsid w:val="00477069"/>
    <w:rsid w:val="004770B8"/>
    <w:rsid w:val="00477FF9"/>
    <w:rsid w:val="00481A0B"/>
    <w:rsid w:val="00481C44"/>
    <w:rsid w:val="00483714"/>
    <w:rsid w:val="004846F9"/>
    <w:rsid w:val="00484936"/>
    <w:rsid w:val="00484C0F"/>
    <w:rsid w:val="00485C89"/>
    <w:rsid w:val="00486629"/>
    <w:rsid w:val="00486BE3"/>
    <w:rsid w:val="0048766D"/>
    <w:rsid w:val="004905E4"/>
    <w:rsid w:val="00490A89"/>
    <w:rsid w:val="00490AB4"/>
    <w:rsid w:val="00490CA0"/>
    <w:rsid w:val="00491F16"/>
    <w:rsid w:val="0049210F"/>
    <w:rsid w:val="00492F02"/>
    <w:rsid w:val="004939AE"/>
    <w:rsid w:val="004948E5"/>
    <w:rsid w:val="004A0022"/>
    <w:rsid w:val="004A12DF"/>
    <w:rsid w:val="004A1BA8"/>
    <w:rsid w:val="004A4B57"/>
    <w:rsid w:val="004A63FA"/>
    <w:rsid w:val="004A6A3D"/>
    <w:rsid w:val="004A703E"/>
    <w:rsid w:val="004A77D3"/>
    <w:rsid w:val="004B0272"/>
    <w:rsid w:val="004B0800"/>
    <w:rsid w:val="004B1190"/>
    <w:rsid w:val="004B2701"/>
    <w:rsid w:val="004B2D42"/>
    <w:rsid w:val="004B2E1B"/>
    <w:rsid w:val="004B3AA8"/>
    <w:rsid w:val="004B3E93"/>
    <w:rsid w:val="004B527B"/>
    <w:rsid w:val="004B713C"/>
    <w:rsid w:val="004C04AC"/>
    <w:rsid w:val="004C0622"/>
    <w:rsid w:val="004C0BAE"/>
    <w:rsid w:val="004C1FBC"/>
    <w:rsid w:val="004C25A2"/>
    <w:rsid w:val="004C3D81"/>
    <w:rsid w:val="004C3F1D"/>
    <w:rsid w:val="004C458D"/>
    <w:rsid w:val="004C60FA"/>
    <w:rsid w:val="004C7556"/>
    <w:rsid w:val="004C759A"/>
    <w:rsid w:val="004C7E8B"/>
    <w:rsid w:val="004C7E9D"/>
    <w:rsid w:val="004C7F67"/>
    <w:rsid w:val="004D0167"/>
    <w:rsid w:val="004D076D"/>
    <w:rsid w:val="004D0EF1"/>
    <w:rsid w:val="004D2253"/>
    <w:rsid w:val="004D24FA"/>
    <w:rsid w:val="004D322E"/>
    <w:rsid w:val="004D3FEC"/>
    <w:rsid w:val="004D4406"/>
    <w:rsid w:val="004D44DE"/>
    <w:rsid w:val="004D5E96"/>
    <w:rsid w:val="004D661B"/>
    <w:rsid w:val="004D7C42"/>
    <w:rsid w:val="004E0465"/>
    <w:rsid w:val="004E127B"/>
    <w:rsid w:val="004E19B7"/>
    <w:rsid w:val="004E1C0A"/>
    <w:rsid w:val="004E30C5"/>
    <w:rsid w:val="004E353B"/>
    <w:rsid w:val="004E4AA5"/>
    <w:rsid w:val="004E4AEE"/>
    <w:rsid w:val="004E59E3"/>
    <w:rsid w:val="004E67C0"/>
    <w:rsid w:val="004F1BC9"/>
    <w:rsid w:val="004F2E3B"/>
    <w:rsid w:val="004F391A"/>
    <w:rsid w:val="004F3CFB"/>
    <w:rsid w:val="004F4CAC"/>
    <w:rsid w:val="004F6456"/>
    <w:rsid w:val="004F66A9"/>
    <w:rsid w:val="004F696E"/>
    <w:rsid w:val="004F6C71"/>
    <w:rsid w:val="00501139"/>
    <w:rsid w:val="00501C76"/>
    <w:rsid w:val="0050363E"/>
    <w:rsid w:val="005039BC"/>
    <w:rsid w:val="00503A04"/>
    <w:rsid w:val="00503CE2"/>
    <w:rsid w:val="005043BB"/>
    <w:rsid w:val="00504A3D"/>
    <w:rsid w:val="00505455"/>
    <w:rsid w:val="00505767"/>
    <w:rsid w:val="00505BA3"/>
    <w:rsid w:val="00505C14"/>
    <w:rsid w:val="00505CC5"/>
    <w:rsid w:val="005073F0"/>
    <w:rsid w:val="00510A7B"/>
    <w:rsid w:val="00512F6E"/>
    <w:rsid w:val="00513038"/>
    <w:rsid w:val="00514174"/>
    <w:rsid w:val="00516088"/>
    <w:rsid w:val="005161B6"/>
    <w:rsid w:val="00516B0B"/>
    <w:rsid w:val="00516B47"/>
    <w:rsid w:val="00517044"/>
    <w:rsid w:val="0052041F"/>
    <w:rsid w:val="00520CDF"/>
    <w:rsid w:val="005220EC"/>
    <w:rsid w:val="00523F95"/>
    <w:rsid w:val="00524D65"/>
    <w:rsid w:val="00525B16"/>
    <w:rsid w:val="00525B8E"/>
    <w:rsid w:val="00527AA4"/>
    <w:rsid w:val="00531312"/>
    <w:rsid w:val="00532A99"/>
    <w:rsid w:val="005336D6"/>
    <w:rsid w:val="00533D04"/>
    <w:rsid w:val="00534804"/>
    <w:rsid w:val="00534BDF"/>
    <w:rsid w:val="005354EA"/>
    <w:rsid w:val="0053585F"/>
    <w:rsid w:val="00535C57"/>
    <w:rsid w:val="00535EC4"/>
    <w:rsid w:val="00535ED9"/>
    <w:rsid w:val="0053692B"/>
    <w:rsid w:val="00536A6B"/>
    <w:rsid w:val="0054096B"/>
    <w:rsid w:val="00540CD6"/>
    <w:rsid w:val="00541853"/>
    <w:rsid w:val="00542085"/>
    <w:rsid w:val="005433B5"/>
    <w:rsid w:val="00543BDA"/>
    <w:rsid w:val="00543C90"/>
    <w:rsid w:val="005441CC"/>
    <w:rsid w:val="005479DA"/>
    <w:rsid w:val="00547BCC"/>
    <w:rsid w:val="0055013B"/>
    <w:rsid w:val="00550828"/>
    <w:rsid w:val="00551F6F"/>
    <w:rsid w:val="0055293C"/>
    <w:rsid w:val="00555044"/>
    <w:rsid w:val="005567F8"/>
    <w:rsid w:val="0055708D"/>
    <w:rsid w:val="00561475"/>
    <w:rsid w:val="00562308"/>
    <w:rsid w:val="005630D7"/>
    <w:rsid w:val="005638DF"/>
    <w:rsid w:val="0056487B"/>
    <w:rsid w:val="0056489F"/>
    <w:rsid w:val="00564BDA"/>
    <w:rsid w:val="00564FB9"/>
    <w:rsid w:val="0056615A"/>
    <w:rsid w:val="005676C6"/>
    <w:rsid w:val="005679E4"/>
    <w:rsid w:val="00567C7A"/>
    <w:rsid w:val="00571E70"/>
    <w:rsid w:val="00572E73"/>
    <w:rsid w:val="00573D9E"/>
    <w:rsid w:val="00574305"/>
    <w:rsid w:val="00576C50"/>
    <w:rsid w:val="005801E3"/>
    <w:rsid w:val="0058117D"/>
    <w:rsid w:val="00581802"/>
    <w:rsid w:val="005827FC"/>
    <w:rsid w:val="005836A8"/>
    <w:rsid w:val="00583E65"/>
    <w:rsid w:val="00584058"/>
    <w:rsid w:val="0058409C"/>
    <w:rsid w:val="00584262"/>
    <w:rsid w:val="005848B1"/>
    <w:rsid w:val="00584E39"/>
    <w:rsid w:val="00585681"/>
    <w:rsid w:val="00586630"/>
    <w:rsid w:val="005878D4"/>
    <w:rsid w:val="00587ADD"/>
    <w:rsid w:val="0059014B"/>
    <w:rsid w:val="00593A49"/>
    <w:rsid w:val="00594157"/>
    <w:rsid w:val="00595B9A"/>
    <w:rsid w:val="00596160"/>
    <w:rsid w:val="005966E2"/>
    <w:rsid w:val="00597007"/>
    <w:rsid w:val="005A004E"/>
    <w:rsid w:val="005A00D7"/>
    <w:rsid w:val="005A0966"/>
    <w:rsid w:val="005A11B7"/>
    <w:rsid w:val="005A1418"/>
    <w:rsid w:val="005A1785"/>
    <w:rsid w:val="005A18D5"/>
    <w:rsid w:val="005A260B"/>
    <w:rsid w:val="005A3A35"/>
    <w:rsid w:val="005A4484"/>
    <w:rsid w:val="005A4A1B"/>
    <w:rsid w:val="005A7830"/>
    <w:rsid w:val="005A7FCE"/>
    <w:rsid w:val="005B0F3F"/>
    <w:rsid w:val="005B191C"/>
    <w:rsid w:val="005B46E0"/>
    <w:rsid w:val="005B4718"/>
    <w:rsid w:val="005B4903"/>
    <w:rsid w:val="005B5046"/>
    <w:rsid w:val="005B51CE"/>
    <w:rsid w:val="005B5885"/>
    <w:rsid w:val="005B5CD7"/>
    <w:rsid w:val="005B6CF6"/>
    <w:rsid w:val="005B700E"/>
    <w:rsid w:val="005B7422"/>
    <w:rsid w:val="005C0119"/>
    <w:rsid w:val="005C29B8"/>
    <w:rsid w:val="005C3409"/>
    <w:rsid w:val="005C357D"/>
    <w:rsid w:val="005C5F21"/>
    <w:rsid w:val="005C7156"/>
    <w:rsid w:val="005D0C75"/>
    <w:rsid w:val="005D1AAF"/>
    <w:rsid w:val="005D3DC7"/>
    <w:rsid w:val="005D3E41"/>
    <w:rsid w:val="005D4171"/>
    <w:rsid w:val="005D4D7F"/>
    <w:rsid w:val="005D502F"/>
    <w:rsid w:val="005D6A95"/>
    <w:rsid w:val="005D6B2C"/>
    <w:rsid w:val="005D6D9C"/>
    <w:rsid w:val="005E18B1"/>
    <w:rsid w:val="005E2335"/>
    <w:rsid w:val="005E3372"/>
    <w:rsid w:val="005E34CA"/>
    <w:rsid w:val="005E3C18"/>
    <w:rsid w:val="005E4250"/>
    <w:rsid w:val="005E4D6E"/>
    <w:rsid w:val="005E5476"/>
    <w:rsid w:val="005E59D9"/>
    <w:rsid w:val="005E6812"/>
    <w:rsid w:val="005E75B4"/>
    <w:rsid w:val="005E7881"/>
    <w:rsid w:val="005E78E0"/>
    <w:rsid w:val="005F0BC0"/>
    <w:rsid w:val="005F0D9C"/>
    <w:rsid w:val="005F284E"/>
    <w:rsid w:val="005F4732"/>
    <w:rsid w:val="005F7F86"/>
    <w:rsid w:val="00601042"/>
    <w:rsid w:val="006015CE"/>
    <w:rsid w:val="00604784"/>
    <w:rsid w:val="00605EA3"/>
    <w:rsid w:val="00606419"/>
    <w:rsid w:val="00607B2A"/>
    <w:rsid w:val="00607CE9"/>
    <w:rsid w:val="00607D29"/>
    <w:rsid w:val="00612952"/>
    <w:rsid w:val="0061439D"/>
    <w:rsid w:val="00614CC1"/>
    <w:rsid w:val="00614E59"/>
    <w:rsid w:val="00615A9D"/>
    <w:rsid w:val="006170CC"/>
    <w:rsid w:val="00617387"/>
    <w:rsid w:val="006205D6"/>
    <w:rsid w:val="0062110C"/>
    <w:rsid w:val="00621AA7"/>
    <w:rsid w:val="00621F20"/>
    <w:rsid w:val="006252D8"/>
    <w:rsid w:val="006257F8"/>
    <w:rsid w:val="006259BC"/>
    <w:rsid w:val="0062636B"/>
    <w:rsid w:val="0062669D"/>
    <w:rsid w:val="0062717F"/>
    <w:rsid w:val="0063076B"/>
    <w:rsid w:val="006307F4"/>
    <w:rsid w:val="00632182"/>
    <w:rsid w:val="00632AE0"/>
    <w:rsid w:val="00633B60"/>
    <w:rsid w:val="00633C17"/>
    <w:rsid w:val="00634D9E"/>
    <w:rsid w:val="00635E03"/>
    <w:rsid w:val="00636158"/>
    <w:rsid w:val="00636718"/>
    <w:rsid w:val="00636E3E"/>
    <w:rsid w:val="006379F7"/>
    <w:rsid w:val="00637E4D"/>
    <w:rsid w:val="00640620"/>
    <w:rsid w:val="00641A1F"/>
    <w:rsid w:val="00642595"/>
    <w:rsid w:val="006434A3"/>
    <w:rsid w:val="0064524E"/>
    <w:rsid w:val="006453C7"/>
    <w:rsid w:val="00645904"/>
    <w:rsid w:val="00645D1D"/>
    <w:rsid w:val="00647161"/>
    <w:rsid w:val="0064763C"/>
    <w:rsid w:val="00651ACB"/>
    <w:rsid w:val="00651C47"/>
    <w:rsid w:val="00652AB2"/>
    <w:rsid w:val="00653FED"/>
    <w:rsid w:val="00654881"/>
    <w:rsid w:val="00654EC0"/>
    <w:rsid w:val="0065525B"/>
    <w:rsid w:val="0065536F"/>
    <w:rsid w:val="0065556E"/>
    <w:rsid w:val="00655D4F"/>
    <w:rsid w:val="00656D29"/>
    <w:rsid w:val="00661913"/>
    <w:rsid w:val="00662FF4"/>
    <w:rsid w:val="006640E5"/>
    <w:rsid w:val="006646F1"/>
    <w:rsid w:val="00664929"/>
    <w:rsid w:val="00664F62"/>
    <w:rsid w:val="006655E1"/>
    <w:rsid w:val="00671316"/>
    <w:rsid w:val="00672019"/>
    <w:rsid w:val="00672060"/>
    <w:rsid w:val="00672BFD"/>
    <w:rsid w:val="00672ED9"/>
    <w:rsid w:val="006770F4"/>
    <w:rsid w:val="006776E1"/>
    <w:rsid w:val="00677A84"/>
    <w:rsid w:val="0068026D"/>
    <w:rsid w:val="00680A27"/>
    <w:rsid w:val="006816A4"/>
    <w:rsid w:val="006819B8"/>
    <w:rsid w:val="006840A6"/>
    <w:rsid w:val="00684319"/>
    <w:rsid w:val="00684B53"/>
    <w:rsid w:val="006850CD"/>
    <w:rsid w:val="00685AAB"/>
    <w:rsid w:val="0069324F"/>
    <w:rsid w:val="00695040"/>
    <w:rsid w:val="0069504C"/>
    <w:rsid w:val="00695FEA"/>
    <w:rsid w:val="00696253"/>
    <w:rsid w:val="006A07AA"/>
    <w:rsid w:val="006A25E5"/>
    <w:rsid w:val="006A2B46"/>
    <w:rsid w:val="006A2BED"/>
    <w:rsid w:val="006A32D0"/>
    <w:rsid w:val="006A336D"/>
    <w:rsid w:val="006A37B9"/>
    <w:rsid w:val="006A3C0A"/>
    <w:rsid w:val="006A4324"/>
    <w:rsid w:val="006A45B5"/>
    <w:rsid w:val="006A52CA"/>
    <w:rsid w:val="006A5B87"/>
    <w:rsid w:val="006A6F85"/>
    <w:rsid w:val="006A7A48"/>
    <w:rsid w:val="006B182E"/>
    <w:rsid w:val="006B1F31"/>
    <w:rsid w:val="006B2511"/>
    <w:rsid w:val="006B2672"/>
    <w:rsid w:val="006B2C5E"/>
    <w:rsid w:val="006B4507"/>
    <w:rsid w:val="006B4CA2"/>
    <w:rsid w:val="006B4CE4"/>
    <w:rsid w:val="006B54BF"/>
    <w:rsid w:val="006B5E3D"/>
    <w:rsid w:val="006B5F44"/>
    <w:rsid w:val="006B5F90"/>
    <w:rsid w:val="006B62E4"/>
    <w:rsid w:val="006B709F"/>
    <w:rsid w:val="006C12E5"/>
    <w:rsid w:val="006C1BBA"/>
    <w:rsid w:val="006C2079"/>
    <w:rsid w:val="006C4F4E"/>
    <w:rsid w:val="006C5A62"/>
    <w:rsid w:val="006C5D68"/>
    <w:rsid w:val="006C6976"/>
    <w:rsid w:val="006C6DD0"/>
    <w:rsid w:val="006C77C8"/>
    <w:rsid w:val="006D04EA"/>
    <w:rsid w:val="006D16C4"/>
    <w:rsid w:val="006D3E96"/>
    <w:rsid w:val="006D4515"/>
    <w:rsid w:val="006D4BB1"/>
    <w:rsid w:val="006D54D3"/>
    <w:rsid w:val="006D583D"/>
    <w:rsid w:val="006D58CA"/>
    <w:rsid w:val="006D5CEB"/>
    <w:rsid w:val="006D6593"/>
    <w:rsid w:val="006D6BF9"/>
    <w:rsid w:val="006D776F"/>
    <w:rsid w:val="006E0E78"/>
    <w:rsid w:val="006E2ED0"/>
    <w:rsid w:val="006E32C5"/>
    <w:rsid w:val="006E3A85"/>
    <w:rsid w:val="006E7A52"/>
    <w:rsid w:val="006F03A8"/>
    <w:rsid w:val="006F208F"/>
    <w:rsid w:val="006F2189"/>
    <w:rsid w:val="006F2ACA"/>
    <w:rsid w:val="006F2ADC"/>
    <w:rsid w:val="006F2BFE"/>
    <w:rsid w:val="006F31E9"/>
    <w:rsid w:val="006F3623"/>
    <w:rsid w:val="006F3C58"/>
    <w:rsid w:val="006F6284"/>
    <w:rsid w:val="006F7796"/>
    <w:rsid w:val="007002C5"/>
    <w:rsid w:val="00701046"/>
    <w:rsid w:val="00701869"/>
    <w:rsid w:val="00702C13"/>
    <w:rsid w:val="007034BF"/>
    <w:rsid w:val="00704387"/>
    <w:rsid w:val="007043D0"/>
    <w:rsid w:val="00705477"/>
    <w:rsid w:val="00707669"/>
    <w:rsid w:val="00711C4E"/>
    <w:rsid w:val="00711CBA"/>
    <w:rsid w:val="00711F3D"/>
    <w:rsid w:val="00711FB5"/>
    <w:rsid w:val="00712A01"/>
    <w:rsid w:val="00714F58"/>
    <w:rsid w:val="00715CEB"/>
    <w:rsid w:val="007174FF"/>
    <w:rsid w:val="00721C45"/>
    <w:rsid w:val="00722FBF"/>
    <w:rsid w:val="00722FC2"/>
    <w:rsid w:val="007240FA"/>
    <w:rsid w:val="00724E1B"/>
    <w:rsid w:val="00725949"/>
    <w:rsid w:val="00727FA2"/>
    <w:rsid w:val="00730696"/>
    <w:rsid w:val="00730FFD"/>
    <w:rsid w:val="00731054"/>
    <w:rsid w:val="007322D9"/>
    <w:rsid w:val="00732BC0"/>
    <w:rsid w:val="00733EFA"/>
    <w:rsid w:val="007369CF"/>
    <w:rsid w:val="0073720F"/>
    <w:rsid w:val="00737796"/>
    <w:rsid w:val="0074050F"/>
    <w:rsid w:val="0074086A"/>
    <w:rsid w:val="0074165C"/>
    <w:rsid w:val="00742C35"/>
    <w:rsid w:val="007432CA"/>
    <w:rsid w:val="007439EB"/>
    <w:rsid w:val="00743CB4"/>
    <w:rsid w:val="00743F0A"/>
    <w:rsid w:val="007444E8"/>
    <w:rsid w:val="00744EE0"/>
    <w:rsid w:val="0074548E"/>
    <w:rsid w:val="00745773"/>
    <w:rsid w:val="00746800"/>
    <w:rsid w:val="0074683C"/>
    <w:rsid w:val="007501A8"/>
    <w:rsid w:val="00750D61"/>
    <w:rsid w:val="00750EE1"/>
    <w:rsid w:val="007512E8"/>
    <w:rsid w:val="007526D4"/>
    <w:rsid w:val="00752A36"/>
    <w:rsid w:val="00752B4D"/>
    <w:rsid w:val="00755402"/>
    <w:rsid w:val="00755F90"/>
    <w:rsid w:val="00756B26"/>
    <w:rsid w:val="00756EDF"/>
    <w:rsid w:val="007600E3"/>
    <w:rsid w:val="0076022F"/>
    <w:rsid w:val="007648A0"/>
    <w:rsid w:val="007656A8"/>
    <w:rsid w:val="00765C43"/>
    <w:rsid w:val="00765EFB"/>
    <w:rsid w:val="00766E37"/>
    <w:rsid w:val="007671CA"/>
    <w:rsid w:val="0076722B"/>
    <w:rsid w:val="007675EB"/>
    <w:rsid w:val="00767C61"/>
    <w:rsid w:val="0077008A"/>
    <w:rsid w:val="007718E2"/>
    <w:rsid w:val="00772ECC"/>
    <w:rsid w:val="00773C1F"/>
    <w:rsid w:val="007747E3"/>
    <w:rsid w:val="00774DA4"/>
    <w:rsid w:val="00775520"/>
    <w:rsid w:val="007756F0"/>
    <w:rsid w:val="00776599"/>
    <w:rsid w:val="00777920"/>
    <w:rsid w:val="0078114B"/>
    <w:rsid w:val="00781D72"/>
    <w:rsid w:val="00781DD2"/>
    <w:rsid w:val="00781EC7"/>
    <w:rsid w:val="007836CE"/>
    <w:rsid w:val="0078385D"/>
    <w:rsid w:val="00783ECF"/>
    <w:rsid w:val="0078413A"/>
    <w:rsid w:val="007873E2"/>
    <w:rsid w:val="007877D0"/>
    <w:rsid w:val="00787D56"/>
    <w:rsid w:val="00791E96"/>
    <w:rsid w:val="0079325C"/>
    <w:rsid w:val="007953FB"/>
    <w:rsid w:val="007953FE"/>
    <w:rsid w:val="007957E3"/>
    <w:rsid w:val="007959E8"/>
    <w:rsid w:val="00795E9C"/>
    <w:rsid w:val="007A0418"/>
    <w:rsid w:val="007A0521"/>
    <w:rsid w:val="007A1513"/>
    <w:rsid w:val="007A2E12"/>
    <w:rsid w:val="007A321F"/>
    <w:rsid w:val="007A3475"/>
    <w:rsid w:val="007A41C8"/>
    <w:rsid w:val="007A54CE"/>
    <w:rsid w:val="007A61FE"/>
    <w:rsid w:val="007A6FD9"/>
    <w:rsid w:val="007A6FFB"/>
    <w:rsid w:val="007A7EC7"/>
    <w:rsid w:val="007A7FFA"/>
    <w:rsid w:val="007B0145"/>
    <w:rsid w:val="007B04EB"/>
    <w:rsid w:val="007B0D4F"/>
    <w:rsid w:val="007B16F4"/>
    <w:rsid w:val="007B1E59"/>
    <w:rsid w:val="007B397C"/>
    <w:rsid w:val="007B3B2B"/>
    <w:rsid w:val="007B3C91"/>
    <w:rsid w:val="007B5A3D"/>
    <w:rsid w:val="007B5B95"/>
    <w:rsid w:val="007B6032"/>
    <w:rsid w:val="007B68EA"/>
    <w:rsid w:val="007B6ADE"/>
    <w:rsid w:val="007B6BCD"/>
    <w:rsid w:val="007B7453"/>
    <w:rsid w:val="007C0764"/>
    <w:rsid w:val="007C2010"/>
    <w:rsid w:val="007C2D89"/>
    <w:rsid w:val="007C440F"/>
    <w:rsid w:val="007C4593"/>
    <w:rsid w:val="007C5309"/>
    <w:rsid w:val="007C6069"/>
    <w:rsid w:val="007C7451"/>
    <w:rsid w:val="007D06C4"/>
    <w:rsid w:val="007D1352"/>
    <w:rsid w:val="007D1F4C"/>
    <w:rsid w:val="007D2508"/>
    <w:rsid w:val="007D30A4"/>
    <w:rsid w:val="007D346A"/>
    <w:rsid w:val="007D498A"/>
    <w:rsid w:val="007D6518"/>
    <w:rsid w:val="007D76BD"/>
    <w:rsid w:val="007E06C9"/>
    <w:rsid w:val="007E0BF1"/>
    <w:rsid w:val="007E53B6"/>
    <w:rsid w:val="007E5444"/>
    <w:rsid w:val="007E562A"/>
    <w:rsid w:val="007E6277"/>
    <w:rsid w:val="007E6FEF"/>
    <w:rsid w:val="007F0ED8"/>
    <w:rsid w:val="007F0F63"/>
    <w:rsid w:val="007F1CDD"/>
    <w:rsid w:val="007F2817"/>
    <w:rsid w:val="007F45C4"/>
    <w:rsid w:val="007F48AA"/>
    <w:rsid w:val="007F50E1"/>
    <w:rsid w:val="007F7041"/>
    <w:rsid w:val="007F704B"/>
    <w:rsid w:val="007F75CE"/>
    <w:rsid w:val="008013A4"/>
    <w:rsid w:val="00801DB8"/>
    <w:rsid w:val="008027CE"/>
    <w:rsid w:val="00802F42"/>
    <w:rsid w:val="00804383"/>
    <w:rsid w:val="00804BB7"/>
    <w:rsid w:val="00804D41"/>
    <w:rsid w:val="008066C7"/>
    <w:rsid w:val="00806804"/>
    <w:rsid w:val="00810257"/>
    <w:rsid w:val="00810258"/>
    <w:rsid w:val="008102CC"/>
    <w:rsid w:val="008104F5"/>
    <w:rsid w:val="00811072"/>
    <w:rsid w:val="00811369"/>
    <w:rsid w:val="00814063"/>
    <w:rsid w:val="00815419"/>
    <w:rsid w:val="008163C8"/>
    <w:rsid w:val="008164A1"/>
    <w:rsid w:val="00817325"/>
    <w:rsid w:val="008209E6"/>
    <w:rsid w:val="008215A9"/>
    <w:rsid w:val="00823303"/>
    <w:rsid w:val="008233B2"/>
    <w:rsid w:val="008237F8"/>
    <w:rsid w:val="00823A9F"/>
    <w:rsid w:val="00823BFC"/>
    <w:rsid w:val="00823C85"/>
    <w:rsid w:val="0082405B"/>
    <w:rsid w:val="00825138"/>
    <w:rsid w:val="00825855"/>
    <w:rsid w:val="008269DD"/>
    <w:rsid w:val="008271FF"/>
    <w:rsid w:val="008273BB"/>
    <w:rsid w:val="00830621"/>
    <w:rsid w:val="00830CD7"/>
    <w:rsid w:val="0083199F"/>
    <w:rsid w:val="00831CB2"/>
    <w:rsid w:val="00832327"/>
    <w:rsid w:val="008328D5"/>
    <w:rsid w:val="0083348C"/>
    <w:rsid w:val="008365D6"/>
    <w:rsid w:val="00836E08"/>
    <w:rsid w:val="008370EC"/>
    <w:rsid w:val="008373D3"/>
    <w:rsid w:val="008402D7"/>
    <w:rsid w:val="00840617"/>
    <w:rsid w:val="00840A9F"/>
    <w:rsid w:val="00840F84"/>
    <w:rsid w:val="008427DA"/>
    <w:rsid w:val="00842A47"/>
    <w:rsid w:val="00843C13"/>
    <w:rsid w:val="00844699"/>
    <w:rsid w:val="008454F8"/>
    <w:rsid w:val="008514D0"/>
    <w:rsid w:val="0085173A"/>
    <w:rsid w:val="00853B2F"/>
    <w:rsid w:val="00854236"/>
    <w:rsid w:val="008546B8"/>
    <w:rsid w:val="0085668E"/>
    <w:rsid w:val="00856B52"/>
    <w:rsid w:val="00860349"/>
    <w:rsid w:val="008603CE"/>
    <w:rsid w:val="00861B04"/>
    <w:rsid w:val="008620FC"/>
    <w:rsid w:val="008627A5"/>
    <w:rsid w:val="00863E05"/>
    <w:rsid w:val="00865ACA"/>
    <w:rsid w:val="00865D28"/>
    <w:rsid w:val="00865F85"/>
    <w:rsid w:val="00867C10"/>
    <w:rsid w:val="0087040B"/>
    <w:rsid w:val="00870439"/>
    <w:rsid w:val="00870DA1"/>
    <w:rsid w:val="00871EAF"/>
    <w:rsid w:val="00872F82"/>
    <w:rsid w:val="00873D3A"/>
    <w:rsid w:val="00874B25"/>
    <w:rsid w:val="008760F0"/>
    <w:rsid w:val="008772AA"/>
    <w:rsid w:val="00881FF9"/>
    <w:rsid w:val="00883BEB"/>
    <w:rsid w:val="00883F93"/>
    <w:rsid w:val="00884DB3"/>
    <w:rsid w:val="00885A9D"/>
    <w:rsid w:val="0088600A"/>
    <w:rsid w:val="00886193"/>
    <w:rsid w:val="008864F6"/>
    <w:rsid w:val="008900C9"/>
    <w:rsid w:val="0089049D"/>
    <w:rsid w:val="0089289D"/>
    <w:rsid w:val="008928C9"/>
    <w:rsid w:val="008930CB"/>
    <w:rsid w:val="00893228"/>
    <w:rsid w:val="008938DC"/>
    <w:rsid w:val="00893FD1"/>
    <w:rsid w:val="00894836"/>
    <w:rsid w:val="00894C1A"/>
    <w:rsid w:val="00895172"/>
    <w:rsid w:val="00895680"/>
    <w:rsid w:val="00896DFF"/>
    <w:rsid w:val="00896F8A"/>
    <w:rsid w:val="0089762C"/>
    <w:rsid w:val="008A03C3"/>
    <w:rsid w:val="008A1624"/>
    <w:rsid w:val="008A173B"/>
    <w:rsid w:val="008A1893"/>
    <w:rsid w:val="008A3FE8"/>
    <w:rsid w:val="008A57E6"/>
    <w:rsid w:val="008A6F81"/>
    <w:rsid w:val="008A769A"/>
    <w:rsid w:val="008B0A91"/>
    <w:rsid w:val="008B0C9C"/>
    <w:rsid w:val="008B1557"/>
    <w:rsid w:val="008B166D"/>
    <w:rsid w:val="008B17F4"/>
    <w:rsid w:val="008B3615"/>
    <w:rsid w:val="008B4738"/>
    <w:rsid w:val="008B4AC4"/>
    <w:rsid w:val="008B50C8"/>
    <w:rsid w:val="008B5281"/>
    <w:rsid w:val="008B6EA9"/>
    <w:rsid w:val="008B7E05"/>
    <w:rsid w:val="008C0EA5"/>
    <w:rsid w:val="008C1797"/>
    <w:rsid w:val="008C1E43"/>
    <w:rsid w:val="008C219C"/>
    <w:rsid w:val="008C351E"/>
    <w:rsid w:val="008C475E"/>
    <w:rsid w:val="008C5197"/>
    <w:rsid w:val="008C619A"/>
    <w:rsid w:val="008C78C1"/>
    <w:rsid w:val="008D0880"/>
    <w:rsid w:val="008D0CE8"/>
    <w:rsid w:val="008D2D1D"/>
    <w:rsid w:val="008D3C73"/>
    <w:rsid w:val="008D450D"/>
    <w:rsid w:val="008D453D"/>
    <w:rsid w:val="008D53AD"/>
    <w:rsid w:val="008D562B"/>
    <w:rsid w:val="008D5733"/>
    <w:rsid w:val="008D5C66"/>
    <w:rsid w:val="008D5D3E"/>
    <w:rsid w:val="008D622B"/>
    <w:rsid w:val="008D666C"/>
    <w:rsid w:val="008D7B54"/>
    <w:rsid w:val="008E0882"/>
    <w:rsid w:val="008E0C9D"/>
    <w:rsid w:val="008E1648"/>
    <w:rsid w:val="008E1B3E"/>
    <w:rsid w:val="008E2319"/>
    <w:rsid w:val="008E24F1"/>
    <w:rsid w:val="008E31E0"/>
    <w:rsid w:val="008E4BB6"/>
    <w:rsid w:val="008E5518"/>
    <w:rsid w:val="008E6A84"/>
    <w:rsid w:val="008F043A"/>
    <w:rsid w:val="008F0CDC"/>
    <w:rsid w:val="008F17A3"/>
    <w:rsid w:val="008F1ED3"/>
    <w:rsid w:val="008F3464"/>
    <w:rsid w:val="008F44DC"/>
    <w:rsid w:val="008F4510"/>
    <w:rsid w:val="008F4C29"/>
    <w:rsid w:val="008F5CBF"/>
    <w:rsid w:val="008F70BD"/>
    <w:rsid w:val="008F788F"/>
    <w:rsid w:val="008F7EA2"/>
    <w:rsid w:val="00902722"/>
    <w:rsid w:val="009027BC"/>
    <w:rsid w:val="00905780"/>
    <w:rsid w:val="009058CB"/>
    <w:rsid w:val="009062E6"/>
    <w:rsid w:val="0090638C"/>
    <w:rsid w:val="00906427"/>
    <w:rsid w:val="00907B14"/>
    <w:rsid w:val="00911BE5"/>
    <w:rsid w:val="00913CA9"/>
    <w:rsid w:val="009145AE"/>
    <w:rsid w:val="009146CE"/>
    <w:rsid w:val="009148CB"/>
    <w:rsid w:val="00914CA7"/>
    <w:rsid w:val="00915384"/>
    <w:rsid w:val="00915C3E"/>
    <w:rsid w:val="009161A8"/>
    <w:rsid w:val="009212CB"/>
    <w:rsid w:val="009223DF"/>
    <w:rsid w:val="00923618"/>
    <w:rsid w:val="009245AE"/>
    <w:rsid w:val="009245F5"/>
    <w:rsid w:val="009249EC"/>
    <w:rsid w:val="00924FB6"/>
    <w:rsid w:val="00925B20"/>
    <w:rsid w:val="00925CA4"/>
    <w:rsid w:val="0092727B"/>
    <w:rsid w:val="009273B3"/>
    <w:rsid w:val="0092763C"/>
    <w:rsid w:val="009305B5"/>
    <w:rsid w:val="00930CBB"/>
    <w:rsid w:val="00931404"/>
    <w:rsid w:val="009314A4"/>
    <w:rsid w:val="009322F8"/>
    <w:rsid w:val="00935BBC"/>
    <w:rsid w:val="009370AB"/>
    <w:rsid w:val="009378DD"/>
    <w:rsid w:val="009429D5"/>
    <w:rsid w:val="00942BF1"/>
    <w:rsid w:val="0094331D"/>
    <w:rsid w:val="00944D29"/>
    <w:rsid w:val="00945180"/>
    <w:rsid w:val="00945428"/>
    <w:rsid w:val="0094607B"/>
    <w:rsid w:val="00946367"/>
    <w:rsid w:val="0095108C"/>
    <w:rsid w:val="00952426"/>
    <w:rsid w:val="00953604"/>
    <w:rsid w:val="009547AF"/>
    <w:rsid w:val="0095496B"/>
    <w:rsid w:val="00960733"/>
    <w:rsid w:val="00960F1E"/>
    <w:rsid w:val="009610DC"/>
    <w:rsid w:val="00961490"/>
    <w:rsid w:val="0096381A"/>
    <w:rsid w:val="00965E04"/>
    <w:rsid w:val="009674AD"/>
    <w:rsid w:val="009701CD"/>
    <w:rsid w:val="00970CDC"/>
    <w:rsid w:val="00972926"/>
    <w:rsid w:val="0097305F"/>
    <w:rsid w:val="0097456C"/>
    <w:rsid w:val="00975727"/>
    <w:rsid w:val="00977010"/>
    <w:rsid w:val="009772AC"/>
    <w:rsid w:val="0097786B"/>
    <w:rsid w:val="00977D02"/>
    <w:rsid w:val="00977FF9"/>
    <w:rsid w:val="009809BB"/>
    <w:rsid w:val="0098364B"/>
    <w:rsid w:val="009855C6"/>
    <w:rsid w:val="00987B45"/>
    <w:rsid w:val="009908A3"/>
    <w:rsid w:val="009911AF"/>
    <w:rsid w:val="00991875"/>
    <w:rsid w:val="00991F92"/>
    <w:rsid w:val="00992985"/>
    <w:rsid w:val="00992BC5"/>
    <w:rsid w:val="00993889"/>
    <w:rsid w:val="0099551B"/>
    <w:rsid w:val="00996BD2"/>
    <w:rsid w:val="00997BF1"/>
    <w:rsid w:val="009A060C"/>
    <w:rsid w:val="009A089C"/>
    <w:rsid w:val="009A118E"/>
    <w:rsid w:val="009A1D20"/>
    <w:rsid w:val="009A21CD"/>
    <w:rsid w:val="009A278C"/>
    <w:rsid w:val="009A2BC2"/>
    <w:rsid w:val="009A31AE"/>
    <w:rsid w:val="009A42C1"/>
    <w:rsid w:val="009A5429"/>
    <w:rsid w:val="009A72AD"/>
    <w:rsid w:val="009A78E1"/>
    <w:rsid w:val="009B09E0"/>
    <w:rsid w:val="009B0A24"/>
    <w:rsid w:val="009B0BAA"/>
    <w:rsid w:val="009B0BC5"/>
    <w:rsid w:val="009B1247"/>
    <w:rsid w:val="009B2EFA"/>
    <w:rsid w:val="009B31B3"/>
    <w:rsid w:val="009B469C"/>
    <w:rsid w:val="009B4A5E"/>
    <w:rsid w:val="009B4FB7"/>
    <w:rsid w:val="009B6029"/>
    <w:rsid w:val="009B6971"/>
    <w:rsid w:val="009C1B2D"/>
    <w:rsid w:val="009C27F1"/>
    <w:rsid w:val="009C3152"/>
    <w:rsid w:val="009C3257"/>
    <w:rsid w:val="009C346A"/>
    <w:rsid w:val="009C4CFA"/>
    <w:rsid w:val="009C5070"/>
    <w:rsid w:val="009C638C"/>
    <w:rsid w:val="009D112C"/>
    <w:rsid w:val="009D1385"/>
    <w:rsid w:val="009D2128"/>
    <w:rsid w:val="009D2178"/>
    <w:rsid w:val="009D2ED1"/>
    <w:rsid w:val="009D47FA"/>
    <w:rsid w:val="009D4C5B"/>
    <w:rsid w:val="009D50D2"/>
    <w:rsid w:val="009D5479"/>
    <w:rsid w:val="009D6BCA"/>
    <w:rsid w:val="009D6ED1"/>
    <w:rsid w:val="009E0F62"/>
    <w:rsid w:val="009E45DC"/>
    <w:rsid w:val="009E4A58"/>
    <w:rsid w:val="009E5A2D"/>
    <w:rsid w:val="009E5AB2"/>
    <w:rsid w:val="009E6219"/>
    <w:rsid w:val="009E7342"/>
    <w:rsid w:val="009F03B3"/>
    <w:rsid w:val="009F33F4"/>
    <w:rsid w:val="009F70BD"/>
    <w:rsid w:val="009F7D1D"/>
    <w:rsid w:val="00A0096C"/>
    <w:rsid w:val="00A00B6F"/>
    <w:rsid w:val="00A01757"/>
    <w:rsid w:val="00A028C0"/>
    <w:rsid w:val="00A0298E"/>
    <w:rsid w:val="00A02BAE"/>
    <w:rsid w:val="00A06271"/>
    <w:rsid w:val="00A06A6B"/>
    <w:rsid w:val="00A06EFB"/>
    <w:rsid w:val="00A0719C"/>
    <w:rsid w:val="00A07574"/>
    <w:rsid w:val="00A07AFD"/>
    <w:rsid w:val="00A07E47"/>
    <w:rsid w:val="00A07FA6"/>
    <w:rsid w:val="00A10088"/>
    <w:rsid w:val="00A11CAB"/>
    <w:rsid w:val="00A129D0"/>
    <w:rsid w:val="00A12C33"/>
    <w:rsid w:val="00A138BA"/>
    <w:rsid w:val="00A14C8E"/>
    <w:rsid w:val="00A153D9"/>
    <w:rsid w:val="00A15F09"/>
    <w:rsid w:val="00A1642F"/>
    <w:rsid w:val="00A169B6"/>
    <w:rsid w:val="00A16D3B"/>
    <w:rsid w:val="00A20B62"/>
    <w:rsid w:val="00A20DF0"/>
    <w:rsid w:val="00A2271D"/>
    <w:rsid w:val="00A237D5"/>
    <w:rsid w:val="00A2395E"/>
    <w:rsid w:val="00A2434B"/>
    <w:rsid w:val="00A25037"/>
    <w:rsid w:val="00A26A0D"/>
    <w:rsid w:val="00A2706C"/>
    <w:rsid w:val="00A30EFC"/>
    <w:rsid w:val="00A31984"/>
    <w:rsid w:val="00A32238"/>
    <w:rsid w:val="00A327B0"/>
    <w:rsid w:val="00A32D73"/>
    <w:rsid w:val="00A3367B"/>
    <w:rsid w:val="00A3402A"/>
    <w:rsid w:val="00A3597D"/>
    <w:rsid w:val="00A36DD1"/>
    <w:rsid w:val="00A37860"/>
    <w:rsid w:val="00A4006C"/>
    <w:rsid w:val="00A40091"/>
    <w:rsid w:val="00A4030F"/>
    <w:rsid w:val="00A41C79"/>
    <w:rsid w:val="00A41CB5"/>
    <w:rsid w:val="00A42913"/>
    <w:rsid w:val="00A42CDF"/>
    <w:rsid w:val="00A4452E"/>
    <w:rsid w:val="00A4472C"/>
    <w:rsid w:val="00A44E69"/>
    <w:rsid w:val="00A462A5"/>
    <w:rsid w:val="00A4661E"/>
    <w:rsid w:val="00A500D8"/>
    <w:rsid w:val="00A52A97"/>
    <w:rsid w:val="00A547B2"/>
    <w:rsid w:val="00A54C3C"/>
    <w:rsid w:val="00A54FA5"/>
    <w:rsid w:val="00A55BD6"/>
    <w:rsid w:val="00A55D50"/>
    <w:rsid w:val="00A5646C"/>
    <w:rsid w:val="00A56AD3"/>
    <w:rsid w:val="00A57142"/>
    <w:rsid w:val="00A61A24"/>
    <w:rsid w:val="00A648CD"/>
    <w:rsid w:val="00A64FC8"/>
    <w:rsid w:val="00A6537A"/>
    <w:rsid w:val="00A6631D"/>
    <w:rsid w:val="00A67866"/>
    <w:rsid w:val="00A70B07"/>
    <w:rsid w:val="00A723F8"/>
    <w:rsid w:val="00A74026"/>
    <w:rsid w:val="00A76AA6"/>
    <w:rsid w:val="00A77345"/>
    <w:rsid w:val="00A77CCB"/>
    <w:rsid w:val="00A77ED9"/>
    <w:rsid w:val="00A81EB6"/>
    <w:rsid w:val="00A81FF8"/>
    <w:rsid w:val="00A8292E"/>
    <w:rsid w:val="00A832C3"/>
    <w:rsid w:val="00A83D8D"/>
    <w:rsid w:val="00A8446B"/>
    <w:rsid w:val="00A8473F"/>
    <w:rsid w:val="00A85693"/>
    <w:rsid w:val="00A862D6"/>
    <w:rsid w:val="00A869C6"/>
    <w:rsid w:val="00A8715E"/>
    <w:rsid w:val="00A871AA"/>
    <w:rsid w:val="00A91CE8"/>
    <w:rsid w:val="00A9295B"/>
    <w:rsid w:val="00A93386"/>
    <w:rsid w:val="00A937DB"/>
    <w:rsid w:val="00A93B09"/>
    <w:rsid w:val="00A94750"/>
    <w:rsid w:val="00A9511D"/>
    <w:rsid w:val="00A952D7"/>
    <w:rsid w:val="00A9583B"/>
    <w:rsid w:val="00A963F7"/>
    <w:rsid w:val="00A96AD8"/>
    <w:rsid w:val="00A97131"/>
    <w:rsid w:val="00AA052C"/>
    <w:rsid w:val="00AA0765"/>
    <w:rsid w:val="00AA1E45"/>
    <w:rsid w:val="00AA25BA"/>
    <w:rsid w:val="00AA2E51"/>
    <w:rsid w:val="00AA2E52"/>
    <w:rsid w:val="00AA3E06"/>
    <w:rsid w:val="00AA4286"/>
    <w:rsid w:val="00AA456B"/>
    <w:rsid w:val="00AA5268"/>
    <w:rsid w:val="00AA57F5"/>
    <w:rsid w:val="00AA634D"/>
    <w:rsid w:val="00AA6360"/>
    <w:rsid w:val="00AA672E"/>
    <w:rsid w:val="00AA6EC9"/>
    <w:rsid w:val="00AB09C3"/>
    <w:rsid w:val="00AB6309"/>
    <w:rsid w:val="00AB6C5F"/>
    <w:rsid w:val="00AB6EFF"/>
    <w:rsid w:val="00AB7129"/>
    <w:rsid w:val="00AC27A6"/>
    <w:rsid w:val="00AC2D19"/>
    <w:rsid w:val="00AC30F7"/>
    <w:rsid w:val="00AC3A49"/>
    <w:rsid w:val="00AC3A5A"/>
    <w:rsid w:val="00AC49CC"/>
    <w:rsid w:val="00AC4D95"/>
    <w:rsid w:val="00AC5DF4"/>
    <w:rsid w:val="00AC5F51"/>
    <w:rsid w:val="00AC6871"/>
    <w:rsid w:val="00AC7288"/>
    <w:rsid w:val="00AC7BFA"/>
    <w:rsid w:val="00AD06B2"/>
    <w:rsid w:val="00AD0AEF"/>
    <w:rsid w:val="00AD11B7"/>
    <w:rsid w:val="00AD1A94"/>
    <w:rsid w:val="00AD1C05"/>
    <w:rsid w:val="00AD2C31"/>
    <w:rsid w:val="00AD4126"/>
    <w:rsid w:val="00AD421C"/>
    <w:rsid w:val="00AD427F"/>
    <w:rsid w:val="00AD44FA"/>
    <w:rsid w:val="00AD4ED1"/>
    <w:rsid w:val="00AD56ED"/>
    <w:rsid w:val="00AD5A0B"/>
    <w:rsid w:val="00AE070A"/>
    <w:rsid w:val="00AE072B"/>
    <w:rsid w:val="00AE0BDC"/>
    <w:rsid w:val="00AE101C"/>
    <w:rsid w:val="00AE17F1"/>
    <w:rsid w:val="00AE1CA1"/>
    <w:rsid w:val="00AE2977"/>
    <w:rsid w:val="00AE2A14"/>
    <w:rsid w:val="00AE2A69"/>
    <w:rsid w:val="00AE37E5"/>
    <w:rsid w:val="00AE4526"/>
    <w:rsid w:val="00AE542C"/>
    <w:rsid w:val="00AE5483"/>
    <w:rsid w:val="00AE5EB4"/>
    <w:rsid w:val="00AE67B8"/>
    <w:rsid w:val="00AE6876"/>
    <w:rsid w:val="00AE689F"/>
    <w:rsid w:val="00AF0C18"/>
    <w:rsid w:val="00AF0E0E"/>
    <w:rsid w:val="00AF3331"/>
    <w:rsid w:val="00AF3DE5"/>
    <w:rsid w:val="00AF47C5"/>
    <w:rsid w:val="00AF4F5B"/>
    <w:rsid w:val="00AF5398"/>
    <w:rsid w:val="00AF57F2"/>
    <w:rsid w:val="00AF792A"/>
    <w:rsid w:val="00B00817"/>
    <w:rsid w:val="00B03F83"/>
    <w:rsid w:val="00B04139"/>
    <w:rsid w:val="00B049AF"/>
    <w:rsid w:val="00B061C9"/>
    <w:rsid w:val="00B0628E"/>
    <w:rsid w:val="00B06DD9"/>
    <w:rsid w:val="00B07242"/>
    <w:rsid w:val="00B076FF"/>
    <w:rsid w:val="00B1035F"/>
    <w:rsid w:val="00B10534"/>
    <w:rsid w:val="00B10F48"/>
    <w:rsid w:val="00B113DB"/>
    <w:rsid w:val="00B11D8A"/>
    <w:rsid w:val="00B12981"/>
    <w:rsid w:val="00B133DD"/>
    <w:rsid w:val="00B13A8A"/>
    <w:rsid w:val="00B147DD"/>
    <w:rsid w:val="00B156FD"/>
    <w:rsid w:val="00B161D7"/>
    <w:rsid w:val="00B16513"/>
    <w:rsid w:val="00B1692E"/>
    <w:rsid w:val="00B16C34"/>
    <w:rsid w:val="00B20E0B"/>
    <w:rsid w:val="00B217F6"/>
    <w:rsid w:val="00B21F61"/>
    <w:rsid w:val="00B261F1"/>
    <w:rsid w:val="00B265BC"/>
    <w:rsid w:val="00B268A9"/>
    <w:rsid w:val="00B3113B"/>
    <w:rsid w:val="00B311FA"/>
    <w:rsid w:val="00B31FB1"/>
    <w:rsid w:val="00B32B1E"/>
    <w:rsid w:val="00B33952"/>
    <w:rsid w:val="00B33C5E"/>
    <w:rsid w:val="00B342F4"/>
    <w:rsid w:val="00B34369"/>
    <w:rsid w:val="00B349CA"/>
    <w:rsid w:val="00B34C3E"/>
    <w:rsid w:val="00B34DC2"/>
    <w:rsid w:val="00B378E5"/>
    <w:rsid w:val="00B419AC"/>
    <w:rsid w:val="00B41B82"/>
    <w:rsid w:val="00B42C1F"/>
    <w:rsid w:val="00B4346D"/>
    <w:rsid w:val="00B440F4"/>
    <w:rsid w:val="00B447A5"/>
    <w:rsid w:val="00B4543B"/>
    <w:rsid w:val="00B4654C"/>
    <w:rsid w:val="00B47293"/>
    <w:rsid w:val="00B47E11"/>
    <w:rsid w:val="00B50E50"/>
    <w:rsid w:val="00B52120"/>
    <w:rsid w:val="00B54ABC"/>
    <w:rsid w:val="00B556DB"/>
    <w:rsid w:val="00B560D6"/>
    <w:rsid w:val="00B56FBE"/>
    <w:rsid w:val="00B57B83"/>
    <w:rsid w:val="00B60ACF"/>
    <w:rsid w:val="00B6120D"/>
    <w:rsid w:val="00B61F8E"/>
    <w:rsid w:val="00B623DB"/>
    <w:rsid w:val="00B62B58"/>
    <w:rsid w:val="00B630E4"/>
    <w:rsid w:val="00B65149"/>
    <w:rsid w:val="00B656D0"/>
    <w:rsid w:val="00B66567"/>
    <w:rsid w:val="00B66F52"/>
    <w:rsid w:val="00B66FE5"/>
    <w:rsid w:val="00B70483"/>
    <w:rsid w:val="00B72880"/>
    <w:rsid w:val="00B7409A"/>
    <w:rsid w:val="00B74CB4"/>
    <w:rsid w:val="00B758BF"/>
    <w:rsid w:val="00B75E6E"/>
    <w:rsid w:val="00B7617C"/>
    <w:rsid w:val="00B766DB"/>
    <w:rsid w:val="00B77EC8"/>
    <w:rsid w:val="00B827A6"/>
    <w:rsid w:val="00B831CE"/>
    <w:rsid w:val="00B83217"/>
    <w:rsid w:val="00B85E86"/>
    <w:rsid w:val="00B86624"/>
    <w:rsid w:val="00B86677"/>
    <w:rsid w:val="00B86FED"/>
    <w:rsid w:val="00B87131"/>
    <w:rsid w:val="00B936A5"/>
    <w:rsid w:val="00B939B1"/>
    <w:rsid w:val="00B96D40"/>
    <w:rsid w:val="00B97386"/>
    <w:rsid w:val="00BA121F"/>
    <w:rsid w:val="00BA263B"/>
    <w:rsid w:val="00BA429A"/>
    <w:rsid w:val="00BA42B2"/>
    <w:rsid w:val="00BA4B0A"/>
    <w:rsid w:val="00BA58D4"/>
    <w:rsid w:val="00BA5B9E"/>
    <w:rsid w:val="00BA7985"/>
    <w:rsid w:val="00BA7C9A"/>
    <w:rsid w:val="00BB29D6"/>
    <w:rsid w:val="00BB33BE"/>
    <w:rsid w:val="00BB5F8F"/>
    <w:rsid w:val="00BB657A"/>
    <w:rsid w:val="00BB77E2"/>
    <w:rsid w:val="00BC14D9"/>
    <w:rsid w:val="00BC1A4E"/>
    <w:rsid w:val="00BC4DBD"/>
    <w:rsid w:val="00BC5DC7"/>
    <w:rsid w:val="00BC6B8B"/>
    <w:rsid w:val="00BC6E9F"/>
    <w:rsid w:val="00BC73D8"/>
    <w:rsid w:val="00BD1B56"/>
    <w:rsid w:val="00BD20F3"/>
    <w:rsid w:val="00BD2868"/>
    <w:rsid w:val="00BD46A0"/>
    <w:rsid w:val="00BD4C74"/>
    <w:rsid w:val="00BD4CA6"/>
    <w:rsid w:val="00BD4F88"/>
    <w:rsid w:val="00BD52D7"/>
    <w:rsid w:val="00BD5AD2"/>
    <w:rsid w:val="00BD5B4B"/>
    <w:rsid w:val="00BD6FA3"/>
    <w:rsid w:val="00BD7AAB"/>
    <w:rsid w:val="00BE1E54"/>
    <w:rsid w:val="00BE22F3"/>
    <w:rsid w:val="00BE2A8F"/>
    <w:rsid w:val="00BE4FCA"/>
    <w:rsid w:val="00BE5B52"/>
    <w:rsid w:val="00BE6605"/>
    <w:rsid w:val="00BE7816"/>
    <w:rsid w:val="00BE7B8D"/>
    <w:rsid w:val="00BE7C0F"/>
    <w:rsid w:val="00BF0993"/>
    <w:rsid w:val="00BF10A9"/>
    <w:rsid w:val="00BF1703"/>
    <w:rsid w:val="00BF2264"/>
    <w:rsid w:val="00BF231C"/>
    <w:rsid w:val="00BF27A2"/>
    <w:rsid w:val="00BF3303"/>
    <w:rsid w:val="00BF51E5"/>
    <w:rsid w:val="00BF5771"/>
    <w:rsid w:val="00BF5F57"/>
    <w:rsid w:val="00BF68B2"/>
    <w:rsid w:val="00BF72FD"/>
    <w:rsid w:val="00BF74A6"/>
    <w:rsid w:val="00BF7EE9"/>
    <w:rsid w:val="00C0045D"/>
    <w:rsid w:val="00C013AD"/>
    <w:rsid w:val="00C01A72"/>
    <w:rsid w:val="00C01FCD"/>
    <w:rsid w:val="00C03763"/>
    <w:rsid w:val="00C04904"/>
    <w:rsid w:val="00C056B3"/>
    <w:rsid w:val="00C05C43"/>
    <w:rsid w:val="00C103E5"/>
    <w:rsid w:val="00C1086A"/>
    <w:rsid w:val="00C12AD6"/>
    <w:rsid w:val="00C13319"/>
    <w:rsid w:val="00C13EE9"/>
    <w:rsid w:val="00C143D8"/>
    <w:rsid w:val="00C1687C"/>
    <w:rsid w:val="00C1705F"/>
    <w:rsid w:val="00C17630"/>
    <w:rsid w:val="00C17B05"/>
    <w:rsid w:val="00C20018"/>
    <w:rsid w:val="00C21540"/>
    <w:rsid w:val="00C21906"/>
    <w:rsid w:val="00C21BFA"/>
    <w:rsid w:val="00C22F98"/>
    <w:rsid w:val="00C2408D"/>
    <w:rsid w:val="00C244A7"/>
    <w:rsid w:val="00C24C8D"/>
    <w:rsid w:val="00C24CC4"/>
    <w:rsid w:val="00C25FE2"/>
    <w:rsid w:val="00C26B53"/>
    <w:rsid w:val="00C276A5"/>
    <w:rsid w:val="00C279B2"/>
    <w:rsid w:val="00C3207A"/>
    <w:rsid w:val="00C33E50"/>
    <w:rsid w:val="00C34C20"/>
    <w:rsid w:val="00C35A3E"/>
    <w:rsid w:val="00C42130"/>
    <w:rsid w:val="00C421F2"/>
    <w:rsid w:val="00C423A4"/>
    <w:rsid w:val="00C423E3"/>
    <w:rsid w:val="00C42897"/>
    <w:rsid w:val="00C44A43"/>
    <w:rsid w:val="00C44BF5"/>
    <w:rsid w:val="00C46C22"/>
    <w:rsid w:val="00C46D11"/>
    <w:rsid w:val="00C47565"/>
    <w:rsid w:val="00C47CE0"/>
    <w:rsid w:val="00C50379"/>
    <w:rsid w:val="00C50D29"/>
    <w:rsid w:val="00C5146B"/>
    <w:rsid w:val="00C521D6"/>
    <w:rsid w:val="00C53657"/>
    <w:rsid w:val="00C55232"/>
    <w:rsid w:val="00C553A4"/>
    <w:rsid w:val="00C55A06"/>
    <w:rsid w:val="00C55D03"/>
    <w:rsid w:val="00C601BC"/>
    <w:rsid w:val="00C61118"/>
    <w:rsid w:val="00C62E25"/>
    <w:rsid w:val="00C6329F"/>
    <w:rsid w:val="00C63340"/>
    <w:rsid w:val="00C6391F"/>
    <w:rsid w:val="00C63C44"/>
    <w:rsid w:val="00C643F9"/>
    <w:rsid w:val="00C64E95"/>
    <w:rsid w:val="00C677C3"/>
    <w:rsid w:val="00C70850"/>
    <w:rsid w:val="00C71372"/>
    <w:rsid w:val="00C71739"/>
    <w:rsid w:val="00C72410"/>
    <w:rsid w:val="00C7275C"/>
    <w:rsid w:val="00C7287F"/>
    <w:rsid w:val="00C73FB9"/>
    <w:rsid w:val="00C74F88"/>
    <w:rsid w:val="00C761D8"/>
    <w:rsid w:val="00C80CB8"/>
    <w:rsid w:val="00C819F8"/>
    <w:rsid w:val="00C8248C"/>
    <w:rsid w:val="00C84E33"/>
    <w:rsid w:val="00C85613"/>
    <w:rsid w:val="00C86D6F"/>
    <w:rsid w:val="00C905FC"/>
    <w:rsid w:val="00C91255"/>
    <w:rsid w:val="00C92D03"/>
    <w:rsid w:val="00C9319C"/>
    <w:rsid w:val="00C9435D"/>
    <w:rsid w:val="00C9459D"/>
    <w:rsid w:val="00C94DF2"/>
    <w:rsid w:val="00C957A8"/>
    <w:rsid w:val="00C961A3"/>
    <w:rsid w:val="00C96741"/>
    <w:rsid w:val="00C97CA8"/>
    <w:rsid w:val="00CA0EC2"/>
    <w:rsid w:val="00CA1368"/>
    <w:rsid w:val="00CA2D1B"/>
    <w:rsid w:val="00CA2EB1"/>
    <w:rsid w:val="00CA3066"/>
    <w:rsid w:val="00CA30A7"/>
    <w:rsid w:val="00CA375D"/>
    <w:rsid w:val="00CA40FE"/>
    <w:rsid w:val="00CA42FC"/>
    <w:rsid w:val="00CA4A25"/>
    <w:rsid w:val="00CA5B9D"/>
    <w:rsid w:val="00CA5DEE"/>
    <w:rsid w:val="00CA6007"/>
    <w:rsid w:val="00CA662A"/>
    <w:rsid w:val="00CA7AFD"/>
    <w:rsid w:val="00CA7C3C"/>
    <w:rsid w:val="00CB0189"/>
    <w:rsid w:val="00CB0BA2"/>
    <w:rsid w:val="00CB1A42"/>
    <w:rsid w:val="00CB1B0C"/>
    <w:rsid w:val="00CB1CAC"/>
    <w:rsid w:val="00CB2C0B"/>
    <w:rsid w:val="00CB37F4"/>
    <w:rsid w:val="00CB3956"/>
    <w:rsid w:val="00CB4072"/>
    <w:rsid w:val="00CB470C"/>
    <w:rsid w:val="00CB517D"/>
    <w:rsid w:val="00CB7F7C"/>
    <w:rsid w:val="00CC00A2"/>
    <w:rsid w:val="00CC038D"/>
    <w:rsid w:val="00CC08DB"/>
    <w:rsid w:val="00CC0CB3"/>
    <w:rsid w:val="00CC14D4"/>
    <w:rsid w:val="00CC222A"/>
    <w:rsid w:val="00CC2616"/>
    <w:rsid w:val="00CC39FF"/>
    <w:rsid w:val="00CC3C2F"/>
    <w:rsid w:val="00CC4AC8"/>
    <w:rsid w:val="00CC5233"/>
    <w:rsid w:val="00CC5DE6"/>
    <w:rsid w:val="00CC66C4"/>
    <w:rsid w:val="00CC6E4E"/>
    <w:rsid w:val="00CC6FE8"/>
    <w:rsid w:val="00CC7202"/>
    <w:rsid w:val="00CC79E8"/>
    <w:rsid w:val="00CD26F2"/>
    <w:rsid w:val="00CD2771"/>
    <w:rsid w:val="00CD2808"/>
    <w:rsid w:val="00CD28BF"/>
    <w:rsid w:val="00CD28F6"/>
    <w:rsid w:val="00CD3585"/>
    <w:rsid w:val="00CD4092"/>
    <w:rsid w:val="00CD4A20"/>
    <w:rsid w:val="00CD50A1"/>
    <w:rsid w:val="00CD519E"/>
    <w:rsid w:val="00CD5642"/>
    <w:rsid w:val="00CD7BDB"/>
    <w:rsid w:val="00CE0A1F"/>
    <w:rsid w:val="00CE0C4F"/>
    <w:rsid w:val="00CE1825"/>
    <w:rsid w:val="00CE19C3"/>
    <w:rsid w:val="00CE30EA"/>
    <w:rsid w:val="00CE58C5"/>
    <w:rsid w:val="00CE6F60"/>
    <w:rsid w:val="00CE77BD"/>
    <w:rsid w:val="00CF048A"/>
    <w:rsid w:val="00CF155A"/>
    <w:rsid w:val="00CF2947"/>
    <w:rsid w:val="00CF686F"/>
    <w:rsid w:val="00CF6E60"/>
    <w:rsid w:val="00CF7BCA"/>
    <w:rsid w:val="00D008FD"/>
    <w:rsid w:val="00D01651"/>
    <w:rsid w:val="00D0181D"/>
    <w:rsid w:val="00D0321C"/>
    <w:rsid w:val="00D035EC"/>
    <w:rsid w:val="00D04CD8"/>
    <w:rsid w:val="00D058F0"/>
    <w:rsid w:val="00D06AB1"/>
    <w:rsid w:val="00D06FC1"/>
    <w:rsid w:val="00D072ED"/>
    <w:rsid w:val="00D07A16"/>
    <w:rsid w:val="00D1067E"/>
    <w:rsid w:val="00D10A4C"/>
    <w:rsid w:val="00D10F50"/>
    <w:rsid w:val="00D11272"/>
    <w:rsid w:val="00D126F5"/>
    <w:rsid w:val="00D1489E"/>
    <w:rsid w:val="00D15843"/>
    <w:rsid w:val="00D20737"/>
    <w:rsid w:val="00D21A6F"/>
    <w:rsid w:val="00D21E81"/>
    <w:rsid w:val="00D223DE"/>
    <w:rsid w:val="00D23351"/>
    <w:rsid w:val="00D244A8"/>
    <w:rsid w:val="00D2455D"/>
    <w:rsid w:val="00D25E37"/>
    <w:rsid w:val="00D2661A"/>
    <w:rsid w:val="00D266DF"/>
    <w:rsid w:val="00D27123"/>
    <w:rsid w:val="00D27582"/>
    <w:rsid w:val="00D27E2B"/>
    <w:rsid w:val="00D27EC4"/>
    <w:rsid w:val="00D31AAE"/>
    <w:rsid w:val="00D32719"/>
    <w:rsid w:val="00D33333"/>
    <w:rsid w:val="00D33B38"/>
    <w:rsid w:val="00D34E62"/>
    <w:rsid w:val="00D352A2"/>
    <w:rsid w:val="00D3537B"/>
    <w:rsid w:val="00D3773F"/>
    <w:rsid w:val="00D37781"/>
    <w:rsid w:val="00D37E39"/>
    <w:rsid w:val="00D4162B"/>
    <w:rsid w:val="00D42369"/>
    <w:rsid w:val="00D4514F"/>
    <w:rsid w:val="00D451E2"/>
    <w:rsid w:val="00D45E89"/>
    <w:rsid w:val="00D45E8D"/>
    <w:rsid w:val="00D466AE"/>
    <w:rsid w:val="00D4734F"/>
    <w:rsid w:val="00D479B4"/>
    <w:rsid w:val="00D5043F"/>
    <w:rsid w:val="00D51BF3"/>
    <w:rsid w:val="00D524F6"/>
    <w:rsid w:val="00D5369A"/>
    <w:rsid w:val="00D53B6A"/>
    <w:rsid w:val="00D53C27"/>
    <w:rsid w:val="00D54A5A"/>
    <w:rsid w:val="00D60D57"/>
    <w:rsid w:val="00D6546A"/>
    <w:rsid w:val="00D66846"/>
    <w:rsid w:val="00D675FB"/>
    <w:rsid w:val="00D70623"/>
    <w:rsid w:val="00D70E75"/>
    <w:rsid w:val="00D716F4"/>
    <w:rsid w:val="00D71A93"/>
    <w:rsid w:val="00D71F25"/>
    <w:rsid w:val="00D72A9C"/>
    <w:rsid w:val="00D73E91"/>
    <w:rsid w:val="00D746D8"/>
    <w:rsid w:val="00D762D5"/>
    <w:rsid w:val="00D77031"/>
    <w:rsid w:val="00D84941"/>
    <w:rsid w:val="00D84FA1"/>
    <w:rsid w:val="00D851F0"/>
    <w:rsid w:val="00D86DB7"/>
    <w:rsid w:val="00D87BF5"/>
    <w:rsid w:val="00D90721"/>
    <w:rsid w:val="00D926D0"/>
    <w:rsid w:val="00D93030"/>
    <w:rsid w:val="00D950E1"/>
    <w:rsid w:val="00D952A6"/>
    <w:rsid w:val="00D9673C"/>
    <w:rsid w:val="00D97F2C"/>
    <w:rsid w:val="00D97F99"/>
    <w:rsid w:val="00DA1298"/>
    <w:rsid w:val="00DA1E08"/>
    <w:rsid w:val="00DA24F8"/>
    <w:rsid w:val="00DA28E8"/>
    <w:rsid w:val="00DA38D3"/>
    <w:rsid w:val="00DA3932"/>
    <w:rsid w:val="00DA3AFC"/>
    <w:rsid w:val="00DA4D11"/>
    <w:rsid w:val="00DA4E55"/>
    <w:rsid w:val="00DA64F8"/>
    <w:rsid w:val="00DA6C15"/>
    <w:rsid w:val="00DB0258"/>
    <w:rsid w:val="00DB38EE"/>
    <w:rsid w:val="00DB498B"/>
    <w:rsid w:val="00DB4A9A"/>
    <w:rsid w:val="00DB66CA"/>
    <w:rsid w:val="00DB6BCA"/>
    <w:rsid w:val="00DB6F54"/>
    <w:rsid w:val="00DB73F7"/>
    <w:rsid w:val="00DC0321"/>
    <w:rsid w:val="00DC3067"/>
    <w:rsid w:val="00DC3146"/>
    <w:rsid w:val="00DC34AB"/>
    <w:rsid w:val="00DC370B"/>
    <w:rsid w:val="00DC5B90"/>
    <w:rsid w:val="00DC6978"/>
    <w:rsid w:val="00DC6D5C"/>
    <w:rsid w:val="00DD00FF"/>
    <w:rsid w:val="00DD0619"/>
    <w:rsid w:val="00DD07FB"/>
    <w:rsid w:val="00DD1083"/>
    <w:rsid w:val="00DD25C6"/>
    <w:rsid w:val="00DD2652"/>
    <w:rsid w:val="00DD32A6"/>
    <w:rsid w:val="00DD44B8"/>
    <w:rsid w:val="00DD4FE5"/>
    <w:rsid w:val="00DD53A9"/>
    <w:rsid w:val="00DD54B0"/>
    <w:rsid w:val="00DD55D1"/>
    <w:rsid w:val="00DD57EE"/>
    <w:rsid w:val="00DD6BCC"/>
    <w:rsid w:val="00DD6D5E"/>
    <w:rsid w:val="00DE0A4B"/>
    <w:rsid w:val="00DE2410"/>
    <w:rsid w:val="00DE2939"/>
    <w:rsid w:val="00DE2B4E"/>
    <w:rsid w:val="00DE4850"/>
    <w:rsid w:val="00DE6E81"/>
    <w:rsid w:val="00DE703F"/>
    <w:rsid w:val="00DE72B0"/>
    <w:rsid w:val="00DE74FD"/>
    <w:rsid w:val="00DE7595"/>
    <w:rsid w:val="00DF039D"/>
    <w:rsid w:val="00DF17F0"/>
    <w:rsid w:val="00DF1961"/>
    <w:rsid w:val="00DF25AC"/>
    <w:rsid w:val="00DF2B56"/>
    <w:rsid w:val="00DF39F2"/>
    <w:rsid w:val="00DF3F7D"/>
    <w:rsid w:val="00DF44DE"/>
    <w:rsid w:val="00DF5BA9"/>
    <w:rsid w:val="00DF5C77"/>
    <w:rsid w:val="00DF6B6B"/>
    <w:rsid w:val="00E01138"/>
    <w:rsid w:val="00E02DFB"/>
    <w:rsid w:val="00E030F9"/>
    <w:rsid w:val="00E0311A"/>
    <w:rsid w:val="00E03138"/>
    <w:rsid w:val="00E03C2E"/>
    <w:rsid w:val="00E048B3"/>
    <w:rsid w:val="00E05A47"/>
    <w:rsid w:val="00E06404"/>
    <w:rsid w:val="00E11A85"/>
    <w:rsid w:val="00E123E6"/>
    <w:rsid w:val="00E12495"/>
    <w:rsid w:val="00E144B7"/>
    <w:rsid w:val="00E15CCD"/>
    <w:rsid w:val="00E202EF"/>
    <w:rsid w:val="00E2066B"/>
    <w:rsid w:val="00E210B5"/>
    <w:rsid w:val="00E22AB8"/>
    <w:rsid w:val="00E2552F"/>
    <w:rsid w:val="00E26C3F"/>
    <w:rsid w:val="00E2705F"/>
    <w:rsid w:val="00E27239"/>
    <w:rsid w:val="00E27BB2"/>
    <w:rsid w:val="00E300B7"/>
    <w:rsid w:val="00E3137A"/>
    <w:rsid w:val="00E32CCF"/>
    <w:rsid w:val="00E34A98"/>
    <w:rsid w:val="00E35344"/>
    <w:rsid w:val="00E353B5"/>
    <w:rsid w:val="00E35B2D"/>
    <w:rsid w:val="00E35D1E"/>
    <w:rsid w:val="00E364F9"/>
    <w:rsid w:val="00E365FA"/>
    <w:rsid w:val="00E36789"/>
    <w:rsid w:val="00E36E46"/>
    <w:rsid w:val="00E40E67"/>
    <w:rsid w:val="00E40F26"/>
    <w:rsid w:val="00E422A8"/>
    <w:rsid w:val="00E4380D"/>
    <w:rsid w:val="00E44A83"/>
    <w:rsid w:val="00E44BAB"/>
    <w:rsid w:val="00E502C1"/>
    <w:rsid w:val="00E502DD"/>
    <w:rsid w:val="00E50D3A"/>
    <w:rsid w:val="00E51387"/>
    <w:rsid w:val="00E51BDD"/>
    <w:rsid w:val="00E51E68"/>
    <w:rsid w:val="00E52EFD"/>
    <w:rsid w:val="00E5408A"/>
    <w:rsid w:val="00E55560"/>
    <w:rsid w:val="00E56800"/>
    <w:rsid w:val="00E60C63"/>
    <w:rsid w:val="00E626B4"/>
    <w:rsid w:val="00E62FF9"/>
    <w:rsid w:val="00E635D6"/>
    <w:rsid w:val="00E636E8"/>
    <w:rsid w:val="00E639BC"/>
    <w:rsid w:val="00E64796"/>
    <w:rsid w:val="00E65F26"/>
    <w:rsid w:val="00E65F57"/>
    <w:rsid w:val="00E664CC"/>
    <w:rsid w:val="00E67547"/>
    <w:rsid w:val="00E70388"/>
    <w:rsid w:val="00E70F92"/>
    <w:rsid w:val="00E715BA"/>
    <w:rsid w:val="00E73289"/>
    <w:rsid w:val="00E74313"/>
    <w:rsid w:val="00E74C54"/>
    <w:rsid w:val="00E7521A"/>
    <w:rsid w:val="00E76E23"/>
    <w:rsid w:val="00E773D4"/>
    <w:rsid w:val="00E77A03"/>
    <w:rsid w:val="00E816FA"/>
    <w:rsid w:val="00E822E8"/>
    <w:rsid w:val="00E82554"/>
    <w:rsid w:val="00E82606"/>
    <w:rsid w:val="00E831C1"/>
    <w:rsid w:val="00E846C8"/>
    <w:rsid w:val="00E84957"/>
    <w:rsid w:val="00E84A55"/>
    <w:rsid w:val="00E84C0F"/>
    <w:rsid w:val="00E84F92"/>
    <w:rsid w:val="00E85BFF"/>
    <w:rsid w:val="00E86C00"/>
    <w:rsid w:val="00E9028F"/>
    <w:rsid w:val="00E90391"/>
    <w:rsid w:val="00E906C2"/>
    <w:rsid w:val="00E907EF"/>
    <w:rsid w:val="00E91C8B"/>
    <w:rsid w:val="00E9311F"/>
    <w:rsid w:val="00E934D1"/>
    <w:rsid w:val="00E94AF0"/>
    <w:rsid w:val="00E95D13"/>
    <w:rsid w:val="00E95DD3"/>
    <w:rsid w:val="00E969D5"/>
    <w:rsid w:val="00EA0C1E"/>
    <w:rsid w:val="00EA29AA"/>
    <w:rsid w:val="00EA29FB"/>
    <w:rsid w:val="00EA2EC6"/>
    <w:rsid w:val="00EA3BC8"/>
    <w:rsid w:val="00EA58D1"/>
    <w:rsid w:val="00EA61BC"/>
    <w:rsid w:val="00EA681A"/>
    <w:rsid w:val="00EA735B"/>
    <w:rsid w:val="00EB1E69"/>
    <w:rsid w:val="00EB2086"/>
    <w:rsid w:val="00EB2BB6"/>
    <w:rsid w:val="00EB31ED"/>
    <w:rsid w:val="00EB3BFB"/>
    <w:rsid w:val="00EB4F79"/>
    <w:rsid w:val="00EB5561"/>
    <w:rsid w:val="00EB5EDF"/>
    <w:rsid w:val="00EB60FE"/>
    <w:rsid w:val="00EB6F50"/>
    <w:rsid w:val="00EB71D8"/>
    <w:rsid w:val="00EB74DB"/>
    <w:rsid w:val="00EC303C"/>
    <w:rsid w:val="00EC3E7F"/>
    <w:rsid w:val="00EC4CC2"/>
    <w:rsid w:val="00EC5359"/>
    <w:rsid w:val="00EC562A"/>
    <w:rsid w:val="00EC6D37"/>
    <w:rsid w:val="00EC79E2"/>
    <w:rsid w:val="00EC7E6A"/>
    <w:rsid w:val="00ED067A"/>
    <w:rsid w:val="00ED2A1C"/>
    <w:rsid w:val="00ED2B50"/>
    <w:rsid w:val="00ED2C0D"/>
    <w:rsid w:val="00EE0350"/>
    <w:rsid w:val="00EE0719"/>
    <w:rsid w:val="00EE07E5"/>
    <w:rsid w:val="00EE0D7B"/>
    <w:rsid w:val="00EE0E80"/>
    <w:rsid w:val="00EE60DF"/>
    <w:rsid w:val="00EE613F"/>
    <w:rsid w:val="00EE7295"/>
    <w:rsid w:val="00EE7869"/>
    <w:rsid w:val="00EF054A"/>
    <w:rsid w:val="00EF1B7A"/>
    <w:rsid w:val="00EF3235"/>
    <w:rsid w:val="00EF3B6F"/>
    <w:rsid w:val="00EF4A64"/>
    <w:rsid w:val="00EF5FA4"/>
    <w:rsid w:val="00EF7E72"/>
    <w:rsid w:val="00F00145"/>
    <w:rsid w:val="00F05461"/>
    <w:rsid w:val="00F06C5B"/>
    <w:rsid w:val="00F06D37"/>
    <w:rsid w:val="00F071DB"/>
    <w:rsid w:val="00F07B9D"/>
    <w:rsid w:val="00F1071F"/>
    <w:rsid w:val="00F11586"/>
    <w:rsid w:val="00F1183B"/>
    <w:rsid w:val="00F11C9F"/>
    <w:rsid w:val="00F12263"/>
    <w:rsid w:val="00F12805"/>
    <w:rsid w:val="00F12AF0"/>
    <w:rsid w:val="00F1409D"/>
    <w:rsid w:val="00F14214"/>
    <w:rsid w:val="00F157A9"/>
    <w:rsid w:val="00F15B22"/>
    <w:rsid w:val="00F16F00"/>
    <w:rsid w:val="00F1766B"/>
    <w:rsid w:val="00F17C0C"/>
    <w:rsid w:val="00F17D12"/>
    <w:rsid w:val="00F2216A"/>
    <w:rsid w:val="00F22206"/>
    <w:rsid w:val="00F24DBD"/>
    <w:rsid w:val="00F25B71"/>
    <w:rsid w:val="00F25BB6"/>
    <w:rsid w:val="00F2605A"/>
    <w:rsid w:val="00F269F2"/>
    <w:rsid w:val="00F26B7E"/>
    <w:rsid w:val="00F27A3B"/>
    <w:rsid w:val="00F304ED"/>
    <w:rsid w:val="00F33817"/>
    <w:rsid w:val="00F33D26"/>
    <w:rsid w:val="00F34301"/>
    <w:rsid w:val="00F348A1"/>
    <w:rsid w:val="00F40227"/>
    <w:rsid w:val="00F40A73"/>
    <w:rsid w:val="00F420D5"/>
    <w:rsid w:val="00F42207"/>
    <w:rsid w:val="00F4292E"/>
    <w:rsid w:val="00F451EA"/>
    <w:rsid w:val="00F452EB"/>
    <w:rsid w:val="00F45447"/>
    <w:rsid w:val="00F456C6"/>
    <w:rsid w:val="00F4577B"/>
    <w:rsid w:val="00F46496"/>
    <w:rsid w:val="00F46785"/>
    <w:rsid w:val="00F474D0"/>
    <w:rsid w:val="00F50179"/>
    <w:rsid w:val="00F501DE"/>
    <w:rsid w:val="00F515EE"/>
    <w:rsid w:val="00F51D0A"/>
    <w:rsid w:val="00F542BB"/>
    <w:rsid w:val="00F553C3"/>
    <w:rsid w:val="00F56511"/>
    <w:rsid w:val="00F56739"/>
    <w:rsid w:val="00F57444"/>
    <w:rsid w:val="00F601DB"/>
    <w:rsid w:val="00F6024F"/>
    <w:rsid w:val="00F6194E"/>
    <w:rsid w:val="00F623AC"/>
    <w:rsid w:val="00F623F0"/>
    <w:rsid w:val="00F6412A"/>
    <w:rsid w:val="00F65893"/>
    <w:rsid w:val="00F66A4A"/>
    <w:rsid w:val="00F67E16"/>
    <w:rsid w:val="00F7057C"/>
    <w:rsid w:val="00F71E22"/>
    <w:rsid w:val="00F72142"/>
    <w:rsid w:val="00F72262"/>
    <w:rsid w:val="00F72588"/>
    <w:rsid w:val="00F7267B"/>
    <w:rsid w:val="00F72845"/>
    <w:rsid w:val="00F72AE7"/>
    <w:rsid w:val="00F80E0D"/>
    <w:rsid w:val="00F81C11"/>
    <w:rsid w:val="00F833BA"/>
    <w:rsid w:val="00F84FD0"/>
    <w:rsid w:val="00F8542D"/>
    <w:rsid w:val="00F859A8"/>
    <w:rsid w:val="00F86D87"/>
    <w:rsid w:val="00F9108B"/>
    <w:rsid w:val="00F91349"/>
    <w:rsid w:val="00F924E9"/>
    <w:rsid w:val="00F926DA"/>
    <w:rsid w:val="00F93A8A"/>
    <w:rsid w:val="00F95248"/>
    <w:rsid w:val="00F956A9"/>
    <w:rsid w:val="00F956EF"/>
    <w:rsid w:val="00F963ED"/>
    <w:rsid w:val="00F966CF"/>
    <w:rsid w:val="00F96CAE"/>
    <w:rsid w:val="00F97C99"/>
    <w:rsid w:val="00FA257F"/>
    <w:rsid w:val="00FA5537"/>
    <w:rsid w:val="00FA662D"/>
    <w:rsid w:val="00FA73B1"/>
    <w:rsid w:val="00FB0CB9"/>
    <w:rsid w:val="00FB231D"/>
    <w:rsid w:val="00FB45F1"/>
    <w:rsid w:val="00FB4A72"/>
    <w:rsid w:val="00FB54E8"/>
    <w:rsid w:val="00FB6097"/>
    <w:rsid w:val="00FB7054"/>
    <w:rsid w:val="00FC0FFB"/>
    <w:rsid w:val="00FC17B7"/>
    <w:rsid w:val="00FC1970"/>
    <w:rsid w:val="00FC2864"/>
    <w:rsid w:val="00FC2CB7"/>
    <w:rsid w:val="00FC34E9"/>
    <w:rsid w:val="00FC4090"/>
    <w:rsid w:val="00FC53A6"/>
    <w:rsid w:val="00FC55B4"/>
    <w:rsid w:val="00FD00E6"/>
    <w:rsid w:val="00FD09A1"/>
    <w:rsid w:val="00FD1340"/>
    <w:rsid w:val="00FD2638"/>
    <w:rsid w:val="00FD2A7C"/>
    <w:rsid w:val="00FD313D"/>
    <w:rsid w:val="00FD4CEF"/>
    <w:rsid w:val="00FD59EB"/>
    <w:rsid w:val="00FD7299"/>
    <w:rsid w:val="00FE1FBE"/>
    <w:rsid w:val="00FE2C9E"/>
    <w:rsid w:val="00FE3901"/>
    <w:rsid w:val="00FE39D3"/>
    <w:rsid w:val="00FE4BCE"/>
    <w:rsid w:val="00FE54AE"/>
    <w:rsid w:val="00FE576A"/>
    <w:rsid w:val="00FE7E79"/>
    <w:rsid w:val="00FE7FDF"/>
    <w:rsid w:val="00FF06BC"/>
    <w:rsid w:val="00FF3E7D"/>
    <w:rsid w:val="00FF48ED"/>
    <w:rsid w:val="00FF49BE"/>
    <w:rsid w:val="00FF5B99"/>
    <w:rsid w:val="00FF6390"/>
    <w:rsid w:val="00FF730C"/>
    <w:rsid w:val="00FF73F4"/>
    <w:rsid w:val="00FF7CE4"/>
    <w:rsid w:val="00FF7E39"/>
    <w:rsid w:val="01950E80"/>
    <w:rsid w:val="033C7B19"/>
    <w:rsid w:val="03561F09"/>
    <w:rsid w:val="03A528BE"/>
    <w:rsid w:val="05665D07"/>
    <w:rsid w:val="08EC29C7"/>
    <w:rsid w:val="09E87633"/>
    <w:rsid w:val="0C3E3350"/>
    <w:rsid w:val="0D35493D"/>
    <w:rsid w:val="0EF645A0"/>
    <w:rsid w:val="1399374C"/>
    <w:rsid w:val="13BC5F9D"/>
    <w:rsid w:val="13CF05F0"/>
    <w:rsid w:val="14196AC8"/>
    <w:rsid w:val="145F04F1"/>
    <w:rsid w:val="16953304"/>
    <w:rsid w:val="16A3500D"/>
    <w:rsid w:val="191B672E"/>
    <w:rsid w:val="1D6527CA"/>
    <w:rsid w:val="1F777037"/>
    <w:rsid w:val="218002A9"/>
    <w:rsid w:val="23FC34CB"/>
    <w:rsid w:val="241049C2"/>
    <w:rsid w:val="26773C1A"/>
    <w:rsid w:val="2A4312CC"/>
    <w:rsid w:val="2C0003B4"/>
    <w:rsid w:val="2C5A5D16"/>
    <w:rsid w:val="2CFF4313"/>
    <w:rsid w:val="2D742E08"/>
    <w:rsid w:val="2E935F88"/>
    <w:rsid w:val="2EBC6814"/>
    <w:rsid w:val="31083F93"/>
    <w:rsid w:val="320D7F11"/>
    <w:rsid w:val="328F31C9"/>
    <w:rsid w:val="34A962EB"/>
    <w:rsid w:val="396B387A"/>
    <w:rsid w:val="3AB101C6"/>
    <w:rsid w:val="3B2C2F74"/>
    <w:rsid w:val="3F3E3276"/>
    <w:rsid w:val="3FF32B41"/>
    <w:rsid w:val="447A65BE"/>
    <w:rsid w:val="46102337"/>
    <w:rsid w:val="46113492"/>
    <w:rsid w:val="49325BF9"/>
    <w:rsid w:val="49584F34"/>
    <w:rsid w:val="4A541EBE"/>
    <w:rsid w:val="4B3A75EA"/>
    <w:rsid w:val="51BA1867"/>
    <w:rsid w:val="586B2F4C"/>
    <w:rsid w:val="59E15638"/>
    <w:rsid w:val="5A516D15"/>
    <w:rsid w:val="5C900FC3"/>
    <w:rsid w:val="5F04373C"/>
    <w:rsid w:val="608A307B"/>
    <w:rsid w:val="649E3CEB"/>
    <w:rsid w:val="66A15D14"/>
    <w:rsid w:val="68504D70"/>
    <w:rsid w:val="68E32614"/>
    <w:rsid w:val="6ACD4982"/>
    <w:rsid w:val="6B9058B2"/>
    <w:rsid w:val="6CED57E2"/>
    <w:rsid w:val="6E752E49"/>
    <w:rsid w:val="71F80EDE"/>
    <w:rsid w:val="751D4D3B"/>
    <w:rsid w:val="774F36EB"/>
    <w:rsid w:val="79955265"/>
    <w:rsid w:val="7C155BEE"/>
    <w:rsid w:val="7D34788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uiPriority="0" w:name="toc 8"/>
    <w:lsdException w:uiPriority="0" w:name="toc 9"/>
    <w:lsdException w:qFormat="1" w:unhideWhenUsed="0" w:uiPriority="0" w:semiHidden="0" w:name="Normal Indent"/>
    <w:lsdException w:qFormat="1" w:unhideWhenUsed="0" w:uiPriority="0"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35" w:name="caption"/>
    <w:lsdException w:qFormat="1" w:unhideWhenUsed="0" w:uiPriority="0" w:name="table of figures"/>
    <w:lsdException w:uiPriority="99" w:name="envelope address"/>
    <w:lsdException w:uiPriority="99" w:name="envelope return"/>
    <w:lsdException w:qFormat="1" w:unhideWhenUsed="0" w:uiPriority="0"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nhideWhenUsed="0" w:uiPriority="99" w:semiHidden="0" w:name="Table Professional"/>
    <w:lsdException w:uiPriority="99" w:name="Table Subtle 1"/>
    <w:lsdException w:uiPriority="99" w:name="Table Subtle 2"/>
    <w:lsdException w:unhideWhenUsed="0" w:uiPriority="99" w:semiHidden="0" w:name="Table Web 1"/>
    <w:lsdException w:unhideWhenUsed="0" w:uiPriority="99" w:semiHidden="0" w:name="Table Web 2"/>
    <w:lsdException w:uiPriority="99" w:name="Table Web 3"/>
    <w:lsdException w:qFormat="1" w:uiPriority="99" w:name="Balloon Text"/>
    <w:lsdException w:qFormat="1" w:unhideWhenUsed="0" w:uiPriority="39" w:semiHidden="0" w:name="Table Grid"/>
    <w:lsdException w:uiPriority="99" w:name="Table Theme"/>
    <w:lsdException w:qFormat="1" w:unhideWhenUsed="0" w:uiPriority="99"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29" w:semiHidden="0" w:name="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adjustRightInd w:val="0"/>
      <w:spacing w:line="400" w:lineRule="exact"/>
      <w:jc w:val="both"/>
    </w:pPr>
    <w:rPr>
      <w:rFonts w:ascii="Calibri" w:hAnsi="Calibri" w:eastAsia="宋体" w:cs="Times New Roman"/>
      <w:kern w:val="2"/>
      <w:sz w:val="21"/>
      <w:szCs w:val="21"/>
      <w:lang w:val="en-US" w:eastAsia="zh-CN" w:bidi="ar-SA"/>
    </w:rPr>
  </w:style>
  <w:style w:type="paragraph" w:styleId="2">
    <w:name w:val="heading 1"/>
    <w:basedOn w:val="1"/>
    <w:next w:val="1"/>
    <w:link w:val="35"/>
    <w:qFormat/>
    <w:uiPriority w:val="0"/>
    <w:pPr>
      <w:keepNext/>
      <w:keepLines/>
      <w:spacing w:before="340" w:after="330" w:line="578" w:lineRule="auto"/>
      <w:outlineLvl w:val="0"/>
    </w:pPr>
    <w:rPr>
      <w:b/>
      <w:bCs/>
      <w:kern w:val="44"/>
      <w:sz w:val="44"/>
      <w:szCs w:val="44"/>
    </w:rPr>
  </w:style>
  <w:style w:type="paragraph" w:styleId="3">
    <w:name w:val="heading 2"/>
    <w:basedOn w:val="1"/>
    <w:next w:val="1"/>
    <w:link w:val="36"/>
    <w:qFormat/>
    <w:uiPriority w:val="0"/>
    <w:pPr>
      <w:keepNext/>
      <w:keepLines/>
      <w:spacing w:line="240" w:lineRule="auto"/>
      <w:outlineLvl w:val="1"/>
    </w:pPr>
    <w:rPr>
      <w:rFonts w:ascii="Arial" w:hAnsi="Arial" w:eastAsia="黑体"/>
      <w:bCs/>
      <w:sz w:val="32"/>
      <w:szCs w:val="32"/>
    </w:rPr>
  </w:style>
  <w:style w:type="paragraph" w:styleId="4">
    <w:name w:val="heading 3"/>
    <w:basedOn w:val="1"/>
    <w:next w:val="1"/>
    <w:link w:val="37"/>
    <w:autoRedefine/>
    <w:qFormat/>
    <w:uiPriority w:val="0"/>
    <w:pPr>
      <w:keepNext/>
      <w:keepLines/>
      <w:spacing w:before="260" w:after="260" w:line="416" w:lineRule="auto"/>
      <w:outlineLvl w:val="2"/>
    </w:pPr>
    <w:rPr>
      <w:b/>
      <w:bCs/>
      <w:sz w:val="32"/>
      <w:szCs w:val="32"/>
    </w:rPr>
  </w:style>
  <w:style w:type="paragraph" w:styleId="5">
    <w:name w:val="heading 4"/>
    <w:basedOn w:val="1"/>
    <w:next w:val="1"/>
    <w:link w:val="38"/>
    <w:qFormat/>
    <w:uiPriority w:val="0"/>
    <w:pPr>
      <w:keepNext/>
      <w:keepLines/>
      <w:spacing w:before="280" w:after="290" w:line="376" w:lineRule="auto"/>
      <w:outlineLvl w:val="3"/>
    </w:pPr>
    <w:rPr>
      <w:rFonts w:ascii="Arial" w:hAnsi="Arial" w:eastAsia="黑体"/>
      <w:b/>
      <w:bCs/>
      <w:sz w:val="28"/>
      <w:szCs w:val="28"/>
    </w:rPr>
  </w:style>
  <w:style w:type="paragraph" w:styleId="6">
    <w:name w:val="heading 5"/>
    <w:basedOn w:val="1"/>
    <w:next w:val="1"/>
    <w:link w:val="39"/>
    <w:qFormat/>
    <w:uiPriority w:val="0"/>
    <w:pPr>
      <w:keepNext/>
      <w:keepLines/>
      <w:adjustRightInd/>
      <w:spacing w:before="280" w:after="290" w:line="376" w:lineRule="auto"/>
      <w:outlineLvl w:val="4"/>
    </w:pPr>
    <w:rPr>
      <w:b/>
      <w:bCs/>
      <w:sz w:val="28"/>
      <w:szCs w:val="28"/>
    </w:rPr>
  </w:style>
  <w:style w:type="paragraph" w:styleId="7">
    <w:name w:val="heading 6"/>
    <w:basedOn w:val="1"/>
    <w:next w:val="1"/>
    <w:link w:val="40"/>
    <w:qFormat/>
    <w:uiPriority w:val="0"/>
    <w:pPr>
      <w:keepNext/>
      <w:keepLines/>
      <w:adjustRightInd/>
      <w:spacing w:before="240" w:after="64" w:line="320" w:lineRule="auto"/>
      <w:outlineLvl w:val="5"/>
    </w:pPr>
    <w:rPr>
      <w:rFonts w:ascii="Arial" w:hAnsi="Arial" w:eastAsia="黑体"/>
      <w:b/>
      <w:bCs/>
      <w:sz w:val="24"/>
      <w:szCs w:val="24"/>
    </w:rPr>
  </w:style>
  <w:style w:type="paragraph" w:styleId="8">
    <w:name w:val="heading 7"/>
    <w:basedOn w:val="1"/>
    <w:next w:val="1"/>
    <w:link w:val="41"/>
    <w:qFormat/>
    <w:uiPriority w:val="0"/>
    <w:pPr>
      <w:keepNext/>
      <w:keepLines/>
      <w:adjustRightInd/>
      <w:spacing w:before="240" w:after="64" w:line="320" w:lineRule="auto"/>
      <w:outlineLvl w:val="6"/>
    </w:pPr>
    <w:rPr>
      <w:b/>
      <w:bCs/>
      <w:sz w:val="24"/>
      <w:szCs w:val="24"/>
    </w:rPr>
  </w:style>
  <w:style w:type="paragraph" w:styleId="9">
    <w:name w:val="heading 8"/>
    <w:basedOn w:val="1"/>
    <w:next w:val="1"/>
    <w:link w:val="42"/>
    <w:qFormat/>
    <w:uiPriority w:val="0"/>
    <w:pPr>
      <w:keepNext/>
      <w:keepLines/>
      <w:adjustRightInd/>
      <w:spacing w:before="240" w:after="64" w:line="320" w:lineRule="auto"/>
      <w:outlineLvl w:val="7"/>
    </w:pPr>
    <w:rPr>
      <w:rFonts w:ascii="Arial" w:hAnsi="Arial" w:eastAsia="黑体"/>
      <w:sz w:val="24"/>
      <w:szCs w:val="24"/>
    </w:rPr>
  </w:style>
  <w:style w:type="paragraph" w:styleId="10">
    <w:name w:val="heading 9"/>
    <w:basedOn w:val="1"/>
    <w:next w:val="1"/>
    <w:link w:val="43"/>
    <w:autoRedefine/>
    <w:qFormat/>
    <w:uiPriority w:val="0"/>
    <w:pPr>
      <w:keepNext/>
      <w:keepLines/>
      <w:adjustRightInd/>
      <w:spacing w:before="240" w:after="64" w:line="320" w:lineRule="auto"/>
      <w:outlineLvl w:val="8"/>
    </w:pPr>
    <w:rPr>
      <w:rFonts w:ascii="Arial" w:hAnsi="Arial" w:eastAsia="黑体"/>
    </w:rPr>
  </w:style>
  <w:style w:type="character" w:default="1" w:styleId="29">
    <w:name w:val="Default Paragraph Font"/>
    <w:semiHidden/>
    <w:unhideWhenUsed/>
    <w:qFormat/>
    <w:uiPriority w:val="1"/>
  </w:style>
  <w:style w:type="table" w:default="1" w:styleId="27">
    <w:name w:val="Normal Table"/>
    <w:semiHidden/>
    <w:unhideWhenUsed/>
    <w:qFormat/>
    <w:uiPriority w:val="99"/>
    <w:tblPr>
      <w:tblCellMar>
        <w:top w:w="0" w:type="dxa"/>
        <w:left w:w="108" w:type="dxa"/>
        <w:bottom w:w="0" w:type="dxa"/>
        <w:right w:w="108" w:type="dxa"/>
      </w:tblCellMar>
    </w:tblPr>
  </w:style>
  <w:style w:type="paragraph" w:styleId="11">
    <w:name w:val="toc 7"/>
    <w:basedOn w:val="1"/>
    <w:next w:val="1"/>
    <w:autoRedefine/>
    <w:unhideWhenUsed/>
    <w:qFormat/>
    <w:uiPriority w:val="39"/>
    <w:pPr>
      <w:tabs>
        <w:tab w:val="right" w:leader="dot" w:pos="9344"/>
      </w:tabs>
      <w:spacing w:line="300" w:lineRule="exact"/>
      <w:ind w:left="1259"/>
    </w:pPr>
    <w:rPr>
      <w:rFonts w:ascii="宋体"/>
    </w:rPr>
  </w:style>
  <w:style w:type="paragraph" w:styleId="12">
    <w:name w:val="Normal Indent"/>
    <w:basedOn w:val="1"/>
    <w:autoRedefine/>
    <w:qFormat/>
    <w:uiPriority w:val="0"/>
    <w:pPr>
      <w:ind w:firstLine="420"/>
    </w:pPr>
  </w:style>
  <w:style w:type="paragraph" w:styleId="13">
    <w:name w:val="Body Text"/>
    <w:basedOn w:val="1"/>
    <w:link w:val="87"/>
    <w:autoRedefine/>
    <w:qFormat/>
    <w:uiPriority w:val="0"/>
    <w:pPr>
      <w:spacing w:after="120"/>
    </w:pPr>
  </w:style>
  <w:style w:type="paragraph" w:styleId="14">
    <w:name w:val="toc 5"/>
    <w:basedOn w:val="1"/>
    <w:next w:val="1"/>
    <w:autoRedefine/>
    <w:unhideWhenUsed/>
    <w:qFormat/>
    <w:uiPriority w:val="39"/>
    <w:pPr>
      <w:ind w:left="839"/>
    </w:pPr>
    <w:rPr>
      <w:rFonts w:ascii="宋体"/>
    </w:rPr>
  </w:style>
  <w:style w:type="paragraph" w:styleId="15">
    <w:name w:val="toc 3"/>
    <w:basedOn w:val="1"/>
    <w:next w:val="1"/>
    <w:autoRedefine/>
    <w:unhideWhenUsed/>
    <w:qFormat/>
    <w:uiPriority w:val="39"/>
    <w:pPr>
      <w:spacing w:line="300" w:lineRule="exact"/>
      <w:ind w:left="420"/>
    </w:pPr>
    <w:rPr>
      <w:rFonts w:ascii="宋体"/>
    </w:rPr>
  </w:style>
  <w:style w:type="paragraph" w:styleId="16">
    <w:name w:val="Balloon Text"/>
    <w:basedOn w:val="1"/>
    <w:link w:val="46"/>
    <w:semiHidden/>
    <w:unhideWhenUsed/>
    <w:qFormat/>
    <w:uiPriority w:val="99"/>
    <w:rPr>
      <w:sz w:val="18"/>
      <w:szCs w:val="18"/>
    </w:rPr>
  </w:style>
  <w:style w:type="paragraph" w:styleId="17">
    <w:name w:val="footer"/>
    <w:basedOn w:val="1"/>
    <w:link w:val="45"/>
    <w:autoRedefine/>
    <w:qFormat/>
    <w:uiPriority w:val="99"/>
    <w:pPr>
      <w:tabs>
        <w:tab w:val="center" w:pos="4153"/>
        <w:tab w:val="right" w:pos="8306"/>
      </w:tabs>
      <w:adjustRightInd/>
      <w:snapToGrid w:val="0"/>
      <w:spacing w:line="240" w:lineRule="auto"/>
      <w:jc w:val="right"/>
    </w:pPr>
    <w:rPr>
      <w:rFonts w:ascii="宋体"/>
      <w:sz w:val="18"/>
      <w:szCs w:val="18"/>
    </w:rPr>
  </w:style>
  <w:style w:type="paragraph" w:styleId="18">
    <w:name w:val="header"/>
    <w:basedOn w:val="1"/>
    <w:link w:val="44"/>
    <w:autoRedefine/>
    <w:qFormat/>
    <w:uiPriority w:val="99"/>
    <w:pPr>
      <w:tabs>
        <w:tab w:val="center" w:pos="4153"/>
        <w:tab w:val="right" w:pos="8306"/>
      </w:tabs>
      <w:adjustRightInd/>
      <w:snapToGrid w:val="0"/>
      <w:jc w:val="center"/>
    </w:pPr>
    <w:rPr>
      <w:sz w:val="18"/>
      <w:szCs w:val="18"/>
    </w:rPr>
  </w:style>
  <w:style w:type="paragraph" w:styleId="19">
    <w:name w:val="toc 1"/>
    <w:basedOn w:val="1"/>
    <w:next w:val="1"/>
    <w:autoRedefine/>
    <w:unhideWhenUsed/>
    <w:qFormat/>
    <w:uiPriority w:val="39"/>
    <w:rPr>
      <w:rFonts w:ascii="宋体"/>
    </w:rPr>
  </w:style>
  <w:style w:type="paragraph" w:styleId="20">
    <w:name w:val="toc 4"/>
    <w:basedOn w:val="1"/>
    <w:next w:val="1"/>
    <w:autoRedefine/>
    <w:unhideWhenUsed/>
    <w:qFormat/>
    <w:uiPriority w:val="39"/>
    <w:pPr>
      <w:tabs>
        <w:tab w:val="right" w:leader="dot" w:pos="9344"/>
      </w:tabs>
      <w:spacing w:line="300" w:lineRule="exact"/>
      <w:ind w:left="629"/>
    </w:pPr>
    <w:rPr>
      <w:rFonts w:ascii="宋体"/>
    </w:rPr>
  </w:style>
  <w:style w:type="paragraph" w:styleId="21">
    <w:name w:val="footnote text"/>
    <w:basedOn w:val="1"/>
    <w:next w:val="1"/>
    <w:link w:val="100"/>
    <w:autoRedefine/>
    <w:semiHidden/>
    <w:qFormat/>
    <w:uiPriority w:val="0"/>
    <w:pPr>
      <w:adjustRightInd/>
      <w:snapToGrid w:val="0"/>
      <w:spacing w:line="300" w:lineRule="exact"/>
      <w:ind w:left="400" w:leftChars="200" w:hanging="200" w:hangingChars="200"/>
      <w:jc w:val="left"/>
    </w:pPr>
    <w:rPr>
      <w:rFonts w:ascii="宋体"/>
      <w:sz w:val="18"/>
      <w:szCs w:val="18"/>
    </w:rPr>
  </w:style>
  <w:style w:type="paragraph" w:styleId="22">
    <w:name w:val="toc 6"/>
    <w:basedOn w:val="1"/>
    <w:next w:val="1"/>
    <w:autoRedefine/>
    <w:unhideWhenUsed/>
    <w:qFormat/>
    <w:uiPriority w:val="39"/>
    <w:pPr>
      <w:spacing w:line="300" w:lineRule="exact"/>
      <w:ind w:left="1049"/>
    </w:pPr>
    <w:rPr>
      <w:rFonts w:ascii="宋体"/>
    </w:rPr>
  </w:style>
  <w:style w:type="paragraph" w:styleId="23">
    <w:name w:val="table of figures"/>
    <w:basedOn w:val="1"/>
    <w:next w:val="1"/>
    <w:autoRedefine/>
    <w:semiHidden/>
    <w:qFormat/>
    <w:uiPriority w:val="0"/>
    <w:pPr>
      <w:adjustRightInd/>
      <w:spacing w:line="240" w:lineRule="auto"/>
      <w:jc w:val="left"/>
    </w:pPr>
    <w:rPr>
      <w:szCs w:val="24"/>
    </w:rPr>
  </w:style>
  <w:style w:type="paragraph" w:styleId="24">
    <w:name w:val="toc 2"/>
    <w:basedOn w:val="1"/>
    <w:next w:val="1"/>
    <w:autoRedefine/>
    <w:unhideWhenUsed/>
    <w:qFormat/>
    <w:uiPriority w:val="39"/>
    <w:pPr>
      <w:tabs>
        <w:tab w:val="right" w:leader="dot" w:pos="9344"/>
      </w:tabs>
      <w:spacing w:line="300" w:lineRule="exact"/>
      <w:ind w:left="210"/>
    </w:pPr>
    <w:rPr>
      <w:rFonts w:ascii="宋体"/>
    </w:rPr>
  </w:style>
  <w:style w:type="paragraph" w:styleId="25">
    <w:name w:val="Normal (Web)"/>
    <w:basedOn w:val="1"/>
    <w:semiHidden/>
    <w:unhideWhenUsed/>
    <w:qFormat/>
    <w:uiPriority w:val="99"/>
    <w:pPr>
      <w:spacing w:before="0" w:beforeAutospacing="1" w:after="0" w:afterAutospacing="1"/>
      <w:ind w:left="0" w:right="0"/>
      <w:jc w:val="left"/>
    </w:pPr>
    <w:rPr>
      <w:kern w:val="0"/>
      <w:sz w:val="24"/>
      <w:lang w:val="en-US" w:eastAsia="zh-CN" w:bidi="ar"/>
    </w:rPr>
  </w:style>
  <w:style w:type="paragraph" w:styleId="26">
    <w:name w:val="Title"/>
    <w:basedOn w:val="1"/>
    <w:link w:val="49"/>
    <w:autoRedefine/>
    <w:qFormat/>
    <w:uiPriority w:val="0"/>
    <w:pPr>
      <w:spacing w:before="240" w:after="60"/>
      <w:jc w:val="center"/>
      <w:outlineLvl w:val="0"/>
    </w:pPr>
    <w:rPr>
      <w:rFonts w:ascii="Arial" w:hAnsi="Arial" w:cs="Arial"/>
      <w:b/>
      <w:bCs/>
      <w:sz w:val="32"/>
      <w:szCs w:val="32"/>
    </w:rPr>
  </w:style>
  <w:style w:type="table" w:styleId="28">
    <w:name w:val="Table Grid"/>
    <w:basedOn w:val="27"/>
    <w:autoRedefine/>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30">
    <w:name w:val="Strong"/>
    <w:autoRedefine/>
    <w:qFormat/>
    <w:uiPriority w:val="22"/>
    <w:rPr>
      <w:b/>
      <w:bCs/>
    </w:rPr>
  </w:style>
  <w:style w:type="character" w:styleId="31">
    <w:name w:val="page number"/>
    <w:autoRedefine/>
    <w:qFormat/>
    <w:uiPriority w:val="0"/>
    <w:rPr>
      <w:rFonts w:ascii="宋体" w:hAnsi="Times New Roman" w:eastAsia="宋体"/>
      <w:sz w:val="18"/>
    </w:rPr>
  </w:style>
  <w:style w:type="character" w:styleId="32">
    <w:name w:val="Emphasis"/>
    <w:autoRedefine/>
    <w:qFormat/>
    <w:uiPriority w:val="20"/>
    <w:rPr>
      <w:i/>
      <w:iCs/>
    </w:rPr>
  </w:style>
  <w:style w:type="character" w:styleId="33">
    <w:name w:val="Hyperlink"/>
    <w:autoRedefine/>
    <w:qFormat/>
    <w:uiPriority w:val="99"/>
    <w:rPr>
      <w:rFonts w:ascii="宋体" w:hAnsi="Times New Roman" w:eastAsia="宋体"/>
      <w:color w:val="auto"/>
      <w:spacing w:val="0"/>
      <w:w w:val="100"/>
      <w:position w:val="0"/>
      <w:sz w:val="21"/>
      <w:u w:val="none"/>
      <w:vertAlign w:val="baseline"/>
    </w:rPr>
  </w:style>
  <w:style w:type="character" w:styleId="34">
    <w:name w:val="footnote reference"/>
    <w:autoRedefine/>
    <w:semiHidden/>
    <w:qFormat/>
    <w:uiPriority w:val="0"/>
    <w:rPr>
      <w:rFonts w:ascii="宋体" w:hAnsi="宋体" w:eastAsia="宋体" w:cs="Times New Roman"/>
      <w:spacing w:val="0"/>
      <w:sz w:val="18"/>
      <w:vertAlign w:val="superscript"/>
    </w:rPr>
  </w:style>
  <w:style w:type="character" w:customStyle="1" w:styleId="35">
    <w:name w:val="标题 1 Char"/>
    <w:link w:val="2"/>
    <w:qFormat/>
    <w:uiPriority w:val="0"/>
    <w:rPr>
      <w:rFonts w:ascii="Times New Roman" w:hAnsi="Times New Roman" w:eastAsia="宋体" w:cs="Times New Roman"/>
      <w:b/>
      <w:bCs/>
      <w:kern w:val="44"/>
      <w:sz w:val="44"/>
      <w:szCs w:val="44"/>
    </w:rPr>
  </w:style>
  <w:style w:type="character" w:customStyle="1" w:styleId="36">
    <w:name w:val="标题 2 Char"/>
    <w:link w:val="3"/>
    <w:autoRedefine/>
    <w:qFormat/>
    <w:uiPriority w:val="0"/>
    <w:rPr>
      <w:rFonts w:ascii="Arial" w:hAnsi="Arial" w:eastAsia="黑体" w:cs="Times New Roman"/>
      <w:bCs/>
      <w:sz w:val="32"/>
      <w:szCs w:val="32"/>
    </w:rPr>
  </w:style>
  <w:style w:type="character" w:customStyle="1" w:styleId="37">
    <w:name w:val="标题 3 Char"/>
    <w:link w:val="4"/>
    <w:autoRedefine/>
    <w:qFormat/>
    <w:uiPriority w:val="0"/>
    <w:rPr>
      <w:rFonts w:ascii="Times New Roman" w:hAnsi="Times New Roman" w:eastAsia="宋体" w:cs="Times New Roman"/>
      <w:b/>
      <w:bCs/>
      <w:sz w:val="32"/>
      <w:szCs w:val="32"/>
    </w:rPr>
  </w:style>
  <w:style w:type="character" w:customStyle="1" w:styleId="38">
    <w:name w:val="标题 4 Char"/>
    <w:link w:val="5"/>
    <w:autoRedefine/>
    <w:qFormat/>
    <w:uiPriority w:val="0"/>
    <w:rPr>
      <w:rFonts w:ascii="Arial" w:hAnsi="Arial" w:eastAsia="黑体" w:cs="Times New Roman"/>
      <w:b/>
      <w:bCs/>
      <w:sz w:val="28"/>
      <w:szCs w:val="28"/>
    </w:rPr>
  </w:style>
  <w:style w:type="character" w:customStyle="1" w:styleId="39">
    <w:name w:val="标题 5 Char"/>
    <w:link w:val="6"/>
    <w:qFormat/>
    <w:uiPriority w:val="0"/>
    <w:rPr>
      <w:rFonts w:ascii="Times New Roman" w:hAnsi="Times New Roman" w:eastAsia="宋体" w:cs="Times New Roman"/>
      <w:b/>
      <w:bCs/>
      <w:sz w:val="28"/>
      <w:szCs w:val="28"/>
    </w:rPr>
  </w:style>
  <w:style w:type="character" w:customStyle="1" w:styleId="40">
    <w:name w:val="标题 6 Char"/>
    <w:link w:val="7"/>
    <w:qFormat/>
    <w:uiPriority w:val="0"/>
    <w:rPr>
      <w:rFonts w:ascii="Arial" w:hAnsi="Arial" w:eastAsia="黑体" w:cs="Times New Roman"/>
      <w:b/>
      <w:bCs/>
      <w:sz w:val="24"/>
      <w:szCs w:val="24"/>
    </w:rPr>
  </w:style>
  <w:style w:type="character" w:customStyle="1" w:styleId="41">
    <w:name w:val="标题 7 Char"/>
    <w:link w:val="8"/>
    <w:autoRedefine/>
    <w:qFormat/>
    <w:uiPriority w:val="0"/>
    <w:rPr>
      <w:rFonts w:ascii="Times New Roman" w:hAnsi="Times New Roman" w:eastAsia="宋体" w:cs="Times New Roman"/>
      <w:b/>
      <w:bCs/>
      <w:sz w:val="24"/>
      <w:szCs w:val="24"/>
    </w:rPr>
  </w:style>
  <w:style w:type="character" w:customStyle="1" w:styleId="42">
    <w:name w:val="标题 8 Char"/>
    <w:link w:val="9"/>
    <w:autoRedefine/>
    <w:qFormat/>
    <w:uiPriority w:val="0"/>
    <w:rPr>
      <w:rFonts w:ascii="Arial" w:hAnsi="Arial" w:eastAsia="黑体" w:cs="Times New Roman"/>
      <w:sz w:val="24"/>
      <w:szCs w:val="24"/>
    </w:rPr>
  </w:style>
  <w:style w:type="character" w:customStyle="1" w:styleId="43">
    <w:name w:val="标题 9 Char"/>
    <w:link w:val="10"/>
    <w:autoRedefine/>
    <w:qFormat/>
    <w:uiPriority w:val="0"/>
    <w:rPr>
      <w:rFonts w:ascii="Arial" w:hAnsi="Arial" w:eastAsia="黑体" w:cs="Times New Roman"/>
      <w:szCs w:val="21"/>
    </w:rPr>
  </w:style>
  <w:style w:type="character" w:customStyle="1" w:styleId="44">
    <w:name w:val="页眉 Char"/>
    <w:link w:val="18"/>
    <w:autoRedefine/>
    <w:qFormat/>
    <w:uiPriority w:val="99"/>
    <w:rPr>
      <w:rFonts w:ascii="Times New Roman" w:hAnsi="Times New Roman" w:eastAsia="宋体" w:cs="Times New Roman"/>
      <w:sz w:val="18"/>
      <w:szCs w:val="18"/>
    </w:rPr>
  </w:style>
  <w:style w:type="character" w:customStyle="1" w:styleId="45">
    <w:name w:val="页脚 Char"/>
    <w:link w:val="17"/>
    <w:autoRedefine/>
    <w:qFormat/>
    <w:uiPriority w:val="99"/>
    <w:rPr>
      <w:rFonts w:ascii="宋体" w:hAnsi="Times New Roman" w:eastAsia="宋体" w:cs="Times New Roman"/>
      <w:sz w:val="18"/>
      <w:szCs w:val="18"/>
    </w:rPr>
  </w:style>
  <w:style w:type="character" w:customStyle="1" w:styleId="46">
    <w:name w:val="批注框文本 Char"/>
    <w:link w:val="16"/>
    <w:autoRedefine/>
    <w:semiHidden/>
    <w:qFormat/>
    <w:uiPriority w:val="99"/>
    <w:rPr>
      <w:sz w:val="18"/>
      <w:szCs w:val="18"/>
    </w:rPr>
  </w:style>
  <w:style w:type="paragraph" w:styleId="47">
    <w:name w:val="Quote"/>
    <w:basedOn w:val="1"/>
    <w:next w:val="1"/>
    <w:link w:val="48"/>
    <w:autoRedefine/>
    <w:qFormat/>
    <w:uiPriority w:val="29"/>
    <w:rPr>
      <w:i/>
      <w:iCs/>
      <w:color w:val="000000"/>
    </w:rPr>
  </w:style>
  <w:style w:type="character" w:customStyle="1" w:styleId="48">
    <w:name w:val="引用 Char"/>
    <w:link w:val="47"/>
    <w:autoRedefine/>
    <w:qFormat/>
    <w:uiPriority w:val="29"/>
    <w:rPr>
      <w:i/>
      <w:iCs/>
      <w:color w:val="000000"/>
    </w:rPr>
  </w:style>
  <w:style w:type="character" w:customStyle="1" w:styleId="49">
    <w:name w:val="标题 Char"/>
    <w:link w:val="26"/>
    <w:autoRedefine/>
    <w:qFormat/>
    <w:uiPriority w:val="0"/>
    <w:rPr>
      <w:rFonts w:ascii="Arial" w:hAnsi="Arial" w:eastAsia="宋体" w:cs="Arial"/>
      <w:b/>
      <w:bCs/>
      <w:sz w:val="32"/>
      <w:szCs w:val="32"/>
    </w:rPr>
  </w:style>
  <w:style w:type="paragraph" w:customStyle="1" w:styleId="50">
    <w:name w:val="标准标志"/>
    <w:next w:val="1"/>
    <w:autoRedefine/>
    <w:qFormat/>
    <w:uiPriority w:val="0"/>
    <w:pPr>
      <w:framePr w:w="2268" w:h="1392" w:hRule="exact" w:wrap="around" w:vAnchor="margin" w:hAnchor="margin" w:x="6748" w:y="171" w:anchorLock="1"/>
      <w:shd w:val="solid" w:color="FFFFFF" w:fill="FFFFFF"/>
      <w:spacing w:line="0" w:lineRule="atLeast"/>
      <w:jc w:val="right"/>
    </w:pPr>
    <w:rPr>
      <w:rFonts w:ascii="Times New Roman" w:hAnsi="Times New Roman" w:eastAsia="宋体" w:cs="Times New Roman"/>
      <w:b/>
      <w:w w:val="130"/>
      <w:sz w:val="96"/>
      <w:lang w:val="en-US" w:eastAsia="zh-CN" w:bidi="ar-SA"/>
    </w:rPr>
  </w:style>
  <w:style w:type="paragraph" w:customStyle="1" w:styleId="51">
    <w:name w:val="标准称谓"/>
    <w:next w:val="1"/>
    <w:autoRedefine/>
    <w:qFormat/>
    <w:uiPriority w:val="0"/>
    <w:pPr>
      <w:framePr w:w="9638" w:h="754" w:hRule="exact" w:hSpace="180" w:vSpace="180" w:wrap="around" w:vAnchor="page" w:hAnchor="margin" w:xAlign="center" w:y="2128" w:anchorLock="1"/>
      <w:widowControl w:val="0"/>
      <w:kinsoku w:val="0"/>
      <w:overflowPunct w:val="0"/>
      <w:autoSpaceDE w:val="0"/>
      <w:autoSpaceDN w:val="0"/>
      <w:spacing w:line="0" w:lineRule="atLeast"/>
      <w:jc w:val="distribute"/>
    </w:pPr>
    <w:rPr>
      <w:rFonts w:ascii="宋体" w:hAnsi="Times New Roman" w:eastAsia="宋体" w:cs="Times New Roman"/>
      <w:b/>
      <w:bCs/>
      <w:w w:val="148"/>
      <w:sz w:val="52"/>
      <w:lang w:val="en-US" w:eastAsia="zh-CN" w:bidi="ar-SA"/>
    </w:rPr>
  </w:style>
  <w:style w:type="paragraph" w:customStyle="1" w:styleId="52">
    <w:name w:val="标准文件_页脚偶数页"/>
    <w:autoRedefine/>
    <w:qFormat/>
    <w:uiPriority w:val="0"/>
    <w:pPr>
      <w:ind w:left="198"/>
    </w:pPr>
    <w:rPr>
      <w:rFonts w:ascii="宋体" w:hAnsi="Times New Roman" w:eastAsia="宋体" w:cs="Times New Roman"/>
      <w:sz w:val="18"/>
      <w:lang w:val="en-US" w:eastAsia="zh-CN" w:bidi="ar-SA"/>
    </w:rPr>
  </w:style>
  <w:style w:type="paragraph" w:customStyle="1" w:styleId="53">
    <w:name w:val="标准文件_页脚奇数页"/>
    <w:autoRedefine/>
    <w:qFormat/>
    <w:uiPriority w:val="0"/>
    <w:pPr>
      <w:ind w:right="227"/>
      <w:jc w:val="right"/>
    </w:pPr>
    <w:rPr>
      <w:rFonts w:ascii="宋体" w:hAnsi="Times New Roman" w:eastAsia="宋体" w:cs="Times New Roman"/>
      <w:sz w:val="18"/>
      <w:lang w:val="en-US" w:eastAsia="zh-CN" w:bidi="ar-SA"/>
    </w:rPr>
  </w:style>
  <w:style w:type="paragraph" w:customStyle="1" w:styleId="54">
    <w:name w:val="标准书眉一"/>
    <w:autoRedefine/>
    <w:qFormat/>
    <w:uiPriority w:val="0"/>
    <w:pPr>
      <w:jc w:val="both"/>
    </w:pPr>
    <w:rPr>
      <w:rFonts w:ascii="Times New Roman" w:hAnsi="Times New Roman" w:eastAsia="宋体" w:cs="Times New Roman"/>
      <w:lang w:val="en-US" w:eastAsia="zh-CN" w:bidi="ar-SA"/>
    </w:rPr>
  </w:style>
  <w:style w:type="paragraph" w:customStyle="1" w:styleId="55">
    <w:name w:val="标准文件_ICS"/>
    <w:basedOn w:val="1"/>
    <w:autoRedefine/>
    <w:qFormat/>
    <w:uiPriority w:val="0"/>
    <w:pPr>
      <w:spacing w:line="0" w:lineRule="atLeast"/>
    </w:pPr>
    <w:rPr>
      <w:rFonts w:ascii="黑体" w:hAnsi="宋体" w:eastAsia="黑体"/>
    </w:rPr>
  </w:style>
  <w:style w:type="paragraph" w:customStyle="1" w:styleId="56">
    <w:name w:val="标准文件_标准正文"/>
    <w:basedOn w:val="1"/>
    <w:next w:val="57"/>
    <w:autoRedefine/>
    <w:qFormat/>
    <w:uiPriority w:val="0"/>
    <w:pPr>
      <w:snapToGrid w:val="0"/>
      <w:ind w:firstLine="200" w:firstLineChars="200"/>
    </w:pPr>
    <w:rPr>
      <w:kern w:val="0"/>
    </w:rPr>
  </w:style>
  <w:style w:type="paragraph" w:customStyle="1" w:styleId="57">
    <w:name w:val="标准文件_段"/>
    <w:link w:val="185"/>
    <w:autoRedefine/>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58">
    <w:name w:val="标准文件_版本"/>
    <w:basedOn w:val="56"/>
    <w:autoRedefine/>
    <w:qFormat/>
    <w:uiPriority w:val="0"/>
    <w:pPr>
      <w:adjustRightInd/>
      <w:snapToGrid/>
      <w:ind w:firstLine="0" w:firstLineChars="0"/>
    </w:pPr>
    <w:rPr>
      <w:rFonts w:ascii="宋体" w:hAnsi="宋体"/>
      <w:kern w:val="2"/>
    </w:rPr>
  </w:style>
  <w:style w:type="paragraph" w:customStyle="1" w:styleId="59">
    <w:name w:val="标准文件_标准部门"/>
    <w:basedOn w:val="1"/>
    <w:autoRedefine/>
    <w:qFormat/>
    <w:uiPriority w:val="0"/>
    <w:pPr>
      <w:jc w:val="center"/>
    </w:pPr>
    <w:rPr>
      <w:rFonts w:ascii="黑体" w:eastAsia="黑体"/>
      <w:kern w:val="0"/>
      <w:sz w:val="44"/>
    </w:rPr>
  </w:style>
  <w:style w:type="paragraph" w:customStyle="1" w:styleId="60">
    <w:name w:val="标准文件_标准代替"/>
    <w:basedOn w:val="1"/>
    <w:next w:val="1"/>
    <w:autoRedefine/>
    <w:qFormat/>
    <w:uiPriority w:val="0"/>
    <w:pPr>
      <w:spacing w:line="310" w:lineRule="exact"/>
      <w:jc w:val="right"/>
    </w:pPr>
    <w:rPr>
      <w:rFonts w:ascii="宋体" w:hAnsi="宋体"/>
      <w:kern w:val="0"/>
    </w:rPr>
  </w:style>
  <w:style w:type="paragraph" w:customStyle="1" w:styleId="61">
    <w:name w:val="标准文件_标准名称标题"/>
    <w:basedOn w:val="1"/>
    <w:next w:val="1"/>
    <w:autoRedefine/>
    <w:qFormat/>
    <w:uiPriority w:val="0"/>
    <w:pPr>
      <w:widowControl/>
      <w:shd w:val="clear" w:color="FFFFFF" w:fill="FFFFFF"/>
      <w:adjustRightInd/>
      <w:spacing w:before="640" w:after="100"/>
      <w:jc w:val="both"/>
    </w:pPr>
    <w:rPr>
      <w:rFonts w:ascii="黑体" w:hAnsi="黑体" w:eastAsia="黑体"/>
      <w:kern w:val="0"/>
      <w:sz w:val="32"/>
    </w:rPr>
  </w:style>
  <w:style w:type="paragraph" w:customStyle="1" w:styleId="62">
    <w:name w:val="标准文件_页眉奇数页"/>
    <w:next w:val="1"/>
    <w:autoRedefine/>
    <w:qFormat/>
    <w:uiPriority w:val="0"/>
    <w:pPr>
      <w:tabs>
        <w:tab w:val="center" w:pos="4154"/>
        <w:tab w:val="right" w:pos="8306"/>
      </w:tabs>
      <w:spacing w:after="120"/>
      <w:jc w:val="right"/>
    </w:pPr>
    <w:rPr>
      <w:rFonts w:ascii="黑体" w:hAnsi="宋体" w:eastAsia="黑体" w:cs="Times New Roman"/>
      <w:sz w:val="21"/>
      <w:lang w:val="en-US" w:eastAsia="zh-CN" w:bidi="ar-SA"/>
    </w:rPr>
  </w:style>
  <w:style w:type="paragraph" w:customStyle="1" w:styleId="63">
    <w:name w:val="标准文件_页眉偶数页"/>
    <w:basedOn w:val="62"/>
    <w:next w:val="1"/>
    <w:autoRedefine/>
    <w:qFormat/>
    <w:uiPriority w:val="0"/>
    <w:pPr>
      <w:jc w:val="left"/>
    </w:pPr>
  </w:style>
  <w:style w:type="paragraph" w:customStyle="1" w:styleId="64">
    <w:name w:val="标准文件_参考文献标题"/>
    <w:basedOn w:val="1"/>
    <w:next w:val="1"/>
    <w:autoRedefine/>
    <w:qFormat/>
    <w:uiPriority w:val="0"/>
    <w:pPr>
      <w:widowControl/>
      <w:shd w:val="clear" w:color="FFFFFF" w:fill="FFFFFF"/>
      <w:adjustRightInd/>
      <w:spacing w:before="40" w:beforeLines="40" w:after="50" w:afterLines="50" w:line="240" w:lineRule="auto"/>
      <w:jc w:val="center"/>
      <w:outlineLvl w:val="0"/>
    </w:pPr>
    <w:rPr>
      <w:rFonts w:ascii="黑体" w:eastAsia="黑体"/>
      <w:kern w:val="0"/>
    </w:rPr>
  </w:style>
  <w:style w:type="paragraph" w:customStyle="1" w:styleId="65">
    <w:name w:val="标准文件_参考文献条目"/>
    <w:autoRedefine/>
    <w:qFormat/>
    <w:uiPriority w:val="0"/>
    <w:pPr>
      <w:numPr>
        <w:ilvl w:val="0"/>
        <w:numId w:val="1"/>
      </w:numPr>
    </w:pPr>
    <w:rPr>
      <w:rFonts w:ascii="宋体" w:hAnsi="Times New Roman" w:eastAsia="宋体" w:cs="Times New Roman"/>
      <w:lang w:val="en-US" w:eastAsia="zh-CN" w:bidi="ar-SA"/>
    </w:rPr>
  </w:style>
  <w:style w:type="paragraph" w:customStyle="1" w:styleId="66">
    <w:name w:val="标准文件_二级条标题"/>
    <w:next w:val="57"/>
    <w:autoRedefine/>
    <w:qFormat/>
    <w:uiPriority w:val="0"/>
    <w:pPr>
      <w:widowControl w:val="0"/>
      <w:numPr>
        <w:ilvl w:val="3"/>
        <w:numId w:val="2"/>
      </w:numPr>
      <w:spacing w:before="50" w:beforeLines="50" w:after="50" w:afterLines="50"/>
      <w:jc w:val="both"/>
      <w:outlineLvl w:val="2"/>
    </w:pPr>
    <w:rPr>
      <w:rFonts w:ascii="黑体" w:hAnsi="Times New Roman" w:eastAsia="黑体" w:cs="Times New Roman"/>
      <w:sz w:val="21"/>
      <w:lang w:val="en-US" w:eastAsia="zh-CN" w:bidi="ar-SA"/>
    </w:rPr>
  </w:style>
  <w:style w:type="character" w:customStyle="1" w:styleId="67">
    <w:name w:val="标准文件_发布"/>
    <w:autoRedefine/>
    <w:qFormat/>
    <w:uiPriority w:val="0"/>
    <w:rPr>
      <w:rFonts w:ascii="黑体" w:eastAsia="黑体"/>
      <w:spacing w:val="0"/>
      <w:w w:val="100"/>
      <w:position w:val="3"/>
      <w:sz w:val="28"/>
    </w:rPr>
  </w:style>
  <w:style w:type="paragraph" w:customStyle="1" w:styleId="68">
    <w:name w:val="标准文件_方框数字列项"/>
    <w:basedOn w:val="57"/>
    <w:autoRedefine/>
    <w:qFormat/>
    <w:uiPriority w:val="0"/>
    <w:pPr>
      <w:numPr>
        <w:ilvl w:val="0"/>
        <w:numId w:val="3"/>
      </w:numPr>
      <w:ind w:firstLine="0" w:firstLineChars="0"/>
    </w:pPr>
  </w:style>
  <w:style w:type="paragraph" w:customStyle="1" w:styleId="69">
    <w:name w:val="标准文件_封面标准编号"/>
    <w:basedOn w:val="1"/>
    <w:next w:val="60"/>
    <w:autoRedefine/>
    <w:qFormat/>
    <w:uiPriority w:val="0"/>
    <w:pPr>
      <w:spacing w:line="310" w:lineRule="exact"/>
      <w:jc w:val="right"/>
    </w:pPr>
    <w:rPr>
      <w:rFonts w:ascii="黑体" w:eastAsia="黑体"/>
      <w:kern w:val="0"/>
      <w:sz w:val="28"/>
    </w:rPr>
  </w:style>
  <w:style w:type="paragraph" w:customStyle="1" w:styleId="70">
    <w:name w:val="标准文件_封面标准分类号"/>
    <w:basedOn w:val="1"/>
    <w:autoRedefine/>
    <w:qFormat/>
    <w:uiPriority w:val="0"/>
    <w:rPr>
      <w:rFonts w:ascii="黑体" w:eastAsia="黑体"/>
      <w:b/>
      <w:kern w:val="0"/>
      <w:sz w:val="28"/>
    </w:rPr>
  </w:style>
  <w:style w:type="paragraph" w:customStyle="1" w:styleId="71">
    <w:name w:val="标准文件_封面标准名称"/>
    <w:basedOn w:val="1"/>
    <w:autoRedefine/>
    <w:qFormat/>
    <w:uiPriority w:val="0"/>
    <w:pPr>
      <w:spacing w:line="240" w:lineRule="auto"/>
      <w:jc w:val="center"/>
    </w:pPr>
    <w:rPr>
      <w:rFonts w:ascii="黑体" w:eastAsia="黑体"/>
      <w:kern w:val="0"/>
      <w:sz w:val="52"/>
    </w:rPr>
  </w:style>
  <w:style w:type="paragraph" w:customStyle="1" w:styleId="72">
    <w:name w:val="标准文件_封面标准英文名称"/>
    <w:basedOn w:val="1"/>
    <w:autoRedefine/>
    <w:qFormat/>
    <w:uiPriority w:val="0"/>
    <w:pPr>
      <w:spacing w:line="240" w:lineRule="auto"/>
      <w:jc w:val="center"/>
    </w:pPr>
    <w:rPr>
      <w:rFonts w:ascii="黑体" w:eastAsia="黑体"/>
      <w:b/>
      <w:sz w:val="28"/>
    </w:rPr>
  </w:style>
  <w:style w:type="paragraph" w:customStyle="1" w:styleId="73">
    <w:name w:val="标准文件_封面发布日期"/>
    <w:basedOn w:val="1"/>
    <w:autoRedefine/>
    <w:qFormat/>
    <w:uiPriority w:val="0"/>
    <w:pPr>
      <w:spacing w:line="310" w:lineRule="exact"/>
    </w:pPr>
    <w:rPr>
      <w:rFonts w:ascii="黑体" w:eastAsia="黑体"/>
      <w:kern w:val="0"/>
      <w:sz w:val="28"/>
    </w:rPr>
  </w:style>
  <w:style w:type="paragraph" w:customStyle="1" w:styleId="74">
    <w:name w:val="标准文件_封面密级"/>
    <w:basedOn w:val="1"/>
    <w:autoRedefine/>
    <w:qFormat/>
    <w:uiPriority w:val="0"/>
    <w:rPr>
      <w:rFonts w:eastAsia="黑体"/>
      <w:sz w:val="32"/>
    </w:rPr>
  </w:style>
  <w:style w:type="paragraph" w:customStyle="1" w:styleId="75">
    <w:name w:val="标准文件_封面实施日期"/>
    <w:basedOn w:val="1"/>
    <w:autoRedefine/>
    <w:qFormat/>
    <w:uiPriority w:val="0"/>
    <w:pPr>
      <w:spacing w:line="310" w:lineRule="exact"/>
      <w:jc w:val="right"/>
    </w:pPr>
    <w:rPr>
      <w:rFonts w:ascii="黑体" w:eastAsia="黑体"/>
      <w:sz w:val="28"/>
    </w:rPr>
  </w:style>
  <w:style w:type="paragraph" w:customStyle="1" w:styleId="76">
    <w:name w:val="标准文件_封面抬头"/>
    <w:basedOn w:val="57"/>
    <w:autoRedefine/>
    <w:qFormat/>
    <w:uiPriority w:val="0"/>
    <w:pPr>
      <w:adjustRightInd w:val="0"/>
      <w:spacing w:line="800" w:lineRule="exact"/>
      <w:ind w:firstLine="0" w:firstLineChars="0"/>
      <w:jc w:val="distribute"/>
    </w:pPr>
    <w:rPr>
      <w:rFonts w:ascii="黑体" w:eastAsia="黑体"/>
      <w:b/>
      <w:sz w:val="64"/>
    </w:rPr>
  </w:style>
  <w:style w:type="paragraph" w:customStyle="1" w:styleId="77">
    <w:name w:val="标准文件_附录标识"/>
    <w:next w:val="57"/>
    <w:autoRedefine/>
    <w:qFormat/>
    <w:uiPriority w:val="0"/>
    <w:pPr>
      <w:numPr>
        <w:ilvl w:val="0"/>
        <w:numId w:val="4"/>
      </w:numPr>
      <w:shd w:val="clear" w:color="FFFFFF" w:fill="FFFFFF"/>
      <w:tabs>
        <w:tab w:val="left" w:pos="6406"/>
      </w:tabs>
      <w:spacing w:before="25" w:beforeLines="25" w:after="50" w:afterLines="50"/>
      <w:jc w:val="center"/>
      <w:outlineLvl w:val="0"/>
    </w:pPr>
    <w:rPr>
      <w:rFonts w:ascii="黑体" w:hAnsi="Times New Roman" w:eastAsia="黑体" w:cs="Times New Roman"/>
      <w:sz w:val="21"/>
      <w:lang w:val="en-US" w:eastAsia="zh-CN" w:bidi="ar-SA"/>
    </w:rPr>
  </w:style>
  <w:style w:type="paragraph" w:customStyle="1" w:styleId="78">
    <w:name w:val="标准文件_附录表标题"/>
    <w:next w:val="57"/>
    <w:autoRedefine/>
    <w:qFormat/>
    <w:uiPriority w:val="0"/>
    <w:pPr>
      <w:numPr>
        <w:ilvl w:val="1"/>
        <w:numId w:val="5"/>
      </w:numPr>
      <w:adjustRightInd w:val="0"/>
      <w:snapToGrid w:val="0"/>
      <w:spacing w:before="50" w:beforeLines="50" w:after="50" w:afterLines="50"/>
      <w:ind w:firstLine="420"/>
      <w:jc w:val="center"/>
      <w:textAlignment w:val="baseline"/>
    </w:pPr>
    <w:rPr>
      <w:rFonts w:ascii="黑体" w:hAnsi="Times New Roman" w:eastAsia="黑体" w:cs="Times New Roman"/>
      <w:kern w:val="21"/>
      <w:sz w:val="21"/>
      <w:lang w:val="en-US" w:eastAsia="zh-CN" w:bidi="ar-SA"/>
    </w:rPr>
  </w:style>
  <w:style w:type="paragraph" w:customStyle="1" w:styleId="79">
    <w:name w:val="标准文件_附录一级条标题"/>
    <w:next w:val="57"/>
    <w:autoRedefine/>
    <w:qFormat/>
    <w:uiPriority w:val="0"/>
    <w:pPr>
      <w:widowControl w:val="0"/>
      <w:numPr>
        <w:ilvl w:val="1"/>
        <w:numId w:val="4"/>
      </w:numPr>
      <w:spacing w:before="50" w:beforeLines="50" w:after="50" w:afterLines="50"/>
      <w:jc w:val="both"/>
      <w:outlineLvl w:val="2"/>
    </w:pPr>
    <w:rPr>
      <w:rFonts w:ascii="黑体" w:hAnsi="Times New Roman" w:eastAsia="黑体" w:cs="Times New Roman"/>
      <w:kern w:val="21"/>
      <w:sz w:val="21"/>
      <w:lang w:val="en-US" w:eastAsia="zh-CN" w:bidi="ar-SA"/>
    </w:rPr>
  </w:style>
  <w:style w:type="paragraph" w:customStyle="1" w:styleId="80">
    <w:name w:val="标准文件_附录二级条标题"/>
    <w:basedOn w:val="79"/>
    <w:next w:val="57"/>
    <w:autoRedefine/>
    <w:qFormat/>
    <w:uiPriority w:val="0"/>
    <w:pPr>
      <w:widowControl/>
      <w:numPr>
        <w:ilvl w:val="2"/>
      </w:numPr>
      <w:wordWrap w:val="0"/>
      <w:overflowPunct w:val="0"/>
      <w:autoSpaceDE w:val="0"/>
      <w:autoSpaceDN w:val="0"/>
      <w:textAlignment w:val="baseline"/>
      <w:outlineLvl w:val="3"/>
    </w:pPr>
  </w:style>
  <w:style w:type="paragraph" w:customStyle="1" w:styleId="81">
    <w:name w:val="标准文件_附录公式"/>
    <w:basedOn w:val="56"/>
    <w:next w:val="56"/>
    <w:autoRedefine/>
    <w:qFormat/>
    <w:uiPriority w:val="0"/>
    <w:pPr>
      <w:tabs>
        <w:tab w:val="center" w:pos="4678"/>
        <w:tab w:val="right" w:leader="middleDot" w:pos="9356"/>
      </w:tabs>
      <w:spacing w:line="240" w:lineRule="auto"/>
      <w:ind w:right="-51" w:firstLine="0" w:firstLineChars="0"/>
    </w:pPr>
    <w:rPr>
      <w:rFonts w:ascii="宋体" w:hAnsi="宋体"/>
    </w:rPr>
  </w:style>
  <w:style w:type="paragraph" w:customStyle="1" w:styleId="82">
    <w:name w:val="标准文件_附录三级条标题"/>
    <w:next w:val="57"/>
    <w:autoRedefine/>
    <w:qFormat/>
    <w:uiPriority w:val="0"/>
    <w:pPr>
      <w:widowControl w:val="0"/>
      <w:numPr>
        <w:ilvl w:val="3"/>
        <w:numId w:val="4"/>
      </w:numPr>
      <w:spacing w:before="50" w:beforeLines="50" w:after="50" w:afterLines="50"/>
      <w:jc w:val="both"/>
      <w:outlineLvl w:val="4"/>
    </w:pPr>
    <w:rPr>
      <w:rFonts w:ascii="黑体" w:hAnsi="Times New Roman" w:eastAsia="黑体" w:cs="Times New Roman"/>
      <w:kern w:val="21"/>
      <w:sz w:val="21"/>
      <w:lang w:val="en-US" w:eastAsia="zh-CN" w:bidi="ar-SA"/>
    </w:rPr>
  </w:style>
  <w:style w:type="paragraph" w:customStyle="1" w:styleId="83">
    <w:name w:val="标准文件_附录四级条标题"/>
    <w:next w:val="57"/>
    <w:autoRedefine/>
    <w:qFormat/>
    <w:uiPriority w:val="0"/>
    <w:pPr>
      <w:widowControl w:val="0"/>
      <w:numPr>
        <w:ilvl w:val="4"/>
        <w:numId w:val="4"/>
      </w:numPr>
      <w:spacing w:before="50" w:beforeLines="50" w:after="50" w:afterLines="50"/>
      <w:jc w:val="both"/>
      <w:outlineLvl w:val="5"/>
    </w:pPr>
    <w:rPr>
      <w:rFonts w:ascii="黑体" w:hAnsi="Times New Roman" w:eastAsia="黑体" w:cs="Times New Roman"/>
      <w:kern w:val="21"/>
      <w:sz w:val="21"/>
      <w:lang w:val="en-US" w:eastAsia="zh-CN" w:bidi="ar-SA"/>
    </w:rPr>
  </w:style>
  <w:style w:type="paragraph" w:customStyle="1" w:styleId="84">
    <w:name w:val="标准文件_附录图标题"/>
    <w:next w:val="57"/>
    <w:autoRedefine/>
    <w:qFormat/>
    <w:uiPriority w:val="0"/>
    <w:pPr>
      <w:numPr>
        <w:ilvl w:val="1"/>
        <w:numId w:val="6"/>
      </w:numPr>
      <w:adjustRightInd w:val="0"/>
      <w:snapToGrid w:val="0"/>
      <w:spacing w:before="50" w:beforeLines="50" w:after="50" w:afterLines="50"/>
      <w:ind w:firstLine="420"/>
      <w:jc w:val="center"/>
    </w:pPr>
    <w:rPr>
      <w:rFonts w:ascii="黑体" w:hAnsi="Times New Roman" w:eastAsia="黑体" w:cs="Times New Roman"/>
      <w:sz w:val="21"/>
      <w:lang w:val="en-US" w:eastAsia="zh-CN" w:bidi="ar-SA"/>
    </w:rPr>
  </w:style>
  <w:style w:type="paragraph" w:customStyle="1" w:styleId="85">
    <w:name w:val="标准文件_附录五级条标题"/>
    <w:next w:val="57"/>
    <w:autoRedefine/>
    <w:qFormat/>
    <w:uiPriority w:val="0"/>
    <w:pPr>
      <w:widowControl w:val="0"/>
      <w:numPr>
        <w:ilvl w:val="5"/>
        <w:numId w:val="4"/>
      </w:numPr>
      <w:spacing w:before="50" w:beforeLines="50" w:after="50" w:afterLines="50"/>
      <w:jc w:val="both"/>
      <w:outlineLvl w:val="6"/>
    </w:pPr>
    <w:rPr>
      <w:rFonts w:ascii="黑体" w:hAnsi="Times New Roman" w:eastAsia="黑体" w:cs="Times New Roman"/>
      <w:kern w:val="21"/>
      <w:sz w:val="21"/>
      <w:lang w:val="en-US" w:eastAsia="zh-CN" w:bidi="ar-SA"/>
    </w:rPr>
  </w:style>
  <w:style w:type="paragraph" w:customStyle="1" w:styleId="86">
    <w:name w:val="标准文件_附录英文标识"/>
    <w:next w:val="13"/>
    <w:autoRedefine/>
    <w:qFormat/>
    <w:uiPriority w:val="0"/>
    <w:pPr>
      <w:numPr>
        <w:ilvl w:val="0"/>
        <w:numId w:val="7"/>
      </w:numPr>
      <w:tabs>
        <w:tab w:val="left" w:pos="6406"/>
      </w:tabs>
      <w:spacing w:before="220" w:after="320"/>
      <w:jc w:val="center"/>
      <w:outlineLvl w:val="0"/>
    </w:pPr>
    <w:rPr>
      <w:rFonts w:ascii="黑体" w:hAnsi="Times New Roman" w:eastAsia="黑体" w:cs="Times New Roman"/>
      <w:sz w:val="21"/>
      <w:lang w:val="en-US" w:eastAsia="zh-CN" w:bidi="ar-SA"/>
    </w:rPr>
  </w:style>
  <w:style w:type="character" w:customStyle="1" w:styleId="87">
    <w:name w:val="正文文本 Char"/>
    <w:link w:val="13"/>
    <w:autoRedefine/>
    <w:qFormat/>
    <w:uiPriority w:val="0"/>
    <w:rPr>
      <w:rFonts w:ascii="Times New Roman" w:hAnsi="Times New Roman" w:eastAsia="宋体" w:cs="Times New Roman"/>
      <w:szCs w:val="20"/>
    </w:rPr>
  </w:style>
  <w:style w:type="paragraph" w:customStyle="1" w:styleId="88">
    <w:name w:val="标准文件_附录章标题"/>
    <w:next w:val="57"/>
    <w:autoRedefine/>
    <w:qFormat/>
    <w:uiPriority w:val="0"/>
    <w:pPr>
      <w:wordWrap w:val="0"/>
      <w:overflowPunct w:val="0"/>
      <w:autoSpaceDE w:val="0"/>
      <w:spacing w:beforeLines="50" w:afterLines="50"/>
      <w:jc w:val="both"/>
      <w:textAlignment w:val="baseline"/>
      <w:outlineLvl w:val="1"/>
    </w:pPr>
    <w:rPr>
      <w:rFonts w:ascii="黑体" w:hAnsi="Times New Roman" w:eastAsia="黑体" w:cs="Times New Roman"/>
      <w:kern w:val="21"/>
      <w:sz w:val="21"/>
      <w:lang w:val="en-US" w:eastAsia="zh-CN" w:bidi="ar-SA"/>
    </w:rPr>
  </w:style>
  <w:style w:type="paragraph" w:customStyle="1" w:styleId="89">
    <w:name w:val="标准文件_公式后的破折号"/>
    <w:basedOn w:val="57"/>
    <w:next w:val="57"/>
    <w:autoRedefine/>
    <w:qFormat/>
    <w:uiPriority w:val="0"/>
    <w:pPr>
      <w:ind w:left="488" w:leftChars="200" w:hanging="289" w:hangingChars="290"/>
    </w:pPr>
  </w:style>
  <w:style w:type="paragraph" w:customStyle="1" w:styleId="90">
    <w:name w:val="标准文件_前言、引言标题"/>
    <w:next w:val="1"/>
    <w:autoRedefine/>
    <w:qFormat/>
    <w:uiPriority w:val="0"/>
    <w:pPr>
      <w:numPr>
        <w:ilvl w:val="0"/>
        <w:numId w:val="8"/>
      </w:numPr>
      <w:shd w:val="clear" w:color="FFFFFF" w:fill="FFFFFF"/>
      <w:spacing w:line="360" w:lineRule="auto"/>
      <w:ind w:left="0" w:firstLine="0"/>
      <w:jc w:val="both"/>
      <w:outlineLvl w:val="0"/>
    </w:pPr>
    <w:rPr>
      <w:rFonts w:ascii="黑体" w:hAnsi="黑体" w:eastAsia="黑体" w:cs="Times New Roman"/>
      <w:sz w:val="28"/>
      <w:lang w:val="en-US" w:eastAsia="zh-CN" w:bidi="ar-SA"/>
    </w:rPr>
  </w:style>
  <w:style w:type="paragraph" w:customStyle="1" w:styleId="91">
    <w:name w:val="标准文件_目次、标准名称标题"/>
    <w:basedOn w:val="90"/>
    <w:next w:val="57"/>
    <w:autoRedefine/>
    <w:qFormat/>
    <w:uiPriority w:val="0"/>
    <w:pPr>
      <w:spacing w:line="460" w:lineRule="exact"/>
    </w:pPr>
  </w:style>
  <w:style w:type="paragraph" w:customStyle="1" w:styleId="92">
    <w:name w:val="标准文件_目录标题"/>
    <w:basedOn w:val="1"/>
    <w:autoRedefine/>
    <w:qFormat/>
    <w:uiPriority w:val="0"/>
    <w:pPr>
      <w:spacing w:after="150" w:afterLines="150" w:line="240" w:lineRule="auto"/>
      <w:jc w:val="center"/>
    </w:pPr>
    <w:rPr>
      <w:rFonts w:ascii="黑体" w:eastAsia="黑体"/>
      <w:sz w:val="32"/>
    </w:rPr>
  </w:style>
  <w:style w:type="paragraph" w:customStyle="1" w:styleId="93">
    <w:name w:val="标准文件_破折号列项"/>
    <w:autoRedefine/>
    <w:qFormat/>
    <w:uiPriority w:val="0"/>
    <w:pPr>
      <w:numPr>
        <w:ilvl w:val="0"/>
        <w:numId w:val="9"/>
      </w:numPr>
      <w:adjustRightInd w:val="0"/>
      <w:snapToGrid w:val="0"/>
      <w:ind w:left="0" w:firstLine="200" w:firstLineChars="200"/>
    </w:pPr>
    <w:rPr>
      <w:rFonts w:ascii="Times New Roman" w:hAnsi="Times New Roman" w:eastAsia="宋体" w:cs="Times New Roman"/>
      <w:sz w:val="21"/>
      <w:lang w:val="en-US" w:eastAsia="zh-CN" w:bidi="ar-SA"/>
    </w:rPr>
  </w:style>
  <w:style w:type="paragraph" w:customStyle="1" w:styleId="94">
    <w:name w:val="标准文件_破折号列项（二级）"/>
    <w:basedOn w:val="93"/>
    <w:autoRedefine/>
    <w:qFormat/>
    <w:uiPriority w:val="0"/>
    <w:pPr>
      <w:numPr>
        <w:numId w:val="10"/>
      </w:numPr>
      <w:ind w:left="0" w:firstLine="200"/>
    </w:pPr>
  </w:style>
  <w:style w:type="paragraph" w:customStyle="1" w:styleId="95">
    <w:name w:val="标准文件_三级条标题"/>
    <w:basedOn w:val="66"/>
    <w:next w:val="57"/>
    <w:autoRedefine/>
    <w:qFormat/>
    <w:uiPriority w:val="0"/>
    <w:pPr>
      <w:widowControl/>
      <w:numPr>
        <w:ilvl w:val="4"/>
      </w:numPr>
      <w:outlineLvl w:val="3"/>
    </w:pPr>
  </w:style>
  <w:style w:type="character" w:customStyle="1" w:styleId="96">
    <w:name w:val="不明显参考1"/>
    <w:autoRedefine/>
    <w:qFormat/>
    <w:uiPriority w:val="31"/>
    <w:rPr>
      <w:smallCaps/>
      <w:color w:val="C0504D"/>
      <w:u w:val="single"/>
    </w:rPr>
  </w:style>
  <w:style w:type="paragraph" w:customStyle="1" w:styleId="97">
    <w:name w:val="标准文件_示例后续"/>
    <w:basedOn w:val="1"/>
    <w:autoRedefine/>
    <w:qFormat/>
    <w:uiPriority w:val="0"/>
    <w:pPr>
      <w:adjustRightInd/>
      <w:spacing w:line="240" w:lineRule="auto"/>
      <w:ind w:firstLine="200" w:firstLineChars="200"/>
    </w:pPr>
    <w:rPr>
      <w:sz w:val="18"/>
      <w:szCs w:val="24"/>
    </w:rPr>
  </w:style>
  <w:style w:type="paragraph" w:customStyle="1" w:styleId="98">
    <w:name w:val="标准文件_数字编号列项"/>
    <w:autoRedefine/>
    <w:qFormat/>
    <w:uiPriority w:val="0"/>
    <w:pPr>
      <w:numPr>
        <w:ilvl w:val="0"/>
        <w:numId w:val="11"/>
      </w:numPr>
      <w:jc w:val="both"/>
    </w:pPr>
    <w:rPr>
      <w:rFonts w:ascii="宋体" w:hAnsi="宋体" w:eastAsia="宋体" w:cs="Times New Roman"/>
      <w:sz w:val="21"/>
      <w:lang w:val="en-US" w:eastAsia="zh-CN" w:bidi="ar-SA"/>
    </w:rPr>
  </w:style>
  <w:style w:type="paragraph" w:customStyle="1" w:styleId="99">
    <w:name w:val="标准文件_四级条标题"/>
    <w:next w:val="57"/>
    <w:autoRedefine/>
    <w:qFormat/>
    <w:uiPriority w:val="0"/>
    <w:pPr>
      <w:widowControl w:val="0"/>
      <w:numPr>
        <w:ilvl w:val="5"/>
        <w:numId w:val="2"/>
      </w:numPr>
      <w:spacing w:before="50" w:beforeLines="50" w:after="50" w:afterLines="50"/>
      <w:jc w:val="both"/>
      <w:outlineLvl w:val="4"/>
    </w:pPr>
    <w:rPr>
      <w:rFonts w:ascii="黑体" w:hAnsi="Times New Roman" w:eastAsia="黑体" w:cs="Times New Roman"/>
      <w:sz w:val="21"/>
      <w:lang w:val="en-US" w:eastAsia="zh-CN" w:bidi="ar-SA"/>
    </w:rPr>
  </w:style>
  <w:style w:type="character" w:customStyle="1" w:styleId="100">
    <w:name w:val="脚注文本 Char"/>
    <w:link w:val="21"/>
    <w:autoRedefine/>
    <w:semiHidden/>
    <w:qFormat/>
    <w:uiPriority w:val="0"/>
    <w:rPr>
      <w:rFonts w:ascii="宋体" w:hAnsi="Times New Roman" w:eastAsia="宋体" w:cs="Times New Roman"/>
      <w:sz w:val="18"/>
      <w:szCs w:val="18"/>
    </w:rPr>
  </w:style>
  <w:style w:type="paragraph" w:customStyle="1" w:styleId="101">
    <w:name w:val="标准文件_条文脚注"/>
    <w:basedOn w:val="21"/>
    <w:autoRedefine/>
    <w:qFormat/>
    <w:uiPriority w:val="0"/>
    <w:pPr>
      <w:adjustRightInd w:val="0"/>
      <w:spacing w:line="240" w:lineRule="auto"/>
      <w:ind w:left="0" w:leftChars="0" w:firstLine="200" w:firstLineChars="200"/>
      <w:jc w:val="both"/>
    </w:pPr>
    <w:rPr>
      <w:rFonts w:hAnsi="宋体"/>
    </w:rPr>
  </w:style>
  <w:style w:type="paragraph" w:customStyle="1" w:styleId="102">
    <w:name w:val="标准文件_图表脚注"/>
    <w:basedOn w:val="1"/>
    <w:next w:val="57"/>
    <w:autoRedefine/>
    <w:qFormat/>
    <w:uiPriority w:val="0"/>
    <w:pPr>
      <w:numPr>
        <w:ilvl w:val="0"/>
        <w:numId w:val="12"/>
      </w:numPr>
      <w:spacing w:line="240" w:lineRule="auto"/>
      <w:jc w:val="left"/>
    </w:pPr>
    <w:rPr>
      <w:rFonts w:ascii="宋体" w:hAnsi="宋体"/>
      <w:sz w:val="18"/>
    </w:rPr>
  </w:style>
  <w:style w:type="character" w:customStyle="1" w:styleId="103">
    <w:name w:val="标准文件_图表脚注内容"/>
    <w:autoRedefine/>
    <w:qFormat/>
    <w:uiPriority w:val="0"/>
    <w:rPr>
      <w:rFonts w:ascii="宋体" w:hAnsi="宋体" w:eastAsia="宋体" w:cs="Times New Roman"/>
      <w:spacing w:val="0"/>
      <w:sz w:val="18"/>
      <w:vertAlign w:val="superscript"/>
    </w:rPr>
  </w:style>
  <w:style w:type="paragraph" w:customStyle="1" w:styleId="104">
    <w:name w:val="标准文件_五级条标题"/>
    <w:next w:val="57"/>
    <w:autoRedefine/>
    <w:qFormat/>
    <w:uiPriority w:val="0"/>
    <w:pPr>
      <w:widowControl w:val="0"/>
      <w:numPr>
        <w:ilvl w:val="6"/>
        <w:numId w:val="2"/>
      </w:numPr>
      <w:spacing w:before="50" w:beforeLines="50" w:after="50" w:afterLines="50"/>
      <w:jc w:val="both"/>
      <w:outlineLvl w:val="5"/>
    </w:pPr>
    <w:rPr>
      <w:rFonts w:ascii="黑体" w:hAnsi="Times New Roman" w:eastAsia="黑体" w:cs="Times New Roman"/>
      <w:sz w:val="21"/>
      <w:lang w:val="en-US" w:eastAsia="zh-CN" w:bidi="ar-SA"/>
    </w:rPr>
  </w:style>
  <w:style w:type="paragraph" w:customStyle="1" w:styleId="105">
    <w:name w:val="标准文件_章标题"/>
    <w:next w:val="57"/>
    <w:autoRedefine/>
    <w:qFormat/>
    <w:uiPriority w:val="0"/>
    <w:pPr>
      <w:numPr>
        <w:ilvl w:val="1"/>
        <w:numId w:val="2"/>
      </w:numPr>
      <w:spacing w:before="100" w:beforeLines="100" w:after="100" w:afterLines="100"/>
      <w:jc w:val="both"/>
      <w:outlineLvl w:val="0"/>
    </w:pPr>
    <w:rPr>
      <w:rFonts w:ascii="黑体" w:hAnsi="Times New Roman" w:eastAsia="黑体" w:cs="Times New Roman"/>
      <w:sz w:val="21"/>
      <w:lang w:val="en-US" w:eastAsia="zh-CN" w:bidi="ar-SA"/>
    </w:rPr>
  </w:style>
  <w:style w:type="paragraph" w:customStyle="1" w:styleId="106">
    <w:name w:val="标准文件_一级条标题"/>
    <w:basedOn w:val="105"/>
    <w:next w:val="57"/>
    <w:autoRedefine/>
    <w:qFormat/>
    <w:uiPriority w:val="0"/>
    <w:pPr>
      <w:numPr>
        <w:ilvl w:val="2"/>
      </w:numPr>
      <w:spacing w:before="50" w:beforeLines="50" w:after="50" w:afterLines="50"/>
      <w:outlineLvl w:val="1"/>
    </w:pPr>
  </w:style>
  <w:style w:type="paragraph" w:customStyle="1" w:styleId="107">
    <w:name w:val="标准文件_一致程度"/>
    <w:basedOn w:val="1"/>
    <w:autoRedefine/>
    <w:qFormat/>
    <w:uiPriority w:val="0"/>
    <w:pPr>
      <w:spacing w:line="440" w:lineRule="exact"/>
      <w:jc w:val="center"/>
    </w:pPr>
    <w:rPr>
      <w:sz w:val="28"/>
    </w:rPr>
  </w:style>
  <w:style w:type="paragraph" w:customStyle="1" w:styleId="108">
    <w:name w:val="标准文件_引言标题"/>
    <w:next w:val="1"/>
    <w:autoRedefine/>
    <w:qFormat/>
    <w:uiPriority w:val="0"/>
    <w:pPr>
      <w:shd w:val="clear" w:color="FFFFFF" w:fill="FFFFFF"/>
      <w:spacing w:before="540" w:after="600"/>
      <w:jc w:val="center"/>
      <w:outlineLvl w:val="0"/>
    </w:pPr>
    <w:rPr>
      <w:rFonts w:ascii="黑体" w:hAnsi="Times New Roman" w:eastAsia="黑体" w:cs="Times New Roman"/>
      <w:sz w:val="32"/>
      <w:lang w:val="en-US" w:eastAsia="zh-CN" w:bidi="ar-SA"/>
    </w:rPr>
  </w:style>
  <w:style w:type="paragraph" w:customStyle="1" w:styleId="109">
    <w:name w:val="标准文件_英文图表脚注"/>
    <w:basedOn w:val="56"/>
    <w:autoRedefine/>
    <w:qFormat/>
    <w:uiPriority w:val="0"/>
    <w:pPr>
      <w:widowControl/>
      <w:adjustRightInd/>
      <w:snapToGrid/>
      <w:spacing w:line="240" w:lineRule="auto"/>
      <w:ind w:left="79" w:hanging="79" w:hangingChars="80"/>
    </w:pPr>
    <w:rPr>
      <w:rFonts w:ascii="宋体" w:hAnsi="宋体"/>
    </w:rPr>
  </w:style>
  <w:style w:type="paragraph" w:customStyle="1" w:styleId="110">
    <w:name w:val="标准文件_数字编号列项（二级）"/>
    <w:autoRedefine/>
    <w:qFormat/>
    <w:uiPriority w:val="0"/>
    <w:pPr>
      <w:numPr>
        <w:ilvl w:val="1"/>
        <w:numId w:val="13"/>
      </w:numPr>
      <w:tabs>
        <w:tab w:val="left" w:pos="851"/>
      </w:tabs>
      <w:jc w:val="both"/>
    </w:pPr>
    <w:rPr>
      <w:rFonts w:ascii="宋体" w:hAnsi="Times New Roman" w:eastAsia="宋体" w:cs="Times New Roman"/>
      <w:sz w:val="21"/>
      <w:lang w:val="en-US" w:eastAsia="zh-CN" w:bidi="ar-SA"/>
    </w:rPr>
  </w:style>
  <w:style w:type="paragraph" w:customStyle="1" w:styleId="111">
    <w:name w:val="标准文件_英文注："/>
    <w:basedOn w:val="1"/>
    <w:next w:val="57"/>
    <w:autoRedefine/>
    <w:qFormat/>
    <w:uiPriority w:val="0"/>
    <w:pPr>
      <w:numPr>
        <w:ilvl w:val="0"/>
        <w:numId w:val="14"/>
      </w:numPr>
      <w:tabs>
        <w:tab w:val="left" w:pos="420"/>
      </w:tabs>
      <w:autoSpaceDE w:val="0"/>
      <w:autoSpaceDN w:val="0"/>
      <w:spacing w:line="240" w:lineRule="auto"/>
    </w:pPr>
    <w:rPr>
      <w:rFonts w:ascii="宋体" w:hAnsi="宋体"/>
      <w:kern w:val="0"/>
      <w:sz w:val="18"/>
      <w:szCs w:val="20"/>
    </w:rPr>
  </w:style>
  <w:style w:type="paragraph" w:customStyle="1" w:styleId="112">
    <w:name w:val="标准文件_英文注×："/>
    <w:basedOn w:val="1"/>
    <w:autoRedefine/>
    <w:qFormat/>
    <w:uiPriority w:val="0"/>
    <w:pPr>
      <w:numPr>
        <w:ilvl w:val="0"/>
        <w:numId w:val="15"/>
      </w:numPr>
      <w:tabs>
        <w:tab w:val="left" w:pos="210"/>
      </w:tabs>
      <w:autoSpaceDE w:val="0"/>
      <w:autoSpaceDN w:val="0"/>
      <w:spacing w:line="240" w:lineRule="auto"/>
    </w:pPr>
    <w:rPr>
      <w:rFonts w:ascii="宋体" w:hAnsi="宋体"/>
      <w:kern w:val="0"/>
      <w:szCs w:val="20"/>
    </w:rPr>
  </w:style>
  <w:style w:type="paragraph" w:customStyle="1" w:styleId="113">
    <w:name w:val="标准文件_正文表标题"/>
    <w:next w:val="57"/>
    <w:autoRedefine/>
    <w:qFormat/>
    <w:uiPriority w:val="0"/>
    <w:pPr>
      <w:numPr>
        <w:ilvl w:val="0"/>
        <w:numId w:val="16"/>
      </w:numPr>
      <w:tabs>
        <w:tab w:val="left" w:pos="0"/>
      </w:tabs>
      <w:spacing w:before="50" w:beforeLines="50" w:after="50" w:afterLines="50"/>
      <w:jc w:val="center"/>
    </w:pPr>
    <w:rPr>
      <w:rFonts w:ascii="黑体" w:hAnsi="Times New Roman" w:eastAsia="黑体" w:cs="Times New Roman"/>
      <w:sz w:val="21"/>
      <w:lang w:val="en-US" w:eastAsia="zh-CN" w:bidi="ar-SA"/>
    </w:rPr>
  </w:style>
  <w:style w:type="paragraph" w:customStyle="1" w:styleId="114">
    <w:name w:val="标准文件_正文公式"/>
    <w:basedOn w:val="1"/>
    <w:next w:val="56"/>
    <w:autoRedefine/>
    <w:qFormat/>
    <w:uiPriority w:val="0"/>
    <w:pPr>
      <w:tabs>
        <w:tab w:val="center" w:pos="4678"/>
        <w:tab w:val="right" w:leader="middleDot" w:pos="9356"/>
      </w:tabs>
      <w:spacing w:line="240" w:lineRule="auto"/>
    </w:pPr>
    <w:rPr>
      <w:rFonts w:ascii="宋体" w:hAnsi="宋体"/>
    </w:rPr>
  </w:style>
  <w:style w:type="paragraph" w:customStyle="1" w:styleId="115">
    <w:name w:val="标准文件_正文图标题"/>
    <w:next w:val="57"/>
    <w:autoRedefine/>
    <w:qFormat/>
    <w:uiPriority w:val="0"/>
    <w:pPr>
      <w:numPr>
        <w:ilvl w:val="0"/>
        <w:numId w:val="17"/>
      </w:numPr>
      <w:spacing w:before="50" w:beforeLines="50" w:after="50" w:afterLines="50"/>
      <w:jc w:val="center"/>
    </w:pPr>
    <w:rPr>
      <w:rFonts w:ascii="黑体" w:hAnsi="Times New Roman" w:eastAsia="黑体" w:cs="Times New Roman"/>
      <w:sz w:val="21"/>
      <w:lang w:val="en-US" w:eastAsia="zh-CN" w:bidi="ar-SA"/>
    </w:rPr>
  </w:style>
  <w:style w:type="paragraph" w:customStyle="1" w:styleId="116">
    <w:name w:val="标准文件_正文英文表标题"/>
    <w:next w:val="57"/>
    <w:autoRedefine/>
    <w:qFormat/>
    <w:uiPriority w:val="0"/>
    <w:pPr>
      <w:numPr>
        <w:ilvl w:val="0"/>
        <w:numId w:val="18"/>
      </w:numPr>
      <w:jc w:val="center"/>
    </w:pPr>
    <w:rPr>
      <w:rFonts w:ascii="黑体" w:hAnsi="Times New Roman" w:eastAsia="黑体" w:cs="Times New Roman"/>
      <w:sz w:val="21"/>
      <w:lang w:val="en-US" w:eastAsia="zh-CN" w:bidi="ar-SA"/>
    </w:rPr>
  </w:style>
  <w:style w:type="paragraph" w:customStyle="1" w:styleId="117">
    <w:name w:val="标准文件_正文英文图标题"/>
    <w:next w:val="57"/>
    <w:autoRedefine/>
    <w:qFormat/>
    <w:uiPriority w:val="0"/>
    <w:pPr>
      <w:numPr>
        <w:ilvl w:val="0"/>
        <w:numId w:val="19"/>
      </w:numPr>
      <w:jc w:val="center"/>
    </w:pPr>
    <w:rPr>
      <w:rFonts w:ascii="黑体" w:hAnsi="Times New Roman" w:eastAsia="黑体" w:cs="Times New Roman"/>
      <w:sz w:val="21"/>
      <w:lang w:val="en-US" w:eastAsia="zh-CN" w:bidi="ar-SA"/>
    </w:rPr>
  </w:style>
  <w:style w:type="paragraph" w:customStyle="1" w:styleId="118">
    <w:name w:val="标准文件_编号列项（三级）"/>
    <w:autoRedefine/>
    <w:qFormat/>
    <w:uiPriority w:val="0"/>
    <w:pPr>
      <w:numPr>
        <w:ilvl w:val="2"/>
        <w:numId w:val="13"/>
      </w:numPr>
      <w:tabs>
        <w:tab w:val="left" w:pos="851"/>
      </w:tabs>
    </w:pPr>
    <w:rPr>
      <w:rFonts w:ascii="宋体" w:hAnsi="Times New Roman" w:eastAsia="宋体" w:cs="Times New Roman"/>
      <w:sz w:val="21"/>
      <w:lang w:val="en-US" w:eastAsia="zh-CN" w:bidi="ar-SA"/>
    </w:rPr>
  </w:style>
  <w:style w:type="paragraph" w:customStyle="1" w:styleId="119">
    <w:name w:val="二级无标题条"/>
    <w:basedOn w:val="1"/>
    <w:autoRedefine/>
    <w:qFormat/>
    <w:uiPriority w:val="0"/>
    <w:pPr>
      <w:numPr>
        <w:ilvl w:val="3"/>
        <w:numId w:val="20"/>
      </w:numPr>
      <w:adjustRightInd/>
      <w:spacing w:line="240" w:lineRule="auto"/>
    </w:pPr>
    <w:rPr>
      <w:rFonts w:ascii="宋体" w:hAnsi="宋体"/>
      <w:szCs w:val="24"/>
    </w:rPr>
  </w:style>
  <w:style w:type="paragraph" w:customStyle="1" w:styleId="120">
    <w:name w:val="发布部门"/>
    <w:next w:val="57"/>
    <w:autoRedefine/>
    <w:qFormat/>
    <w:uiPriority w:val="0"/>
    <w:pPr>
      <w:framePr w:w="7433" w:h="585" w:hRule="exact" w:hSpace="180" w:vSpace="180" w:wrap="around" w:vAnchor="margin" w:hAnchor="margin" w:xAlign="center" w:y="14401" w:anchorLock="1"/>
      <w:jc w:val="center"/>
    </w:pPr>
    <w:rPr>
      <w:rFonts w:ascii="宋体" w:hAnsi="Times New Roman" w:eastAsia="宋体" w:cs="Times New Roman"/>
      <w:b/>
      <w:w w:val="135"/>
      <w:sz w:val="36"/>
      <w:lang w:val="en-US" w:eastAsia="zh-CN" w:bidi="ar-SA"/>
    </w:rPr>
  </w:style>
  <w:style w:type="paragraph" w:customStyle="1" w:styleId="121">
    <w:name w:val="发布日期"/>
    <w:autoRedefine/>
    <w:qFormat/>
    <w:uiPriority w:val="0"/>
    <w:pPr>
      <w:framePr w:w="4000" w:h="473" w:hRule="exact" w:hSpace="180" w:vSpace="180" w:wrap="around" w:vAnchor="margin" w:hAnchor="margin" w:y="13511" w:anchorLock="1"/>
    </w:pPr>
    <w:rPr>
      <w:rFonts w:ascii="Times New Roman" w:hAnsi="Times New Roman" w:eastAsia="黑体" w:cs="Times New Roman"/>
      <w:sz w:val="28"/>
      <w:lang w:val="en-US" w:eastAsia="zh-CN" w:bidi="ar-SA"/>
    </w:rPr>
  </w:style>
  <w:style w:type="paragraph" w:customStyle="1" w:styleId="122">
    <w:name w:val="封面标准代替信息"/>
    <w:basedOn w:val="1"/>
    <w:autoRedefine/>
    <w:qFormat/>
    <w:uiPriority w:val="0"/>
    <w:pPr>
      <w:framePr w:w="9138" w:h="1244" w:hRule="exact" w:wrap="auto" w:vAnchor="page" w:hAnchor="margin" w:y="2908"/>
      <w:kinsoku w:val="0"/>
      <w:overflowPunct w:val="0"/>
      <w:autoSpaceDE w:val="0"/>
      <w:autoSpaceDN w:val="0"/>
      <w:spacing w:before="57" w:line="280" w:lineRule="exact"/>
      <w:jc w:val="right"/>
      <w:textAlignment w:val="center"/>
    </w:pPr>
    <w:rPr>
      <w:rFonts w:ascii="宋体" w:hAnsi="Times New Roman"/>
      <w:kern w:val="0"/>
      <w:szCs w:val="20"/>
    </w:rPr>
  </w:style>
  <w:style w:type="paragraph" w:customStyle="1" w:styleId="123">
    <w:name w:val="封面标准名称"/>
    <w:autoRedefine/>
    <w:qFormat/>
    <w:uiPriority w:val="0"/>
    <w:pPr>
      <w:framePr w:w="9638" w:h="6917" w:hRule="exact" w:wrap="around" w:vAnchor="margin" w:hAnchor="margin" w:xAlign="center" w:y="5955" w:anchorLock="1"/>
      <w:widowControl w:val="0"/>
      <w:spacing w:line="680" w:lineRule="exact"/>
      <w:jc w:val="center"/>
      <w:textAlignment w:val="center"/>
    </w:pPr>
    <w:rPr>
      <w:rFonts w:ascii="黑体" w:hAnsi="Times New Roman" w:eastAsia="黑体" w:cs="Times New Roman"/>
      <w:sz w:val="52"/>
      <w:lang w:val="en-US" w:eastAsia="zh-CN" w:bidi="ar-SA"/>
    </w:rPr>
  </w:style>
  <w:style w:type="paragraph" w:customStyle="1" w:styleId="124">
    <w:name w:val="封面标准文稿编辑信息"/>
    <w:autoRedefine/>
    <w:qFormat/>
    <w:uiPriority w:val="0"/>
    <w:pPr>
      <w:spacing w:before="180" w:line="180" w:lineRule="exact"/>
      <w:jc w:val="center"/>
    </w:pPr>
    <w:rPr>
      <w:rFonts w:ascii="宋体" w:hAnsi="Times New Roman" w:eastAsia="宋体" w:cs="Times New Roman"/>
      <w:sz w:val="21"/>
      <w:lang w:val="en-US" w:eastAsia="zh-CN" w:bidi="ar-SA"/>
    </w:rPr>
  </w:style>
  <w:style w:type="paragraph" w:customStyle="1" w:styleId="125">
    <w:name w:val="封面标准文稿类别"/>
    <w:autoRedefine/>
    <w:qFormat/>
    <w:uiPriority w:val="0"/>
    <w:pPr>
      <w:spacing w:before="440" w:line="400" w:lineRule="exact"/>
      <w:jc w:val="center"/>
    </w:pPr>
    <w:rPr>
      <w:rFonts w:ascii="宋体" w:hAnsi="Times New Roman" w:eastAsia="宋体" w:cs="Times New Roman"/>
      <w:sz w:val="24"/>
      <w:lang w:val="en-US" w:eastAsia="zh-CN" w:bidi="ar-SA"/>
    </w:rPr>
  </w:style>
  <w:style w:type="paragraph" w:customStyle="1" w:styleId="126">
    <w:name w:val="封面标准英文名称"/>
    <w:autoRedefine/>
    <w:qFormat/>
    <w:uiPriority w:val="0"/>
    <w:pPr>
      <w:widowControl w:val="0"/>
      <w:spacing w:line="360" w:lineRule="exact"/>
      <w:jc w:val="center"/>
    </w:pPr>
    <w:rPr>
      <w:rFonts w:ascii="Times New Roman" w:hAnsi="Times New Roman" w:eastAsia="宋体" w:cs="Times New Roman"/>
      <w:sz w:val="28"/>
      <w:lang w:val="en-US" w:eastAsia="zh-CN" w:bidi="ar-SA"/>
    </w:rPr>
  </w:style>
  <w:style w:type="paragraph" w:customStyle="1" w:styleId="127">
    <w:name w:val="封面一致性程度标识"/>
    <w:autoRedefine/>
    <w:qFormat/>
    <w:uiPriority w:val="0"/>
    <w:pPr>
      <w:spacing w:before="440" w:line="440" w:lineRule="exact"/>
      <w:jc w:val="center"/>
    </w:pPr>
    <w:rPr>
      <w:rFonts w:ascii="Times New Roman" w:hAnsi="Times New Roman" w:eastAsia="宋体" w:cs="Times New Roman"/>
      <w:sz w:val="28"/>
      <w:lang w:val="en-US" w:eastAsia="zh-CN" w:bidi="ar-SA"/>
    </w:rPr>
  </w:style>
  <w:style w:type="paragraph" w:customStyle="1" w:styleId="128">
    <w:name w:val="封面正文"/>
    <w:autoRedefine/>
    <w:qFormat/>
    <w:uiPriority w:val="0"/>
    <w:pPr>
      <w:jc w:val="both"/>
    </w:pPr>
    <w:rPr>
      <w:rFonts w:ascii="Times New Roman" w:hAnsi="Times New Roman" w:eastAsia="宋体" w:cs="Times New Roman"/>
      <w:lang w:val="en-US" w:eastAsia="zh-CN" w:bidi="ar-SA"/>
    </w:rPr>
  </w:style>
  <w:style w:type="paragraph" w:customStyle="1" w:styleId="129">
    <w:name w:val="附录二级无标题条"/>
    <w:basedOn w:val="1"/>
    <w:next w:val="57"/>
    <w:autoRedefine/>
    <w:qFormat/>
    <w:uiPriority w:val="0"/>
    <w:pPr>
      <w:widowControl/>
      <w:wordWrap w:val="0"/>
      <w:overflowPunct w:val="0"/>
      <w:autoSpaceDE w:val="0"/>
      <w:autoSpaceDN w:val="0"/>
      <w:adjustRightInd/>
      <w:spacing w:line="240" w:lineRule="auto"/>
      <w:textAlignment w:val="baseline"/>
      <w:outlineLvl w:val="3"/>
    </w:pPr>
    <w:rPr>
      <w:rFonts w:ascii="宋体" w:hAnsi="宋体"/>
      <w:kern w:val="21"/>
    </w:rPr>
  </w:style>
  <w:style w:type="paragraph" w:customStyle="1" w:styleId="130">
    <w:name w:val="附录三级无标题条"/>
    <w:basedOn w:val="129"/>
    <w:next w:val="57"/>
    <w:autoRedefine/>
    <w:qFormat/>
    <w:uiPriority w:val="0"/>
    <w:pPr>
      <w:outlineLvl w:val="4"/>
    </w:pPr>
  </w:style>
  <w:style w:type="paragraph" w:customStyle="1" w:styleId="131">
    <w:name w:val="附录四级无标题条"/>
    <w:basedOn w:val="130"/>
    <w:next w:val="57"/>
    <w:autoRedefine/>
    <w:qFormat/>
    <w:uiPriority w:val="0"/>
    <w:pPr>
      <w:outlineLvl w:val="5"/>
    </w:pPr>
  </w:style>
  <w:style w:type="paragraph" w:customStyle="1" w:styleId="132">
    <w:name w:val="附录图"/>
    <w:next w:val="57"/>
    <w:autoRedefine/>
    <w:qFormat/>
    <w:uiPriority w:val="0"/>
    <w:pPr>
      <w:wordWrap w:val="0"/>
      <w:overflowPunct w:val="0"/>
      <w:autoSpaceDE w:val="0"/>
      <w:spacing w:before="50" w:beforeLines="50" w:after="50" w:afterLines="50"/>
      <w:jc w:val="center"/>
      <w:textAlignment w:val="baseline"/>
      <w:outlineLvl w:val="1"/>
    </w:pPr>
    <w:rPr>
      <w:rFonts w:ascii="黑体" w:hAnsi="Times New Roman" w:eastAsia="黑体" w:cs="Times New Roman"/>
      <w:kern w:val="21"/>
      <w:sz w:val="21"/>
      <w:lang w:val="en-US" w:eastAsia="zh-CN" w:bidi="ar-SA"/>
    </w:rPr>
  </w:style>
  <w:style w:type="paragraph" w:customStyle="1" w:styleId="133">
    <w:name w:val="标准文件_一级项"/>
    <w:autoRedefine/>
    <w:qFormat/>
    <w:uiPriority w:val="0"/>
    <w:pPr>
      <w:numPr>
        <w:ilvl w:val="0"/>
        <w:numId w:val="21"/>
      </w:numPr>
    </w:pPr>
    <w:rPr>
      <w:rFonts w:ascii="宋体" w:hAnsi="Times New Roman" w:eastAsia="宋体" w:cs="Times New Roman"/>
      <w:sz w:val="21"/>
      <w:lang w:val="en-US" w:eastAsia="zh-CN" w:bidi="ar-SA"/>
    </w:rPr>
  </w:style>
  <w:style w:type="paragraph" w:customStyle="1" w:styleId="134">
    <w:name w:val="附录五级无标题条"/>
    <w:basedOn w:val="131"/>
    <w:next w:val="57"/>
    <w:autoRedefine/>
    <w:qFormat/>
    <w:uiPriority w:val="0"/>
    <w:pPr>
      <w:outlineLvl w:val="6"/>
    </w:pPr>
  </w:style>
  <w:style w:type="paragraph" w:customStyle="1" w:styleId="135">
    <w:name w:val="附录性质"/>
    <w:basedOn w:val="1"/>
    <w:autoRedefine/>
    <w:qFormat/>
    <w:uiPriority w:val="0"/>
    <w:pPr>
      <w:widowControl/>
      <w:adjustRightInd/>
      <w:jc w:val="center"/>
    </w:pPr>
    <w:rPr>
      <w:rFonts w:ascii="黑体" w:eastAsia="黑体"/>
    </w:rPr>
  </w:style>
  <w:style w:type="paragraph" w:customStyle="1" w:styleId="136">
    <w:name w:val="附录一级无标题条"/>
    <w:basedOn w:val="88"/>
    <w:next w:val="57"/>
    <w:autoRedefine/>
    <w:qFormat/>
    <w:uiPriority w:val="0"/>
    <w:pPr>
      <w:autoSpaceDN w:val="0"/>
      <w:outlineLvl w:val="2"/>
    </w:pPr>
    <w:rPr>
      <w:rFonts w:ascii="宋体" w:hAnsi="宋体" w:eastAsia="宋体"/>
    </w:rPr>
  </w:style>
  <w:style w:type="character" w:customStyle="1" w:styleId="137">
    <w:name w:val="个人答复风格"/>
    <w:autoRedefine/>
    <w:qFormat/>
    <w:uiPriority w:val="0"/>
    <w:rPr>
      <w:rFonts w:ascii="Arial" w:hAnsi="Arial" w:eastAsia="宋体" w:cs="Arial"/>
      <w:color w:val="auto"/>
      <w:spacing w:val="0"/>
      <w:sz w:val="20"/>
    </w:rPr>
  </w:style>
  <w:style w:type="character" w:customStyle="1" w:styleId="138">
    <w:name w:val="个人撰写风格"/>
    <w:autoRedefine/>
    <w:qFormat/>
    <w:uiPriority w:val="0"/>
    <w:rPr>
      <w:rFonts w:ascii="Arial" w:hAnsi="Arial" w:eastAsia="宋体" w:cs="Arial"/>
      <w:color w:val="auto"/>
      <w:spacing w:val="0"/>
      <w:sz w:val="20"/>
    </w:rPr>
  </w:style>
  <w:style w:type="paragraph" w:customStyle="1" w:styleId="139">
    <w:name w:val="脚注后续"/>
    <w:autoRedefine/>
    <w:qFormat/>
    <w:uiPriority w:val="0"/>
    <w:pPr>
      <w:ind w:left="350" w:leftChars="350"/>
      <w:jc w:val="both"/>
    </w:pPr>
    <w:rPr>
      <w:rFonts w:ascii="宋体" w:hAnsi="Times New Roman" w:eastAsia="宋体" w:cs="Times New Roman"/>
      <w:sz w:val="18"/>
      <w:lang w:val="en-US" w:eastAsia="zh-CN" w:bidi="ar-SA"/>
    </w:rPr>
  </w:style>
  <w:style w:type="paragraph" w:customStyle="1" w:styleId="140">
    <w:name w:val="列项——"/>
    <w:autoRedefine/>
    <w:qFormat/>
    <w:uiPriority w:val="0"/>
    <w:pPr>
      <w:widowControl w:val="0"/>
      <w:numPr>
        <w:ilvl w:val="0"/>
        <w:numId w:val="22"/>
      </w:numPr>
      <w:jc w:val="both"/>
    </w:pPr>
    <w:rPr>
      <w:rFonts w:ascii="宋体" w:hAnsi="宋体" w:eastAsia="宋体" w:cs="Times New Roman"/>
      <w:sz w:val="21"/>
      <w:lang w:val="en-US" w:eastAsia="zh-CN" w:bidi="ar-SA"/>
    </w:rPr>
  </w:style>
  <w:style w:type="paragraph" w:customStyle="1" w:styleId="141">
    <w:name w:val="列项·"/>
    <w:basedOn w:val="57"/>
    <w:autoRedefine/>
    <w:qFormat/>
    <w:uiPriority w:val="0"/>
    <w:pPr>
      <w:tabs>
        <w:tab w:val="left" w:pos="840"/>
      </w:tabs>
    </w:pPr>
  </w:style>
  <w:style w:type="paragraph" w:customStyle="1" w:styleId="142">
    <w:name w:val="目次、索引正文"/>
    <w:autoRedefine/>
    <w:qFormat/>
    <w:uiPriority w:val="0"/>
    <w:pPr>
      <w:spacing w:line="320" w:lineRule="exact"/>
      <w:jc w:val="both"/>
    </w:pPr>
    <w:rPr>
      <w:rFonts w:ascii="宋体" w:hAnsi="Times New Roman" w:eastAsia="宋体" w:cs="Times New Roman"/>
      <w:sz w:val="21"/>
      <w:lang w:val="en-US" w:eastAsia="zh-CN" w:bidi="ar-SA"/>
    </w:rPr>
  </w:style>
  <w:style w:type="paragraph" w:customStyle="1" w:styleId="143">
    <w:name w:val="目录 21"/>
    <w:basedOn w:val="1"/>
    <w:next w:val="1"/>
    <w:autoRedefine/>
    <w:semiHidden/>
    <w:qFormat/>
    <w:uiPriority w:val="0"/>
    <w:pPr>
      <w:adjustRightInd/>
      <w:spacing w:line="240" w:lineRule="auto"/>
      <w:jc w:val="left"/>
    </w:pPr>
    <w:rPr>
      <w:bCs/>
      <w:iCs/>
    </w:rPr>
  </w:style>
  <w:style w:type="paragraph" w:customStyle="1" w:styleId="144">
    <w:name w:val="目录 31"/>
    <w:basedOn w:val="1"/>
    <w:next w:val="1"/>
    <w:autoRedefine/>
    <w:semiHidden/>
    <w:qFormat/>
    <w:uiPriority w:val="0"/>
    <w:pPr>
      <w:spacing w:line="240" w:lineRule="auto"/>
    </w:pPr>
    <w:rPr>
      <w:rFonts w:ascii="宋体" w:hAnsi="宋体"/>
      <w:iCs/>
    </w:rPr>
  </w:style>
  <w:style w:type="paragraph" w:customStyle="1" w:styleId="145">
    <w:name w:val="目录 41"/>
    <w:basedOn w:val="1"/>
    <w:next w:val="1"/>
    <w:autoRedefine/>
    <w:semiHidden/>
    <w:qFormat/>
    <w:uiPriority w:val="0"/>
    <w:pPr>
      <w:adjustRightInd/>
      <w:spacing w:line="240" w:lineRule="auto"/>
      <w:jc w:val="left"/>
    </w:pPr>
  </w:style>
  <w:style w:type="paragraph" w:customStyle="1" w:styleId="146">
    <w:name w:val="目录 51"/>
    <w:basedOn w:val="1"/>
    <w:next w:val="1"/>
    <w:autoRedefine/>
    <w:semiHidden/>
    <w:qFormat/>
    <w:uiPriority w:val="0"/>
    <w:pPr>
      <w:spacing w:line="240" w:lineRule="auto"/>
    </w:pPr>
    <w:rPr>
      <w:rFonts w:ascii="宋体" w:hAnsi="宋体"/>
    </w:rPr>
  </w:style>
  <w:style w:type="paragraph" w:customStyle="1" w:styleId="147">
    <w:name w:val="目录 61"/>
    <w:basedOn w:val="1"/>
    <w:next w:val="1"/>
    <w:autoRedefine/>
    <w:semiHidden/>
    <w:qFormat/>
    <w:uiPriority w:val="0"/>
    <w:pPr>
      <w:adjustRightInd/>
      <w:spacing w:line="240" w:lineRule="auto"/>
      <w:jc w:val="left"/>
    </w:pPr>
  </w:style>
  <w:style w:type="paragraph" w:customStyle="1" w:styleId="148">
    <w:name w:val="目录 71"/>
    <w:basedOn w:val="147"/>
    <w:autoRedefine/>
    <w:semiHidden/>
    <w:qFormat/>
    <w:uiPriority w:val="0"/>
    <w:pPr>
      <w:ind w:left="1260"/>
    </w:pPr>
  </w:style>
  <w:style w:type="paragraph" w:customStyle="1" w:styleId="149">
    <w:name w:val="目录 81"/>
    <w:basedOn w:val="148"/>
    <w:autoRedefine/>
    <w:semiHidden/>
    <w:qFormat/>
    <w:uiPriority w:val="0"/>
    <w:pPr>
      <w:ind w:left="1470"/>
    </w:pPr>
  </w:style>
  <w:style w:type="paragraph" w:customStyle="1" w:styleId="150">
    <w:name w:val="目录 91"/>
    <w:basedOn w:val="149"/>
    <w:autoRedefine/>
    <w:semiHidden/>
    <w:qFormat/>
    <w:uiPriority w:val="0"/>
    <w:pPr>
      <w:ind w:left="1680"/>
    </w:pPr>
  </w:style>
  <w:style w:type="paragraph" w:customStyle="1" w:styleId="151">
    <w:name w:val="其他标准称谓"/>
    <w:autoRedefine/>
    <w:qFormat/>
    <w:uiPriority w:val="0"/>
    <w:pPr>
      <w:spacing w:line="0" w:lineRule="atLeast"/>
      <w:jc w:val="distribute"/>
    </w:pPr>
    <w:rPr>
      <w:rFonts w:ascii="黑体" w:hAnsi="宋体" w:eastAsia="黑体" w:cs="Times New Roman"/>
      <w:sz w:val="52"/>
      <w:lang w:val="en-US" w:eastAsia="zh-CN" w:bidi="ar-SA"/>
    </w:rPr>
  </w:style>
  <w:style w:type="paragraph" w:customStyle="1" w:styleId="152">
    <w:name w:val="其他发布部门"/>
    <w:basedOn w:val="120"/>
    <w:autoRedefine/>
    <w:qFormat/>
    <w:uiPriority w:val="0"/>
    <w:pPr>
      <w:framePr w:wrap="around"/>
      <w:spacing w:line="0" w:lineRule="atLeast"/>
    </w:pPr>
    <w:rPr>
      <w:rFonts w:ascii="黑体" w:eastAsia="黑体"/>
      <w:b w:val="0"/>
    </w:rPr>
  </w:style>
  <w:style w:type="paragraph" w:customStyle="1" w:styleId="153">
    <w:name w:val="前言标题"/>
    <w:next w:val="1"/>
    <w:autoRedefine/>
    <w:qFormat/>
    <w:uiPriority w:val="0"/>
    <w:pPr>
      <w:numPr>
        <w:ilvl w:val="0"/>
        <w:numId w:val="2"/>
      </w:numPr>
      <w:shd w:val="clear" w:color="FFFFFF" w:fill="FFFFFF"/>
      <w:spacing w:before="540" w:after="600"/>
      <w:jc w:val="center"/>
      <w:outlineLvl w:val="0"/>
    </w:pPr>
    <w:rPr>
      <w:rFonts w:ascii="黑体" w:hAnsi="Times New Roman" w:eastAsia="黑体" w:cs="Times New Roman"/>
      <w:sz w:val="32"/>
      <w:lang w:val="en-US" w:eastAsia="zh-CN" w:bidi="ar-SA"/>
    </w:rPr>
  </w:style>
  <w:style w:type="paragraph" w:customStyle="1" w:styleId="154">
    <w:name w:val="三级无标题条"/>
    <w:basedOn w:val="1"/>
    <w:autoRedefine/>
    <w:qFormat/>
    <w:uiPriority w:val="0"/>
    <w:pPr>
      <w:numPr>
        <w:ilvl w:val="4"/>
        <w:numId w:val="20"/>
      </w:numPr>
      <w:adjustRightInd/>
      <w:spacing w:line="240" w:lineRule="auto"/>
    </w:pPr>
    <w:rPr>
      <w:rFonts w:ascii="宋体" w:hAnsi="宋体"/>
      <w:szCs w:val="24"/>
    </w:rPr>
  </w:style>
  <w:style w:type="paragraph" w:customStyle="1" w:styleId="155">
    <w:name w:val="实施日期"/>
    <w:basedOn w:val="121"/>
    <w:autoRedefine/>
    <w:qFormat/>
    <w:uiPriority w:val="0"/>
    <w:pPr>
      <w:framePr w:hSpace="0" w:wrap="around" w:xAlign="right"/>
      <w:jc w:val="right"/>
    </w:pPr>
  </w:style>
  <w:style w:type="paragraph" w:customStyle="1" w:styleId="156">
    <w:name w:val="四级无标题条"/>
    <w:basedOn w:val="1"/>
    <w:autoRedefine/>
    <w:qFormat/>
    <w:uiPriority w:val="0"/>
    <w:pPr>
      <w:numPr>
        <w:ilvl w:val="5"/>
        <w:numId w:val="20"/>
      </w:numPr>
      <w:adjustRightInd/>
      <w:spacing w:line="240" w:lineRule="auto"/>
    </w:pPr>
    <w:rPr>
      <w:rFonts w:ascii="宋体" w:hAnsi="宋体"/>
      <w:szCs w:val="24"/>
    </w:rPr>
  </w:style>
  <w:style w:type="paragraph" w:customStyle="1" w:styleId="157">
    <w:name w:val="文献分类号"/>
    <w:autoRedefine/>
    <w:qFormat/>
    <w:uiPriority w:val="0"/>
    <w:pPr>
      <w:framePr w:hSpace="180" w:vSpace="180" w:wrap="around" w:vAnchor="margin" w:hAnchor="margin" w:y="1" w:anchorLock="1"/>
      <w:widowControl w:val="0"/>
      <w:textAlignment w:val="center"/>
    </w:pPr>
    <w:rPr>
      <w:rFonts w:ascii="Times New Roman" w:hAnsi="Times New Roman" w:eastAsia="黑体" w:cs="Times New Roman"/>
      <w:sz w:val="21"/>
      <w:lang w:val="en-US" w:eastAsia="zh-CN" w:bidi="ar-SA"/>
    </w:rPr>
  </w:style>
  <w:style w:type="paragraph" w:customStyle="1" w:styleId="158">
    <w:name w:val="无标题条"/>
    <w:next w:val="57"/>
    <w:autoRedefine/>
    <w:qFormat/>
    <w:uiPriority w:val="0"/>
    <w:pPr>
      <w:jc w:val="both"/>
    </w:pPr>
    <w:rPr>
      <w:rFonts w:ascii="宋体" w:hAnsi="宋体" w:eastAsia="宋体" w:cs="Times New Roman"/>
      <w:sz w:val="21"/>
      <w:lang w:val="en-US" w:eastAsia="zh-CN" w:bidi="ar-SA"/>
    </w:rPr>
  </w:style>
  <w:style w:type="paragraph" w:customStyle="1" w:styleId="159">
    <w:name w:val="五级无标题条"/>
    <w:basedOn w:val="1"/>
    <w:autoRedefine/>
    <w:qFormat/>
    <w:uiPriority w:val="0"/>
    <w:pPr>
      <w:numPr>
        <w:ilvl w:val="6"/>
        <w:numId w:val="20"/>
      </w:numPr>
      <w:adjustRightInd/>
    </w:pPr>
    <w:rPr>
      <w:szCs w:val="24"/>
    </w:rPr>
  </w:style>
  <w:style w:type="paragraph" w:customStyle="1" w:styleId="160">
    <w:name w:val="一级无标题条"/>
    <w:basedOn w:val="1"/>
    <w:autoRedefine/>
    <w:qFormat/>
    <w:uiPriority w:val="0"/>
    <w:pPr>
      <w:numPr>
        <w:ilvl w:val="2"/>
        <w:numId w:val="20"/>
      </w:numPr>
      <w:adjustRightInd/>
      <w:spacing w:before="10" w:after="10" w:line="240" w:lineRule="auto"/>
    </w:pPr>
    <w:rPr>
      <w:rFonts w:ascii="宋体" w:hAnsi="宋体"/>
      <w:szCs w:val="24"/>
    </w:rPr>
  </w:style>
  <w:style w:type="paragraph" w:customStyle="1" w:styleId="161">
    <w:name w:val="注:后续"/>
    <w:autoRedefine/>
    <w:qFormat/>
    <w:uiPriority w:val="0"/>
    <w:pPr>
      <w:spacing w:line="300" w:lineRule="exact"/>
      <w:ind w:left="600" w:leftChars="400" w:hanging="200" w:hangingChars="200"/>
      <w:jc w:val="both"/>
    </w:pPr>
    <w:rPr>
      <w:rFonts w:ascii="宋体" w:hAnsi="Times New Roman" w:eastAsia="宋体" w:cs="Times New Roman"/>
      <w:sz w:val="18"/>
      <w:lang w:val="en-US" w:eastAsia="zh-CN" w:bidi="ar-SA"/>
    </w:rPr>
  </w:style>
  <w:style w:type="paragraph" w:customStyle="1" w:styleId="162">
    <w:name w:val="注×:后续"/>
    <w:basedOn w:val="161"/>
    <w:autoRedefine/>
    <w:qFormat/>
    <w:uiPriority w:val="0"/>
    <w:pPr>
      <w:ind w:left="1406" w:leftChars="0" w:hanging="499" w:firstLineChars="0"/>
    </w:pPr>
  </w:style>
  <w:style w:type="paragraph" w:customStyle="1" w:styleId="163">
    <w:name w:val="标准文件_一级无标题"/>
    <w:basedOn w:val="106"/>
    <w:autoRedefine/>
    <w:qFormat/>
    <w:uiPriority w:val="0"/>
    <w:pPr>
      <w:spacing w:before="0" w:beforeLines="0" w:after="0" w:afterLines="0"/>
      <w:outlineLvl w:val="9"/>
    </w:pPr>
    <w:rPr>
      <w:rFonts w:ascii="宋体" w:eastAsia="宋体"/>
    </w:rPr>
  </w:style>
  <w:style w:type="paragraph" w:customStyle="1" w:styleId="164">
    <w:name w:val="标准文件_五级无标题"/>
    <w:basedOn w:val="104"/>
    <w:autoRedefine/>
    <w:qFormat/>
    <w:uiPriority w:val="0"/>
    <w:pPr>
      <w:spacing w:before="0" w:beforeLines="0" w:after="0" w:afterLines="0"/>
      <w:outlineLvl w:val="9"/>
    </w:pPr>
    <w:rPr>
      <w:rFonts w:ascii="宋体" w:eastAsia="宋体"/>
    </w:rPr>
  </w:style>
  <w:style w:type="paragraph" w:customStyle="1" w:styleId="165">
    <w:name w:val="标准文件_三级无标题"/>
    <w:basedOn w:val="95"/>
    <w:autoRedefine/>
    <w:qFormat/>
    <w:uiPriority w:val="0"/>
    <w:pPr>
      <w:spacing w:before="0" w:beforeLines="0" w:after="0" w:afterLines="0"/>
      <w:outlineLvl w:val="9"/>
    </w:pPr>
    <w:rPr>
      <w:rFonts w:ascii="宋体" w:eastAsia="宋体"/>
    </w:rPr>
  </w:style>
  <w:style w:type="paragraph" w:customStyle="1" w:styleId="166">
    <w:name w:val="标准文件_二级无标题"/>
    <w:basedOn w:val="66"/>
    <w:autoRedefine/>
    <w:qFormat/>
    <w:uiPriority w:val="0"/>
    <w:pPr>
      <w:spacing w:before="0" w:beforeLines="0" w:after="0" w:afterLines="0"/>
      <w:outlineLvl w:val="9"/>
    </w:pPr>
    <w:rPr>
      <w:rFonts w:ascii="宋体" w:eastAsia="宋体"/>
    </w:rPr>
  </w:style>
  <w:style w:type="paragraph" w:customStyle="1" w:styleId="167">
    <w:name w:val="标准_四级无标题"/>
    <w:basedOn w:val="99"/>
    <w:next w:val="57"/>
    <w:autoRedefine/>
    <w:qFormat/>
    <w:uiPriority w:val="0"/>
    <w:rPr>
      <w:rFonts w:eastAsia="宋体"/>
    </w:rPr>
  </w:style>
  <w:style w:type="paragraph" w:customStyle="1" w:styleId="168">
    <w:name w:val="标准文件_四级无标题"/>
    <w:basedOn w:val="99"/>
    <w:autoRedefine/>
    <w:qFormat/>
    <w:uiPriority w:val="0"/>
    <w:pPr>
      <w:spacing w:before="0" w:beforeLines="0" w:after="0" w:afterLines="0"/>
      <w:outlineLvl w:val="9"/>
    </w:pPr>
    <w:rPr>
      <w:rFonts w:ascii="宋体" w:hAnsi="黑体" w:eastAsia="宋体"/>
      <w:szCs w:val="52"/>
    </w:rPr>
  </w:style>
  <w:style w:type="paragraph" w:customStyle="1" w:styleId="169">
    <w:name w:val="标准文件_大写罗马数字编号列项"/>
    <w:basedOn w:val="57"/>
    <w:autoRedefine/>
    <w:qFormat/>
    <w:uiPriority w:val="0"/>
    <w:pPr>
      <w:numPr>
        <w:ilvl w:val="0"/>
        <w:numId w:val="23"/>
      </w:numPr>
      <w:ind w:firstLine="0" w:firstLineChars="0"/>
    </w:pPr>
    <w:rPr>
      <w:rFonts w:ascii="Times New Roman" w:cs="Arial"/>
      <w:szCs w:val="28"/>
    </w:rPr>
  </w:style>
  <w:style w:type="paragraph" w:customStyle="1" w:styleId="170">
    <w:name w:val="标准文件_小写罗马数字编号列项"/>
    <w:basedOn w:val="57"/>
    <w:autoRedefine/>
    <w:qFormat/>
    <w:uiPriority w:val="0"/>
    <w:pPr>
      <w:numPr>
        <w:ilvl w:val="0"/>
        <w:numId w:val="24"/>
      </w:numPr>
      <w:ind w:firstLine="0" w:firstLineChars="0"/>
    </w:pPr>
    <w:rPr>
      <w:rFonts w:cs="Arial"/>
      <w:szCs w:val="28"/>
    </w:rPr>
  </w:style>
  <w:style w:type="paragraph" w:customStyle="1" w:styleId="171">
    <w:name w:val="标准文件_附录标题"/>
    <w:basedOn w:val="77"/>
    <w:autoRedefine/>
    <w:qFormat/>
    <w:uiPriority w:val="0"/>
    <w:pPr>
      <w:numPr>
        <w:numId w:val="0"/>
      </w:numPr>
      <w:spacing w:after="280"/>
      <w:outlineLvl w:val="9"/>
    </w:pPr>
  </w:style>
  <w:style w:type="paragraph" w:customStyle="1" w:styleId="172">
    <w:name w:val="标准文件_二级项"/>
    <w:autoRedefine/>
    <w:qFormat/>
    <w:uiPriority w:val="0"/>
    <w:rPr>
      <w:rFonts w:ascii="宋体" w:hAnsi="Times New Roman" w:eastAsia="宋体" w:cs="Times New Roman"/>
      <w:sz w:val="21"/>
      <w:lang w:val="en-US" w:eastAsia="zh-CN" w:bidi="ar-SA"/>
    </w:rPr>
  </w:style>
  <w:style w:type="paragraph" w:customStyle="1" w:styleId="173">
    <w:name w:val="标准文件_三级项"/>
    <w:basedOn w:val="1"/>
    <w:autoRedefine/>
    <w:qFormat/>
    <w:uiPriority w:val="0"/>
    <w:pPr>
      <w:numPr>
        <w:ilvl w:val="2"/>
        <w:numId w:val="21"/>
      </w:numPr>
      <w:spacing w:line="536870612" w:lineRule="auto"/>
    </w:pPr>
    <w:rPr>
      <w:rFonts w:ascii="Times New Roman" w:hAnsi="Times New Roman"/>
    </w:rPr>
  </w:style>
  <w:style w:type="paragraph" w:customStyle="1" w:styleId="174">
    <w:name w:val="图表脚注说明"/>
    <w:basedOn w:val="1"/>
    <w:next w:val="57"/>
    <w:autoRedefine/>
    <w:qFormat/>
    <w:uiPriority w:val="0"/>
    <w:pPr>
      <w:numPr>
        <w:ilvl w:val="0"/>
        <w:numId w:val="25"/>
      </w:numPr>
      <w:adjustRightInd/>
      <w:spacing w:line="240" w:lineRule="auto"/>
      <w:ind w:left="783"/>
    </w:pPr>
    <w:rPr>
      <w:rFonts w:ascii="宋体" w:hAnsi="Times New Roman"/>
      <w:sz w:val="18"/>
      <w:szCs w:val="18"/>
    </w:rPr>
  </w:style>
  <w:style w:type="paragraph" w:customStyle="1" w:styleId="175">
    <w:name w:val="标准文件_字母编号列项（一级）"/>
    <w:autoRedefine/>
    <w:qFormat/>
    <w:uiPriority w:val="0"/>
    <w:pPr>
      <w:numPr>
        <w:ilvl w:val="0"/>
        <w:numId w:val="13"/>
      </w:numPr>
      <w:jc w:val="both"/>
    </w:pPr>
    <w:rPr>
      <w:rFonts w:ascii="宋体" w:hAnsi="Times New Roman" w:eastAsia="宋体" w:cs="Times New Roman"/>
      <w:sz w:val="21"/>
      <w:lang w:val="en-US" w:eastAsia="zh-CN" w:bidi="ar-SA"/>
    </w:rPr>
  </w:style>
  <w:style w:type="paragraph" w:customStyle="1" w:styleId="176">
    <w:name w:val="标准文件_索引字母"/>
    <w:next w:val="57"/>
    <w:autoRedefine/>
    <w:qFormat/>
    <w:uiPriority w:val="0"/>
    <w:pPr>
      <w:jc w:val="center"/>
    </w:pPr>
    <w:rPr>
      <w:rFonts w:ascii="宋体" w:hAnsi="宋体" w:eastAsia="Times New Roman" w:cs="Times New Roman"/>
      <w:b/>
      <w:kern w:val="2"/>
      <w:sz w:val="21"/>
      <w:lang w:val="en-US" w:eastAsia="zh-CN" w:bidi="ar-SA"/>
    </w:rPr>
  </w:style>
  <w:style w:type="paragraph" w:customStyle="1" w:styleId="177">
    <w:name w:val="标准文件_附录前"/>
    <w:next w:val="57"/>
    <w:autoRedefine/>
    <w:qFormat/>
    <w:uiPriority w:val="0"/>
    <w:pPr>
      <w:spacing w:line="20" w:lineRule="atLeast"/>
      <w:ind w:firstLine="200"/>
    </w:pPr>
    <w:rPr>
      <w:rFonts w:ascii="宋体" w:hAnsi="宋体" w:eastAsia="宋体" w:cs="Times New Roman"/>
      <w:kern w:val="2"/>
      <w:sz w:val="10"/>
      <w:lang w:val="en-US" w:eastAsia="zh-CN" w:bidi="ar-SA"/>
    </w:rPr>
  </w:style>
  <w:style w:type="paragraph" w:customStyle="1" w:styleId="178">
    <w:name w:val="标准文件_正文标准名称"/>
    <w:link w:val="231"/>
    <w:autoRedefine/>
    <w:qFormat/>
    <w:uiPriority w:val="0"/>
    <w:pPr>
      <w:spacing w:after="640" w:line="400" w:lineRule="exact"/>
      <w:jc w:val="center"/>
    </w:pPr>
    <w:rPr>
      <w:rFonts w:ascii="黑体" w:hAnsi="黑体" w:eastAsia="黑体" w:cs="Times New Roman"/>
      <w:kern w:val="2"/>
      <w:sz w:val="32"/>
      <w:szCs w:val="32"/>
      <w:lang w:val="en-US" w:eastAsia="zh-CN" w:bidi="ar-SA"/>
    </w:rPr>
  </w:style>
  <w:style w:type="paragraph" w:customStyle="1" w:styleId="179">
    <w:name w:val="标准文件_表格"/>
    <w:basedOn w:val="57"/>
    <w:autoRedefine/>
    <w:qFormat/>
    <w:uiPriority w:val="0"/>
    <w:pPr>
      <w:ind w:firstLine="0" w:firstLineChars="0"/>
      <w:jc w:val="center"/>
    </w:pPr>
    <w:rPr>
      <w:rFonts w:hAnsi="宋体"/>
      <w:sz w:val="18"/>
    </w:rPr>
  </w:style>
  <w:style w:type="paragraph" w:customStyle="1" w:styleId="180">
    <w:name w:val="标准文件_注："/>
    <w:next w:val="57"/>
    <w:autoRedefine/>
    <w:qFormat/>
    <w:uiPriority w:val="0"/>
    <w:pPr>
      <w:widowControl w:val="0"/>
      <w:numPr>
        <w:ilvl w:val="0"/>
        <w:numId w:val="26"/>
      </w:numPr>
      <w:autoSpaceDE w:val="0"/>
      <w:autoSpaceDN w:val="0"/>
      <w:jc w:val="both"/>
    </w:pPr>
    <w:rPr>
      <w:rFonts w:ascii="宋体" w:hAnsi="Times New Roman" w:eastAsia="宋体" w:cs="Times New Roman"/>
      <w:sz w:val="18"/>
      <w:szCs w:val="18"/>
      <w:lang w:val="en-US" w:eastAsia="zh-CN" w:bidi="ar-SA"/>
    </w:rPr>
  </w:style>
  <w:style w:type="paragraph" w:customStyle="1" w:styleId="181">
    <w:name w:val="标准文件_注×："/>
    <w:autoRedefine/>
    <w:qFormat/>
    <w:uiPriority w:val="0"/>
    <w:pPr>
      <w:widowControl w:val="0"/>
      <w:numPr>
        <w:ilvl w:val="0"/>
        <w:numId w:val="27"/>
      </w:numPr>
      <w:autoSpaceDE w:val="0"/>
      <w:autoSpaceDN w:val="0"/>
      <w:jc w:val="both"/>
    </w:pPr>
    <w:rPr>
      <w:rFonts w:ascii="宋体" w:hAnsi="Times New Roman" w:eastAsia="宋体" w:cs="Times New Roman"/>
      <w:sz w:val="18"/>
      <w:szCs w:val="18"/>
      <w:lang w:val="en-US" w:eastAsia="zh-CN" w:bidi="ar-SA"/>
    </w:rPr>
  </w:style>
  <w:style w:type="paragraph" w:customStyle="1" w:styleId="182">
    <w:name w:val="标准文件_示例："/>
    <w:next w:val="183"/>
    <w:autoRedefine/>
    <w:qFormat/>
    <w:uiPriority w:val="0"/>
    <w:pPr>
      <w:widowControl w:val="0"/>
      <w:numPr>
        <w:ilvl w:val="0"/>
        <w:numId w:val="28"/>
      </w:numPr>
      <w:jc w:val="both"/>
    </w:pPr>
    <w:rPr>
      <w:rFonts w:ascii="宋体" w:hAnsi="Times New Roman" w:eastAsia="宋体" w:cs="Times New Roman"/>
      <w:sz w:val="18"/>
      <w:szCs w:val="18"/>
      <w:lang w:val="en-US" w:eastAsia="zh-CN" w:bidi="ar-SA"/>
    </w:rPr>
  </w:style>
  <w:style w:type="paragraph" w:customStyle="1" w:styleId="183">
    <w:name w:val="标准文件_示例内容"/>
    <w:basedOn w:val="57"/>
    <w:autoRedefine/>
    <w:qFormat/>
    <w:uiPriority w:val="0"/>
    <w:pPr>
      <w:ind w:firstLine="420"/>
    </w:pPr>
    <w:rPr>
      <w:sz w:val="18"/>
    </w:rPr>
  </w:style>
  <w:style w:type="paragraph" w:customStyle="1" w:styleId="184">
    <w:name w:val="标准文件_示例×："/>
    <w:basedOn w:val="1"/>
    <w:next w:val="183"/>
    <w:autoRedefine/>
    <w:qFormat/>
    <w:uiPriority w:val="0"/>
    <w:pPr>
      <w:widowControl/>
      <w:numPr>
        <w:ilvl w:val="0"/>
        <w:numId w:val="29"/>
      </w:numPr>
      <w:adjustRightInd/>
      <w:spacing w:line="240" w:lineRule="auto"/>
    </w:pPr>
    <w:rPr>
      <w:rFonts w:ascii="宋体" w:hAnsi="Times New Roman"/>
      <w:kern w:val="0"/>
      <w:sz w:val="18"/>
      <w:szCs w:val="18"/>
    </w:rPr>
  </w:style>
  <w:style w:type="character" w:customStyle="1" w:styleId="185">
    <w:name w:val="标准文件_段 Char"/>
    <w:link w:val="57"/>
    <w:autoRedefine/>
    <w:qFormat/>
    <w:uiPriority w:val="0"/>
    <w:rPr>
      <w:rFonts w:ascii="宋体" w:hAnsi="Times New Roman"/>
      <w:sz w:val="21"/>
    </w:rPr>
  </w:style>
  <w:style w:type="paragraph" w:customStyle="1" w:styleId="186">
    <w:name w:val="标准文件_表格续"/>
    <w:basedOn w:val="57"/>
    <w:next w:val="57"/>
    <w:autoRedefine/>
    <w:qFormat/>
    <w:uiPriority w:val="0"/>
    <w:pPr>
      <w:jc w:val="center"/>
    </w:pPr>
    <w:rPr>
      <w:rFonts w:ascii="黑体" w:hAnsi="黑体" w:eastAsia="黑体"/>
    </w:rPr>
  </w:style>
  <w:style w:type="character" w:styleId="187">
    <w:name w:val="Placeholder Text"/>
    <w:basedOn w:val="29"/>
    <w:autoRedefine/>
    <w:semiHidden/>
    <w:qFormat/>
    <w:uiPriority w:val="99"/>
    <w:rPr>
      <w:color w:val="808080"/>
    </w:rPr>
  </w:style>
  <w:style w:type="paragraph" w:customStyle="1" w:styleId="188">
    <w:name w:val="标准文件_二级项2"/>
    <w:basedOn w:val="57"/>
    <w:autoRedefine/>
    <w:qFormat/>
    <w:uiPriority w:val="0"/>
    <w:pPr>
      <w:numPr>
        <w:ilvl w:val="1"/>
        <w:numId w:val="21"/>
      </w:numPr>
      <w:ind w:left="1271" w:hanging="420" w:firstLineChars="0"/>
    </w:pPr>
  </w:style>
  <w:style w:type="paragraph" w:customStyle="1" w:styleId="189">
    <w:name w:val="标准文件_三级项2"/>
    <w:basedOn w:val="57"/>
    <w:autoRedefine/>
    <w:qFormat/>
    <w:uiPriority w:val="0"/>
    <w:pPr>
      <w:numPr>
        <w:ilvl w:val="0"/>
        <w:numId w:val="30"/>
      </w:numPr>
      <w:spacing w:line="300" w:lineRule="exact"/>
      <w:ind w:left="1276" w:hanging="425" w:firstLineChars="0"/>
    </w:pPr>
    <w:rPr>
      <w:rFonts w:ascii="Times New Roman"/>
    </w:rPr>
  </w:style>
  <w:style w:type="paragraph" w:customStyle="1" w:styleId="190">
    <w:name w:val="标准文件_一级项2"/>
    <w:basedOn w:val="57"/>
    <w:autoRedefine/>
    <w:qFormat/>
    <w:uiPriority w:val="0"/>
    <w:pPr>
      <w:numPr>
        <w:ilvl w:val="0"/>
        <w:numId w:val="31"/>
      </w:numPr>
      <w:spacing w:line="300" w:lineRule="exact"/>
      <w:ind w:left="1271" w:hanging="420" w:firstLineChars="0"/>
    </w:pPr>
    <w:rPr>
      <w:rFonts w:ascii="Times New Roman"/>
    </w:rPr>
  </w:style>
  <w:style w:type="paragraph" w:customStyle="1" w:styleId="191">
    <w:name w:val="标准文件_提示"/>
    <w:basedOn w:val="57"/>
    <w:next w:val="57"/>
    <w:autoRedefine/>
    <w:qFormat/>
    <w:uiPriority w:val="0"/>
    <w:pPr>
      <w:ind w:firstLine="420"/>
    </w:pPr>
    <w:rPr>
      <w:rFonts w:ascii="黑体" w:eastAsia="黑体"/>
    </w:rPr>
  </w:style>
  <w:style w:type="character" w:customStyle="1" w:styleId="192">
    <w:name w:val="标准文件_来源"/>
    <w:basedOn w:val="29"/>
    <w:autoRedefine/>
    <w:qFormat/>
    <w:uiPriority w:val="1"/>
    <w:rPr>
      <w:rFonts w:eastAsia="宋体"/>
      <w:sz w:val="21"/>
    </w:rPr>
  </w:style>
  <w:style w:type="paragraph" w:customStyle="1" w:styleId="193">
    <w:name w:val="标准文件_图表说明"/>
    <w:autoRedefine/>
    <w:qFormat/>
    <w:uiPriority w:val="0"/>
    <w:pPr>
      <w:spacing w:line="276" w:lineRule="auto"/>
      <w:ind w:firstLine="420"/>
    </w:pPr>
    <w:rPr>
      <w:rFonts w:ascii="宋体" w:hAnsi="宋体" w:eastAsia="宋体" w:cs="Times New Roman"/>
      <w:kern w:val="2"/>
      <w:sz w:val="18"/>
      <w:lang w:val="en-US" w:eastAsia="zh-CN" w:bidi="ar-SA"/>
    </w:rPr>
  </w:style>
  <w:style w:type="paragraph" w:customStyle="1" w:styleId="194">
    <w:name w:val="其他发布日期"/>
    <w:basedOn w:val="121"/>
    <w:autoRedefine/>
    <w:qFormat/>
    <w:uiPriority w:val="0"/>
    <w:pPr>
      <w:framePr w:w="3997" w:h="471" w:hRule="exact" w:hSpace="0" w:vSpace="181" w:wrap="around" w:vAnchor="page" w:hAnchor="page" w:x="1419" w:y="14097"/>
    </w:pPr>
  </w:style>
  <w:style w:type="paragraph" w:customStyle="1" w:styleId="195">
    <w:name w:val="其他实施日期"/>
    <w:basedOn w:val="155"/>
    <w:autoRedefine/>
    <w:qFormat/>
    <w:uiPriority w:val="0"/>
    <w:pPr>
      <w:framePr w:w="3997" w:h="471" w:hRule="exact" w:vSpace="181" w:wrap="around" w:vAnchor="page" w:hAnchor="page" w:x="7089" w:y="14097"/>
    </w:pPr>
  </w:style>
  <w:style w:type="paragraph" w:customStyle="1" w:styleId="196">
    <w:name w:val="标准文件_文件编号"/>
    <w:basedOn w:val="57"/>
    <w:autoRedefine/>
    <w:qFormat/>
    <w:uiPriority w:val="0"/>
    <w:pPr>
      <w:framePr w:w="9356" w:h="624" w:hRule="exact" w:hSpace="181" w:vSpace="181" w:wrap="auto" w:vAnchor="page" w:hAnchor="page" w:x="1419" w:y="3284"/>
      <w:wordWrap w:val="0"/>
      <w:spacing w:line="280" w:lineRule="exact"/>
      <w:ind w:firstLine="0" w:firstLineChars="0"/>
      <w:jc w:val="right"/>
    </w:pPr>
    <w:rPr>
      <w:rFonts w:ascii="黑体" w:eastAsia="黑体"/>
      <w:bCs/>
      <w:sz w:val="28"/>
      <w:szCs w:val="28"/>
    </w:rPr>
  </w:style>
  <w:style w:type="paragraph" w:customStyle="1" w:styleId="197">
    <w:name w:val="标准文件_替换文件编号"/>
    <w:basedOn w:val="196"/>
    <w:autoRedefine/>
    <w:qFormat/>
    <w:uiPriority w:val="0"/>
    <w:pPr>
      <w:spacing w:before="57"/>
    </w:pPr>
    <w:rPr>
      <w:sz w:val="21"/>
    </w:rPr>
  </w:style>
  <w:style w:type="paragraph" w:customStyle="1" w:styleId="198">
    <w:name w:val="标准文件_文件名称"/>
    <w:basedOn w:val="57"/>
    <w:next w:val="57"/>
    <w:autoRedefine/>
    <w:qFormat/>
    <w:uiPriority w:val="0"/>
    <w:pPr>
      <w:framePr w:w="9639" w:h="6976" w:hRule="exact" w:wrap="auto" w:vAnchor="page" w:hAnchor="page" w:y="6408"/>
      <w:autoSpaceDE/>
      <w:autoSpaceDN/>
      <w:spacing w:line="700" w:lineRule="exact"/>
      <w:ind w:firstLine="0" w:firstLineChars="0"/>
      <w:jc w:val="center"/>
    </w:pPr>
    <w:rPr>
      <w:rFonts w:ascii="黑体" w:hAnsi="黑体" w:eastAsia="黑体"/>
      <w:bCs/>
      <w:sz w:val="52"/>
    </w:rPr>
  </w:style>
  <w:style w:type="paragraph" w:customStyle="1" w:styleId="199">
    <w:name w:val="标准文件_附录图标号"/>
    <w:basedOn w:val="57"/>
    <w:next w:val="57"/>
    <w:autoRedefine/>
    <w:qFormat/>
    <w:uiPriority w:val="0"/>
    <w:pPr>
      <w:numPr>
        <w:ilvl w:val="0"/>
        <w:numId w:val="6"/>
      </w:numPr>
      <w:spacing w:line="14" w:lineRule="exact"/>
      <w:ind w:firstLine="0" w:firstLineChars="0"/>
      <w:jc w:val="center"/>
    </w:pPr>
    <w:rPr>
      <w:rFonts w:ascii="黑体" w:hAnsi="黑体" w:eastAsia="黑体"/>
      <w:vanish/>
      <w:sz w:val="2"/>
      <w:szCs w:val="21"/>
    </w:rPr>
  </w:style>
  <w:style w:type="paragraph" w:customStyle="1" w:styleId="200">
    <w:name w:val="标准文件_附录表标号"/>
    <w:basedOn w:val="57"/>
    <w:next w:val="57"/>
    <w:autoRedefine/>
    <w:qFormat/>
    <w:uiPriority w:val="0"/>
    <w:pPr>
      <w:numPr>
        <w:ilvl w:val="0"/>
        <w:numId w:val="5"/>
      </w:numPr>
      <w:spacing w:line="14" w:lineRule="exact"/>
      <w:ind w:firstLine="0" w:firstLineChars="0"/>
      <w:jc w:val="center"/>
    </w:pPr>
    <w:rPr>
      <w:rFonts w:eastAsia="黑体"/>
      <w:vanish/>
      <w:sz w:val="2"/>
    </w:rPr>
  </w:style>
  <w:style w:type="paragraph" w:customStyle="1" w:styleId="201">
    <w:name w:val="标准文件_引言一级条标题"/>
    <w:basedOn w:val="57"/>
    <w:next w:val="57"/>
    <w:autoRedefine/>
    <w:qFormat/>
    <w:uiPriority w:val="0"/>
    <w:pPr>
      <w:numPr>
        <w:ilvl w:val="1"/>
        <w:numId w:val="8"/>
      </w:numPr>
      <w:spacing w:before="50" w:beforeLines="50" w:after="50" w:afterLines="50"/>
      <w:ind w:firstLineChars="0"/>
    </w:pPr>
    <w:rPr>
      <w:rFonts w:ascii="黑体" w:eastAsia="黑体"/>
    </w:rPr>
  </w:style>
  <w:style w:type="paragraph" w:customStyle="1" w:styleId="202">
    <w:name w:val="标准文件_引言二级条标题"/>
    <w:basedOn w:val="57"/>
    <w:next w:val="57"/>
    <w:autoRedefine/>
    <w:qFormat/>
    <w:uiPriority w:val="0"/>
    <w:pPr>
      <w:numPr>
        <w:ilvl w:val="2"/>
        <w:numId w:val="8"/>
      </w:numPr>
      <w:spacing w:before="50" w:beforeLines="50" w:after="50" w:afterLines="50"/>
      <w:ind w:firstLineChars="0"/>
    </w:pPr>
    <w:rPr>
      <w:rFonts w:ascii="黑体" w:eastAsia="黑体"/>
    </w:rPr>
  </w:style>
  <w:style w:type="paragraph" w:customStyle="1" w:styleId="203">
    <w:name w:val="标准文件_引言三级条标题"/>
    <w:basedOn w:val="57"/>
    <w:next w:val="57"/>
    <w:autoRedefine/>
    <w:qFormat/>
    <w:uiPriority w:val="0"/>
    <w:pPr>
      <w:numPr>
        <w:ilvl w:val="3"/>
        <w:numId w:val="8"/>
      </w:numPr>
      <w:spacing w:before="50" w:beforeLines="50" w:after="50" w:afterLines="50"/>
      <w:ind w:firstLineChars="0"/>
    </w:pPr>
    <w:rPr>
      <w:rFonts w:ascii="黑体" w:eastAsia="黑体"/>
    </w:rPr>
  </w:style>
  <w:style w:type="paragraph" w:customStyle="1" w:styleId="204">
    <w:name w:val="标准文件_引言四级条标题"/>
    <w:basedOn w:val="57"/>
    <w:next w:val="57"/>
    <w:autoRedefine/>
    <w:qFormat/>
    <w:uiPriority w:val="0"/>
    <w:pPr>
      <w:numPr>
        <w:ilvl w:val="4"/>
        <w:numId w:val="8"/>
      </w:numPr>
      <w:spacing w:before="50" w:beforeLines="50" w:after="50" w:afterLines="50"/>
      <w:ind w:firstLineChars="0"/>
    </w:pPr>
    <w:rPr>
      <w:rFonts w:ascii="黑体" w:eastAsia="黑体"/>
    </w:rPr>
  </w:style>
  <w:style w:type="paragraph" w:customStyle="1" w:styleId="205">
    <w:name w:val="标准文件_引言五级条标题"/>
    <w:basedOn w:val="57"/>
    <w:next w:val="57"/>
    <w:autoRedefine/>
    <w:qFormat/>
    <w:uiPriority w:val="0"/>
    <w:pPr>
      <w:numPr>
        <w:ilvl w:val="5"/>
        <w:numId w:val="8"/>
      </w:numPr>
      <w:spacing w:before="50" w:beforeLines="50" w:after="50" w:afterLines="50"/>
      <w:ind w:firstLineChars="0"/>
    </w:pPr>
    <w:rPr>
      <w:rFonts w:ascii="黑体" w:eastAsia="黑体"/>
    </w:rPr>
  </w:style>
  <w:style w:type="paragraph" w:customStyle="1" w:styleId="206">
    <w:name w:val="标准文件_注后"/>
    <w:basedOn w:val="57"/>
    <w:autoRedefine/>
    <w:qFormat/>
    <w:uiPriority w:val="0"/>
    <w:pPr>
      <w:ind w:left="811" w:firstLine="0" w:firstLineChars="0"/>
    </w:pPr>
    <w:rPr>
      <w:sz w:val="18"/>
    </w:rPr>
  </w:style>
  <w:style w:type="paragraph" w:customStyle="1" w:styleId="207">
    <w:name w:val="标准文件_注X后"/>
    <w:basedOn w:val="57"/>
    <w:autoRedefine/>
    <w:qFormat/>
    <w:uiPriority w:val="0"/>
    <w:pPr>
      <w:ind w:left="811" w:firstLine="0" w:firstLineChars="0"/>
    </w:pPr>
    <w:rPr>
      <w:sz w:val="18"/>
    </w:rPr>
  </w:style>
  <w:style w:type="paragraph" w:customStyle="1" w:styleId="208">
    <w:name w:val="标准文件_示例后"/>
    <w:basedOn w:val="57"/>
    <w:autoRedefine/>
    <w:qFormat/>
    <w:uiPriority w:val="0"/>
    <w:pPr>
      <w:ind w:left="964" w:firstLine="0" w:firstLineChars="0"/>
    </w:pPr>
    <w:rPr>
      <w:sz w:val="18"/>
    </w:rPr>
  </w:style>
  <w:style w:type="paragraph" w:customStyle="1" w:styleId="209">
    <w:name w:val="标准文件_示例X后"/>
    <w:basedOn w:val="57"/>
    <w:link w:val="210"/>
    <w:autoRedefine/>
    <w:qFormat/>
    <w:uiPriority w:val="0"/>
    <w:pPr>
      <w:ind w:left="1049" w:firstLine="0" w:firstLineChars="0"/>
    </w:pPr>
    <w:rPr>
      <w:sz w:val="18"/>
    </w:rPr>
  </w:style>
  <w:style w:type="character" w:customStyle="1" w:styleId="210">
    <w:name w:val="标准文件_示例X后 字符"/>
    <w:basedOn w:val="185"/>
    <w:link w:val="209"/>
    <w:autoRedefine/>
    <w:qFormat/>
    <w:uiPriority w:val="0"/>
    <w:rPr>
      <w:rFonts w:ascii="宋体" w:hAnsi="Times New Roman"/>
      <w:sz w:val="18"/>
    </w:rPr>
  </w:style>
  <w:style w:type="paragraph" w:customStyle="1" w:styleId="211">
    <w:name w:val="标准文件_索引项"/>
    <w:basedOn w:val="57"/>
    <w:next w:val="57"/>
    <w:autoRedefine/>
    <w:qFormat/>
    <w:uiPriority w:val="0"/>
    <w:pPr>
      <w:tabs>
        <w:tab w:val="right" w:leader="dot" w:pos="9356"/>
      </w:tabs>
      <w:ind w:left="210" w:hanging="210" w:firstLineChars="0"/>
      <w:jc w:val="left"/>
    </w:pPr>
  </w:style>
  <w:style w:type="paragraph" w:customStyle="1" w:styleId="212">
    <w:name w:val="标准文件_附录一级无标题"/>
    <w:basedOn w:val="79"/>
    <w:autoRedefine/>
    <w:qFormat/>
    <w:uiPriority w:val="0"/>
    <w:pPr>
      <w:spacing w:before="0" w:beforeLines="0" w:after="0" w:afterLines="0" w:line="276" w:lineRule="auto"/>
      <w:outlineLvl w:val="9"/>
    </w:pPr>
    <w:rPr>
      <w:rFonts w:ascii="宋体" w:eastAsia="宋体"/>
    </w:rPr>
  </w:style>
  <w:style w:type="paragraph" w:customStyle="1" w:styleId="213">
    <w:name w:val="标准文件_附录二级无标题"/>
    <w:basedOn w:val="80"/>
    <w:autoRedefine/>
    <w:qFormat/>
    <w:uiPriority w:val="0"/>
    <w:pPr>
      <w:spacing w:before="0" w:beforeLines="0" w:after="0" w:afterLines="0" w:line="276" w:lineRule="auto"/>
      <w:outlineLvl w:val="9"/>
    </w:pPr>
    <w:rPr>
      <w:rFonts w:ascii="宋体" w:eastAsia="宋体"/>
    </w:rPr>
  </w:style>
  <w:style w:type="paragraph" w:customStyle="1" w:styleId="214">
    <w:name w:val="标准文件_附录三级无标题"/>
    <w:basedOn w:val="82"/>
    <w:autoRedefine/>
    <w:qFormat/>
    <w:uiPriority w:val="0"/>
    <w:pPr>
      <w:spacing w:before="0" w:beforeLines="0" w:after="0" w:afterLines="0" w:line="276" w:lineRule="auto"/>
      <w:outlineLvl w:val="9"/>
    </w:pPr>
    <w:rPr>
      <w:rFonts w:ascii="宋体" w:eastAsia="宋体"/>
    </w:rPr>
  </w:style>
  <w:style w:type="paragraph" w:customStyle="1" w:styleId="215">
    <w:name w:val="标准文件_附录四级无标题"/>
    <w:basedOn w:val="83"/>
    <w:autoRedefine/>
    <w:qFormat/>
    <w:uiPriority w:val="0"/>
    <w:pPr>
      <w:spacing w:before="0" w:beforeLines="0" w:after="0" w:afterLines="0" w:line="276" w:lineRule="auto"/>
      <w:outlineLvl w:val="9"/>
    </w:pPr>
    <w:rPr>
      <w:rFonts w:ascii="宋体" w:eastAsia="宋体"/>
    </w:rPr>
  </w:style>
  <w:style w:type="paragraph" w:customStyle="1" w:styleId="216">
    <w:name w:val="标准文件_附录五级无标题"/>
    <w:basedOn w:val="85"/>
    <w:autoRedefine/>
    <w:qFormat/>
    <w:uiPriority w:val="0"/>
    <w:pPr>
      <w:spacing w:before="0" w:beforeLines="0" w:after="0" w:afterLines="0" w:line="276" w:lineRule="auto"/>
      <w:outlineLvl w:val="9"/>
    </w:pPr>
    <w:rPr>
      <w:rFonts w:ascii="宋体" w:eastAsia="宋体"/>
    </w:rPr>
  </w:style>
  <w:style w:type="paragraph" w:customStyle="1" w:styleId="217">
    <w:name w:val="标准文件_引言一级无标题"/>
    <w:basedOn w:val="201"/>
    <w:next w:val="57"/>
    <w:autoRedefine/>
    <w:qFormat/>
    <w:uiPriority w:val="0"/>
    <w:pPr>
      <w:spacing w:before="0" w:beforeLines="0" w:after="0" w:afterLines="0" w:line="276" w:lineRule="auto"/>
    </w:pPr>
    <w:rPr>
      <w:rFonts w:ascii="宋体" w:eastAsia="宋体"/>
    </w:rPr>
  </w:style>
  <w:style w:type="paragraph" w:customStyle="1" w:styleId="218">
    <w:name w:val="标准文件_引言二级无标题"/>
    <w:basedOn w:val="202"/>
    <w:next w:val="57"/>
    <w:autoRedefine/>
    <w:qFormat/>
    <w:uiPriority w:val="0"/>
    <w:pPr>
      <w:spacing w:before="0" w:beforeLines="0" w:after="0" w:afterLines="0" w:line="276" w:lineRule="auto"/>
    </w:pPr>
    <w:rPr>
      <w:rFonts w:ascii="宋体" w:eastAsia="宋体"/>
    </w:rPr>
  </w:style>
  <w:style w:type="paragraph" w:customStyle="1" w:styleId="219">
    <w:name w:val="标准文件_引言三级无标题"/>
    <w:basedOn w:val="203"/>
    <w:next w:val="57"/>
    <w:autoRedefine/>
    <w:qFormat/>
    <w:uiPriority w:val="0"/>
    <w:pPr>
      <w:spacing w:before="0" w:beforeLines="0" w:after="0" w:afterLines="0" w:line="276" w:lineRule="auto"/>
    </w:pPr>
    <w:rPr>
      <w:rFonts w:ascii="宋体" w:eastAsia="宋体"/>
    </w:rPr>
  </w:style>
  <w:style w:type="paragraph" w:customStyle="1" w:styleId="220">
    <w:name w:val="标准文件_引言四级无标题"/>
    <w:basedOn w:val="204"/>
    <w:next w:val="57"/>
    <w:autoRedefine/>
    <w:qFormat/>
    <w:uiPriority w:val="0"/>
    <w:pPr>
      <w:spacing w:before="0" w:beforeLines="0" w:after="0" w:afterLines="0" w:line="276" w:lineRule="auto"/>
    </w:pPr>
    <w:rPr>
      <w:rFonts w:ascii="宋体" w:eastAsia="宋体"/>
    </w:rPr>
  </w:style>
  <w:style w:type="paragraph" w:customStyle="1" w:styleId="221">
    <w:name w:val="标准文件_引言五级无标题"/>
    <w:basedOn w:val="205"/>
    <w:next w:val="57"/>
    <w:autoRedefine/>
    <w:qFormat/>
    <w:uiPriority w:val="0"/>
    <w:pPr>
      <w:spacing w:before="0" w:beforeLines="0" w:after="0" w:afterLines="0" w:line="276" w:lineRule="auto"/>
    </w:pPr>
    <w:rPr>
      <w:rFonts w:ascii="宋体" w:eastAsia="宋体"/>
    </w:rPr>
  </w:style>
  <w:style w:type="paragraph" w:customStyle="1" w:styleId="222">
    <w:name w:val="标准文件_索引标题"/>
    <w:basedOn w:val="64"/>
    <w:next w:val="57"/>
    <w:autoRedefine/>
    <w:qFormat/>
    <w:uiPriority w:val="0"/>
    <w:rPr>
      <w:rFonts w:hAnsi="黑体"/>
    </w:rPr>
  </w:style>
  <w:style w:type="paragraph" w:customStyle="1" w:styleId="223">
    <w:name w:val="标准文件_脚注内容"/>
    <w:basedOn w:val="57"/>
    <w:autoRedefine/>
    <w:qFormat/>
    <w:uiPriority w:val="0"/>
    <w:pPr>
      <w:ind w:left="400" w:leftChars="200" w:hanging="200" w:hangingChars="200"/>
    </w:pPr>
    <w:rPr>
      <w:sz w:val="15"/>
    </w:rPr>
  </w:style>
  <w:style w:type="paragraph" w:customStyle="1" w:styleId="224">
    <w:name w:val="标准文件_术语条一"/>
    <w:basedOn w:val="163"/>
    <w:next w:val="57"/>
    <w:autoRedefine/>
    <w:qFormat/>
    <w:uiPriority w:val="0"/>
  </w:style>
  <w:style w:type="paragraph" w:customStyle="1" w:styleId="225">
    <w:name w:val="标准文件_术语条二"/>
    <w:basedOn w:val="166"/>
    <w:next w:val="57"/>
    <w:autoRedefine/>
    <w:qFormat/>
    <w:uiPriority w:val="0"/>
  </w:style>
  <w:style w:type="paragraph" w:customStyle="1" w:styleId="226">
    <w:name w:val="标准文件_术语条三"/>
    <w:basedOn w:val="165"/>
    <w:next w:val="57"/>
    <w:autoRedefine/>
    <w:qFormat/>
    <w:uiPriority w:val="0"/>
  </w:style>
  <w:style w:type="paragraph" w:customStyle="1" w:styleId="227">
    <w:name w:val="标准文件_术语条四"/>
    <w:basedOn w:val="168"/>
    <w:next w:val="57"/>
    <w:autoRedefine/>
    <w:qFormat/>
    <w:uiPriority w:val="0"/>
  </w:style>
  <w:style w:type="paragraph" w:customStyle="1" w:styleId="228">
    <w:name w:val="标准文件_术语条五"/>
    <w:basedOn w:val="164"/>
    <w:next w:val="57"/>
    <w:autoRedefine/>
    <w:qFormat/>
    <w:uiPriority w:val="0"/>
  </w:style>
  <w:style w:type="paragraph" w:customStyle="1" w:styleId="229">
    <w:name w:val="Default"/>
    <w:autoRedefine/>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character" w:customStyle="1" w:styleId="230">
    <w:name w:val="发布"/>
    <w:basedOn w:val="29"/>
    <w:autoRedefine/>
    <w:qFormat/>
    <w:uiPriority w:val="0"/>
    <w:rPr>
      <w:rFonts w:ascii="黑体" w:eastAsia="黑体"/>
      <w:spacing w:val="85"/>
      <w:w w:val="100"/>
      <w:position w:val="3"/>
      <w:sz w:val="28"/>
      <w:szCs w:val="28"/>
    </w:rPr>
  </w:style>
  <w:style w:type="character" w:customStyle="1" w:styleId="231">
    <w:name w:val="标准文件_正文标准名称 Char"/>
    <w:link w:val="178"/>
    <w:qFormat/>
    <w:uiPriority w:val="0"/>
    <w:rPr>
      <w:rFonts w:ascii="黑体" w:hAnsi="黑体" w:eastAsia="黑体" w:cs="Times New Roman"/>
      <w:kern w:val="2"/>
      <w:sz w:val="32"/>
      <w:szCs w:val="32"/>
      <w:lang w:val="en-US" w:eastAsia="zh-CN" w:bidi="ar-SA"/>
    </w:rPr>
  </w:style>
</w:styles>
</file>

<file path=word/_rels/customizations.xml.rels><?xml version="1.0" encoding="UTF-8" standalone="yes"?>
<Relationships xmlns="http://schemas.openxmlformats.org/package/2006/relationships"><Relationship Id="rId1" Type="http://schemas.microsoft.com/office/2006/relationships/attachedToolbars" Target="attachedToolbars.bin"/></Relationships>
</file>

<file path=word/_rels/document.xml.rels><?xml version="1.0" encoding="UTF-8" standalone="yes"?>
<Relationships xmlns="http://schemas.openxmlformats.org/package/2006/relationships"><Relationship Id="rId9" Type="http://schemas.openxmlformats.org/officeDocument/2006/relationships/header" Target="header3.xml"/><Relationship Id="rId8" Type="http://schemas.openxmlformats.org/officeDocument/2006/relationships/footer" Target="footer2.xml"/><Relationship Id="rId7" Type="http://schemas.openxmlformats.org/officeDocument/2006/relationships/footer" Target="footer1.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8" Type="http://schemas.openxmlformats.org/officeDocument/2006/relationships/glossaryDocument" Target="glossary/document.xml"/><Relationship Id="rId27" Type="http://schemas.openxmlformats.org/officeDocument/2006/relationships/fontTable" Target="fontTable.xml"/><Relationship Id="rId26" Type="http://schemas.microsoft.com/office/2006/relationships/keyMapCustomizations" Target="customizations.xml"/><Relationship Id="rId25" Type="http://schemas.openxmlformats.org/officeDocument/2006/relationships/numbering" Target="numbering.xml"/><Relationship Id="rId24" Type="http://schemas.openxmlformats.org/officeDocument/2006/relationships/customXml" Target="../customXml/item1.xml"/><Relationship Id="rId23" Type="http://schemas.openxmlformats.org/officeDocument/2006/relationships/theme" Target="theme/theme1.xml"/><Relationship Id="rId22" Type="http://schemas.openxmlformats.org/officeDocument/2006/relationships/footer" Target="footer9.xml"/><Relationship Id="rId21" Type="http://schemas.openxmlformats.org/officeDocument/2006/relationships/header" Target="header9.xml"/><Relationship Id="rId20" Type="http://schemas.openxmlformats.org/officeDocument/2006/relationships/footer" Target="footer8.xml"/><Relationship Id="rId2" Type="http://schemas.openxmlformats.org/officeDocument/2006/relationships/settings" Target="settings.xml"/><Relationship Id="rId19" Type="http://schemas.openxmlformats.org/officeDocument/2006/relationships/footer" Target="footer7.xml"/><Relationship Id="rId18" Type="http://schemas.openxmlformats.org/officeDocument/2006/relationships/header" Target="header8.xml"/><Relationship Id="rId17" Type="http://schemas.openxmlformats.org/officeDocument/2006/relationships/header" Target="header7.xml"/><Relationship Id="rId16" Type="http://schemas.openxmlformats.org/officeDocument/2006/relationships/footer" Target="footer6.xml"/><Relationship Id="rId15" Type="http://schemas.openxmlformats.org/officeDocument/2006/relationships/footer" Target="footer5.xml"/><Relationship Id="rId14" Type="http://schemas.openxmlformats.org/officeDocument/2006/relationships/header" Target="header6.xml"/><Relationship Id="rId13" Type="http://schemas.openxmlformats.org/officeDocument/2006/relationships/header" Target="header5.xml"/><Relationship Id="rId12" Type="http://schemas.openxmlformats.org/officeDocument/2006/relationships/footer" Target="footer4.xml"/><Relationship Id="rId11" Type="http://schemas.openxmlformats.org/officeDocument/2006/relationships/footer" Target="footer3.xml"/><Relationship Id="rId10" Type="http://schemas.openxmlformats.org/officeDocument/2006/relationships/header" Target="header4.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20Files%20(x86)\StandardEditor\template\&#22242;&#20307;&#26631;&#20934;.dotx" TargetMode="External"/></Relationships>
</file>

<file path=word/glossary/_rels/document.xml.rels><?xml version="1.0" encoding="UTF-8" standalone="yes"?>
<Relationships xmlns="http://schemas.openxmlformats.org/package/2006/relationships"><Relationship Id="rId3"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docParts>
    <w:docPart>
      <w:docPartPr>
        <w:name w:val="7E4D79857A3744BF8B06ECA5172CB02A"/>
        <w:style w:val=""/>
        <w:category>
          <w:name w:val="常规"/>
          <w:gallery w:val="placeholder"/>
        </w:category>
        <w:types>
          <w:type w:val="bbPlcHdr"/>
        </w:types>
        <w:behaviors>
          <w:behavior w:val="content"/>
        </w:behaviors>
        <w:description w:val=""/>
        <w:guid w:val="{81AD6612-0F30-4697-9AB9-AB1D1D7C0512}"/>
      </w:docPartPr>
      <w:docPartBody>
        <w:p w14:paraId="72B09120">
          <w:pPr>
            <w:pStyle w:val="5"/>
          </w:pPr>
          <w:r>
            <w:rPr>
              <w:rStyle w:val="4"/>
              <w:rFonts w:hint="eastAsia"/>
            </w:rPr>
            <w:t>单击或点击此处输入文字。</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bordersDoNotSurroundHeader w:val="1"/>
  <w:bordersDoNotSurroundFooter w:val="1"/>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A0CF5"/>
    <w:rsid w:val="00052FE0"/>
    <w:rsid w:val="00055C00"/>
    <w:rsid w:val="000E6EF0"/>
    <w:rsid w:val="00214B98"/>
    <w:rsid w:val="00232A1B"/>
    <w:rsid w:val="00292460"/>
    <w:rsid w:val="00325B37"/>
    <w:rsid w:val="00336A7C"/>
    <w:rsid w:val="00390538"/>
    <w:rsid w:val="003A7168"/>
    <w:rsid w:val="00423721"/>
    <w:rsid w:val="0050314B"/>
    <w:rsid w:val="00525B46"/>
    <w:rsid w:val="00536258"/>
    <w:rsid w:val="0057103A"/>
    <w:rsid w:val="005C2F04"/>
    <w:rsid w:val="006069C8"/>
    <w:rsid w:val="006150F4"/>
    <w:rsid w:val="00630818"/>
    <w:rsid w:val="00674F9C"/>
    <w:rsid w:val="006B7E22"/>
    <w:rsid w:val="006D3197"/>
    <w:rsid w:val="006E01B6"/>
    <w:rsid w:val="00711B8A"/>
    <w:rsid w:val="00713BFC"/>
    <w:rsid w:val="0071731E"/>
    <w:rsid w:val="00726281"/>
    <w:rsid w:val="00745583"/>
    <w:rsid w:val="00794590"/>
    <w:rsid w:val="007E20FA"/>
    <w:rsid w:val="0080705F"/>
    <w:rsid w:val="00816773"/>
    <w:rsid w:val="008261D3"/>
    <w:rsid w:val="0083275B"/>
    <w:rsid w:val="008B4EFD"/>
    <w:rsid w:val="00900BD8"/>
    <w:rsid w:val="0090335E"/>
    <w:rsid w:val="00957597"/>
    <w:rsid w:val="009750F3"/>
    <w:rsid w:val="009A0CF5"/>
    <w:rsid w:val="009C5075"/>
    <w:rsid w:val="00A6754E"/>
    <w:rsid w:val="00A83292"/>
    <w:rsid w:val="00B033B1"/>
    <w:rsid w:val="00B54193"/>
    <w:rsid w:val="00B93F65"/>
    <w:rsid w:val="00BA7177"/>
    <w:rsid w:val="00BB2F23"/>
    <w:rsid w:val="00BB7713"/>
    <w:rsid w:val="00BE49BF"/>
    <w:rsid w:val="00C345AC"/>
    <w:rsid w:val="00C77DF9"/>
    <w:rsid w:val="00D011A0"/>
    <w:rsid w:val="00D25BE1"/>
    <w:rsid w:val="00D639F1"/>
    <w:rsid w:val="00D675F6"/>
    <w:rsid w:val="00D829DA"/>
    <w:rsid w:val="00E33457"/>
    <w:rsid w:val="00E847DA"/>
    <w:rsid w:val="00E96E01"/>
    <w:rsid w:val="00EA1952"/>
    <w:rsid w:val="00F17782"/>
    <w:rsid w:val="00F818EA"/>
    <w:rsid w:val="00FD1D38"/>
    <w:rsid w:val="00FE2892"/>
    <w:rsid w:val="00FF150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glossary/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iPriority="1" w:name="Default Paragraph Font"/>
    <w:lsdException w:qFormat="1" w:uiPriority="99" w:name="Normal Table"/>
    <w:lsdException w:qFormat="1" w:unhideWhenUsed="0" w:uiPriority="99" w:name="Placeholder Text"/>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2">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character" w:styleId="4">
    <w:name w:val="Placeholder Text"/>
    <w:basedOn w:val="2"/>
    <w:semiHidden/>
    <w:qFormat/>
    <w:uiPriority w:val="99"/>
    <w:rPr>
      <w:color w:val="808080"/>
    </w:rPr>
  </w:style>
  <w:style w:type="paragraph" w:customStyle="1" w:styleId="5">
    <w:name w:val="7E4D79857A3744BF8B06ECA5172CB02A"/>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6">
    <w:name w:val="B7DE5E6CD404450191BAA86DF7273466"/>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7">
    <w:name w:val="3A9C554EBE04412BBD2B3E281967B06D"/>
    <w:qFormat/>
    <w:uiPriority w:val="0"/>
    <w:pPr>
      <w:widowControl w:val="0"/>
      <w:jc w:val="both"/>
    </w:pPr>
    <w:rPr>
      <w:rFonts w:asciiTheme="minorHAnsi" w:hAnsiTheme="minorHAnsi" w:eastAsiaTheme="minorEastAsia" w:cstheme="minorBidi"/>
      <w:kern w:val="2"/>
      <w:sz w:val="21"/>
      <w:szCs w:val="22"/>
      <w:lang w:val="en-US" w:eastAsia="zh-CN" w:bidi="ar-SA"/>
    </w:rPr>
  </w:style>
</w:style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bwMode="auto">
        <a:noFill/>
        <a:ln w="9525">
          <a:solidFill>
            <a:srgbClr val="000000"/>
          </a:solidFill>
          <a:round/>
        </a:ln>
      </a:spPr>
      <a:bodyPr/>
      <a:lstStyle/>
    </a:lnDef>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团体标准</Template>
  <Company>PCMI</Company>
  <Pages>30</Pages>
  <Words>3539</Words>
  <Characters>3786</Characters>
  <Lines>61</Lines>
  <Paragraphs>17</Paragraphs>
  <TotalTime>23</TotalTime>
  <ScaleCrop>false</ScaleCrop>
  <LinksUpToDate>false</LinksUpToDate>
  <CharactersWithSpaces>3904</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2023-06-10T03:18:00Z</dcterms:created>
  <dc:creator>Windows User</dc:creator>
  <dc:description>&lt;config cover="true" show_menu="true" version="1.0.0" doctype="SDKXY"&gt;_x000d_
&lt;/config&gt;</dc:description>
  <cp:lastModifiedBy>Y</cp:lastModifiedBy>
  <cp:lastPrinted>2025-01-22T06:44:00Z</cp:lastPrinted>
  <dcterms:modified xsi:type="dcterms:W3CDTF">2025-01-23T02:50:15Z</dcterms:modified>
  <dc:title>团体标准</dc:title>
  <cp:revision>1632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type">
    <vt:lpwstr>SDKXY</vt:lpwstr>
  </property>
  <property fmtid="{D5CDD505-2E9C-101B-9397-08002B2CF9AE}" pid="3" name="cover">
    <vt:lpwstr>true</vt:lpwstr>
  </property>
  <property fmtid="{D5CDD505-2E9C-101B-9397-08002B2CF9AE}" pid="4" name="show_menu">
    <vt:lpwstr>true</vt:lpwstr>
  </property>
  <property fmtid="{D5CDD505-2E9C-101B-9397-08002B2CF9AE}" pid="5" name="version">
    <vt:lpwstr>1.0.0</vt:lpwstr>
  </property>
  <property fmtid="{D5CDD505-2E9C-101B-9397-08002B2CF9AE}" pid="6" name="xmlname">
    <vt:lpwstr>团体标准</vt:lpwstr>
  </property>
  <property fmtid="{D5CDD505-2E9C-101B-9397-08002B2CF9AE}" pid="7" name="NSTD_CODE">
    <vt:lpwstr>GB/T-</vt:lpwstr>
  </property>
  <property fmtid="{D5CDD505-2E9C-101B-9397-08002B2CF9AE}" pid="8" name="OSTD_CODE">
    <vt:lpwstr>代替 GB/T-</vt:lpwstr>
  </property>
  <property fmtid="{D5CDD505-2E9C-101B-9397-08002B2CF9AE}" pid="9" name="flag_zhengwen">
    <vt:lpwstr>-1</vt:lpwstr>
  </property>
  <property fmtid="{D5CDD505-2E9C-101B-9397-08002B2CF9AE}" pid="10" name="flag_fulu">
    <vt:lpwstr>0</vt:lpwstr>
  </property>
  <property fmtid="{D5CDD505-2E9C-101B-9397-08002B2CF9AE}" pid="11" name="flag_pic">
    <vt:lpwstr>False</vt:lpwstr>
  </property>
  <property fmtid="{D5CDD505-2E9C-101B-9397-08002B2CF9AE}" pid="12" name="flag_tab">
    <vt:lpwstr>false</vt:lpwstr>
  </property>
  <property fmtid="{D5CDD505-2E9C-101B-9397-08002B2CF9AE}" pid="13" name="NumList">
    <vt:lpwstr>false</vt:lpwstr>
  </property>
  <property fmtid="{D5CDD505-2E9C-101B-9397-08002B2CF9AE}" pid="14" name="KSOProductBuildVer">
    <vt:lpwstr>2052-12.1.0.19770</vt:lpwstr>
  </property>
  <property fmtid="{D5CDD505-2E9C-101B-9397-08002B2CF9AE}" pid="15" name="ICV">
    <vt:lpwstr>FB3E4E481EE5481A941F138A5291A849_13</vt:lpwstr>
  </property>
  <property fmtid="{D5CDD505-2E9C-101B-9397-08002B2CF9AE}" pid="16" name="DoublePage">
    <vt:lpwstr>true</vt:lpwstr>
  </property>
  <property fmtid="{D5CDD505-2E9C-101B-9397-08002B2CF9AE}" pid="17" name="KSOTemplateDocerSaveRecord">
    <vt:lpwstr>eyJoZGlkIjoiYzZhZDY2MzhjNDgzNzg5YzhiNjgwYTU4MDFmNjg0NTkiLCJ1c2VySWQiOiIzMjcwMDI1OTAifQ==</vt:lpwstr>
  </property>
</Properties>
</file>