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5F94EE">
      <w:pPr>
        <w:adjustRightInd w:val="0"/>
        <w:snapToGrid w:val="0"/>
        <w:spacing w:line="720" w:lineRule="exact"/>
        <w:ind w:left="0" w:leftChars="0" w:firstLine="0" w:firstLineChars="0"/>
        <w:jc w:val="left"/>
        <w:rPr>
          <w:rFonts w:hint="eastAsia" w:ascii="黑体" w:hAnsi="黑体" w:eastAsia="黑体" w:cs="宋体"/>
          <w:sz w:val="32"/>
          <w:szCs w:val="32"/>
          <w:lang w:eastAsia="zh-CN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hint="eastAsia" w:ascii="黑体" w:hAnsi="黑体" w:eastAsia="黑体" w:cs="宋体"/>
          <w:sz w:val="32"/>
          <w:szCs w:val="32"/>
          <w:lang w:val="en-US" w:eastAsia="zh-CN"/>
        </w:rPr>
        <w:t>2</w:t>
      </w:r>
    </w:p>
    <w:p w14:paraId="2E3DE13D">
      <w:pPr>
        <w:spacing w:line="560" w:lineRule="exact"/>
        <w:jc w:val="center"/>
        <w:rPr>
          <w:rFonts w:hint="eastAsia" w:ascii="方正公文小标宋" w:hAnsi="方正公文小标宋" w:eastAsia="方正公文小标宋" w:cs="方正公文小标宋"/>
          <w:sz w:val="44"/>
          <w:szCs w:val="36"/>
        </w:rPr>
      </w:pPr>
    </w:p>
    <w:p w14:paraId="625C97D0">
      <w:pPr>
        <w:spacing w:line="560" w:lineRule="exact"/>
        <w:jc w:val="center"/>
        <w:rPr>
          <w:rFonts w:hint="eastAsia" w:ascii="方正公文小标宋" w:hAnsi="方正公文小标宋" w:eastAsia="方正公文小标宋" w:cs="方正公文小标宋"/>
          <w:sz w:val="44"/>
          <w:szCs w:val="36"/>
        </w:rPr>
      </w:pPr>
    </w:p>
    <w:p w14:paraId="59AD8D88">
      <w:pPr>
        <w:spacing w:line="560" w:lineRule="exact"/>
        <w:jc w:val="center"/>
        <w:rPr>
          <w:rFonts w:hint="eastAsia" w:ascii="方正公文小标宋" w:hAnsi="方正公文小标宋" w:eastAsia="方正公文小标宋" w:cs="方正公文小标宋"/>
          <w:sz w:val="44"/>
          <w:szCs w:val="36"/>
        </w:rPr>
      </w:pPr>
    </w:p>
    <w:p w14:paraId="155F04F3">
      <w:pPr>
        <w:bidi w:val="0"/>
        <w:ind w:left="0" w:leftChars="0" w:firstLine="0" w:firstLineChars="0"/>
        <w:jc w:val="center"/>
        <w:outlineLvl w:val="9"/>
        <w:rPr>
          <w:rFonts w:hint="eastAsia" w:ascii="方正公文小标宋" w:hAnsi="方正公文小标宋" w:eastAsia="方正公文小标宋" w:cs="方正公文小标宋"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sz w:val="44"/>
          <w:szCs w:val="44"/>
        </w:rPr>
        <w:t>广州市建筑业联合会团体标准</w:t>
      </w:r>
    </w:p>
    <w:p w14:paraId="46E82A5B">
      <w:pPr>
        <w:bidi w:val="0"/>
        <w:ind w:left="0" w:leftChars="0" w:firstLine="0" w:firstLineChars="0"/>
        <w:jc w:val="center"/>
        <w:rPr>
          <w:rFonts w:hint="eastAsia" w:ascii="方正公文小标宋" w:hAnsi="方正公文小标宋" w:eastAsia="方正公文小标宋" w:cs="方正公文小标宋"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sz w:val="44"/>
          <w:szCs w:val="44"/>
        </w:rPr>
        <w:t>《广州市工程建设企业信用等级评价规范</w:t>
      </w:r>
      <w:r>
        <w:rPr>
          <w:rFonts w:hint="eastAsia" w:ascii="方正公文小标宋" w:hAnsi="方正公文小标宋" w:eastAsia="方正公文小标宋" w:cs="方正公文小标宋"/>
          <w:sz w:val="44"/>
          <w:szCs w:val="44"/>
          <w:lang w:eastAsia="zh-CN"/>
        </w:rPr>
        <w:t>（</w:t>
      </w:r>
      <w:r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  <w:t>征求意见稿</w:t>
      </w:r>
      <w:r>
        <w:rPr>
          <w:rFonts w:hint="eastAsia" w:ascii="方正公文小标宋" w:hAnsi="方正公文小标宋" w:eastAsia="方正公文小标宋" w:cs="方正公文小标宋"/>
          <w:sz w:val="44"/>
          <w:szCs w:val="44"/>
          <w:lang w:eastAsia="zh-CN"/>
        </w:rPr>
        <w:t>）</w:t>
      </w:r>
      <w:r>
        <w:rPr>
          <w:rFonts w:hint="eastAsia" w:ascii="方正公文小标宋" w:hAnsi="方正公文小标宋" w:eastAsia="方正公文小标宋" w:cs="方正公文小标宋"/>
          <w:sz w:val="44"/>
          <w:szCs w:val="44"/>
        </w:rPr>
        <w:t>》</w:t>
      </w:r>
    </w:p>
    <w:p w14:paraId="10251FA1">
      <w:pPr>
        <w:spacing w:line="560" w:lineRule="exact"/>
        <w:jc w:val="center"/>
        <w:rPr>
          <w:rFonts w:hint="eastAsia" w:ascii="方正公文小标宋" w:hAnsi="方正公文小标宋" w:eastAsia="方正公文小标宋" w:cs="方正公文小标宋"/>
          <w:sz w:val="44"/>
          <w:szCs w:val="44"/>
        </w:rPr>
      </w:pPr>
    </w:p>
    <w:p w14:paraId="75507CB0">
      <w:pPr>
        <w:spacing w:line="560" w:lineRule="exact"/>
        <w:jc w:val="center"/>
        <w:rPr>
          <w:rFonts w:hint="eastAsia" w:ascii="方正公文小标宋" w:hAnsi="方正公文小标宋" w:eastAsia="方正公文小标宋" w:cs="方正公文小标宋"/>
          <w:sz w:val="44"/>
          <w:szCs w:val="44"/>
        </w:rPr>
      </w:pPr>
    </w:p>
    <w:p w14:paraId="16EEB688">
      <w:pPr>
        <w:spacing w:line="560" w:lineRule="exact"/>
        <w:jc w:val="center"/>
        <w:rPr>
          <w:rFonts w:hint="eastAsia" w:ascii="方正公文小标宋" w:hAnsi="方正公文小标宋" w:eastAsia="方正公文小标宋" w:cs="方正公文小标宋"/>
          <w:sz w:val="44"/>
          <w:szCs w:val="44"/>
        </w:rPr>
      </w:pPr>
    </w:p>
    <w:p w14:paraId="42D7CAB8">
      <w:pPr>
        <w:bidi w:val="0"/>
        <w:ind w:left="0" w:leftChars="0" w:firstLine="0" w:firstLineChars="0"/>
        <w:jc w:val="center"/>
        <w:outlineLvl w:val="9"/>
        <w:rPr>
          <w:rFonts w:hint="eastAsia" w:ascii="方正公文小标宋" w:hAnsi="方正公文小标宋" w:eastAsia="方正公文小标宋" w:cs="方正公文小标宋"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sz w:val="44"/>
          <w:szCs w:val="44"/>
        </w:rPr>
        <w:t>团体标准编制说明</w:t>
      </w:r>
    </w:p>
    <w:p w14:paraId="367CB107">
      <w:pPr>
        <w:spacing w:line="560" w:lineRule="exact"/>
        <w:jc w:val="center"/>
        <w:rPr>
          <w:rFonts w:hint="eastAsia" w:ascii="方正公文小标宋" w:hAnsi="方正公文小标宋" w:eastAsia="方正公文小标宋" w:cs="方正公文小标宋"/>
          <w:sz w:val="44"/>
          <w:szCs w:val="36"/>
        </w:rPr>
      </w:pPr>
    </w:p>
    <w:p w14:paraId="422B68B2">
      <w:pPr>
        <w:spacing w:line="560" w:lineRule="exact"/>
        <w:jc w:val="center"/>
        <w:rPr>
          <w:rFonts w:hint="eastAsia" w:ascii="方正公文小标宋" w:hAnsi="方正公文小标宋" w:eastAsia="方正公文小标宋" w:cs="方正公文小标宋"/>
          <w:sz w:val="44"/>
          <w:szCs w:val="36"/>
        </w:rPr>
      </w:pPr>
    </w:p>
    <w:p w14:paraId="2781A665">
      <w:pPr>
        <w:spacing w:line="560" w:lineRule="exact"/>
        <w:jc w:val="center"/>
        <w:rPr>
          <w:rFonts w:hint="eastAsia" w:ascii="方正公文小标宋" w:hAnsi="方正公文小标宋" w:eastAsia="方正公文小标宋" w:cs="方正公文小标宋"/>
          <w:sz w:val="44"/>
          <w:szCs w:val="36"/>
        </w:rPr>
      </w:pPr>
    </w:p>
    <w:p w14:paraId="1F9F7A00">
      <w:pPr>
        <w:spacing w:line="560" w:lineRule="exact"/>
        <w:jc w:val="center"/>
        <w:rPr>
          <w:rFonts w:hint="eastAsia" w:ascii="方正公文小标宋" w:hAnsi="方正公文小标宋" w:eastAsia="方正公文小标宋" w:cs="方正公文小标宋"/>
          <w:sz w:val="44"/>
          <w:szCs w:val="36"/>
        </w:rPr>
      </w:pPr>
    </w:p>
    <w:p w14:paraId="758776B0">
      <w:pPr>
        <w:spacing w:line="560" w:lineRule="exact"/>
        <w:jc w:val="center"/>
        <w:rPr>
          <w:rFonts w:hint="eastAsia" w:ascii="方正公文小标宋" w:hAnsi="方正公文小标宋" w:eastAsia="方正公文小标宋" w:cs="方正公文小标宋"/>
          <w:sz w:val="44"/>
          <w:szCs w:val="36"/>
        </w:rPr>
      </w:pPr>
    </w:p>
    <w:p w14:paraId="24896186">
      <w:pPr>
        <w:spacing w:line="560" w:lineRule="exact"/>
        <w:jc w:val="center"/>
        <w:rPr>
          <w:rFonts w:hint="eastAsia" w:ascii="方正公文小标宋" w:hAnsi="方正公文小标宋" w:eastAsia="方正公文小标宋" w:cs="方正公文小标宋"/>
          <w:sz w:val="44"/>
          <w:szCs w:val="36"/>
        </w:rPr>
      </w:pPr>
    </w:p>
    <w:p w14:paraId="3FDEE00E">
      <w:pPr>
        <w:spacing w:line="560" w:lineRule="exact"/>
        <w:jc w:val="center"/>
        <w:rPr>
          <w:rFonts w:hint="eastAsia" w:ascii="方正公文小标宋" w:hAnsi="方正公文小标宋" w:eastAsia="方正公文小标宋" w:cs="方正公文小标宋"/>
          <w:sz w:val="44"/>
          <w:szCs w:val="36"/>
        </w:rPr>
      </w:pPr>
    </w:p>
    <w:p w14:paraId="526AA069">
      <w:pPr>
        <w:spacing w:line="560" w:lineRule="exact"/>
        <w:jc w:val="center"/>
        <w:rPr>
          <w:rFonts w:hint="eastAsia" w:ascii="Times New Roman" w:hAnsi="Times New Roman" w:eastAsia="方正公文小标宋" w:cs="方正公文小标宋"/>
          <w:sz w:val="44"/>
          <w:szCs w:val="36"/>
        </w:rPr>
      </w:pPr>
    </w:p>
    <w:p w14:paraId="5D9DFDE6">
      <w:pPr>
        <w:spacing w:line="560" w:lineRule="exact"/>
        <w:ind w:left="0" w:leftChars="0" w:firstLine="0" w:firstLineChars="0"/>
        <w:jc w:val="center"/>
        <w:rPr>
          <w:rFonts w:hint="eastAsia" w:ascii="Times New Roman" w:hAnsi="Times New Roman" w:eastAsia="仿宋" w:cs="仿宋"/>
          <w:sz w:val="32"/>
          <w:szCs w:val="24"/>
        </w:rPr>
      </w:pPr>
      <w:r>
        <w:rPr>
          <w:rFonts w:hint="eastAsia" w:ascii="Times New Roman" w:hAnsi="Times New Roman" w:eastAsia="仿宋" w:cs="仿宋"/>
          <w:sz w:val="32"/>
          <w:szCs w:val="24"/>
        </w:rPr>
        <w:t>20</w:t>
      </w:r>
      <w:r>
        <w:rPr>
          <w:rFonts w:hint="eastAsia" w:ascii="Times New Roman" w:hAnsi="Times New Roman" w:cs="仿宋"/>
          <w:sz w:val="32"/>
          <w:szCs w:val="24"/>
          <w:lang w:val="en-US" w:eastAsia="zh-CN"/>
        </w:rPr>
        <w:t>25</w:t>
      </w:r>
      <w:r>
        <w:rPr>
          <w:rFonts w:hint="eastAsia" w:ascii="Times New Roman" w:hAnsi="Times New Roman" w:eastAsia="仿宋" w:cs="仿宋"/>
          <w:sz w:val="32"/>
          <w:szCs w:val="24"/>
        </w:rPr>
        <w:t>年</w:t>
      </w:r>
      <w:r>
        <w:rPr>
          <w:rFonts w:hint="eastAsia" w:ascii="Times New Roman" w:hAnsi="Times New Roman" w:cs="仿宋"/>
          <w:sz w:val="32"/>
          <w:szCs w:val="24"/>
          <w:lang w:val="en-US" w:eastAsia="zh-CN"/>
        </w:rPr>
        <w:t>1</w:t>
      </w:r>
      <w:r>
        <w:rPr>
          <w:rFonts w:hint="eastAsia" w:ascii="Times New Roman" w:hAnsi="Times New Roman" w:eastAsia="仿宋" w:cs="仿宋"/>
          <w:sz w:val="32"/>
          <w:szCs w:val="24"/>
        </w:rPr>
        <w:t>月</w:t>
      </w:r>
    </w:p>
    <w:p w14:paraId="5A5D2985">
      <w:pPr>
        <w:spacing w:line="560" w:lineRule="exact"/>
        <w:ind w:left="0" w:leftChars="0" w:firstLine="0" w:firstLineChars="0"/>
        <w:jc w:val="center"/>
        <w:rPr>
          <w:rFonts w:hint="eastAsia" w:ascii="Times New Roman" w:hAnsi="Times New Roman" w:eastAsia="仿宋" w:cs="仿宋"/>
          <w:sz w:val="32"/>
          <w:szCs w:val="24"/>
        </w:rPr>
      </w:pPr>
      <w:r>
        <w:rPr>
          <w:rFonts w:hint="eastAsia" w:ascii="Times New Roman" w:hAnsi="Times New Roman" w:eastAsia="仿宋" w:cs="仿宋"/>
          <w:sz w:val="32"/>
          <w:szCs w:val="24"/>
        </w:rPr>
        <w:t>团体标准起草工作组</w:t>
      </w:r>
    </w:p>
    <w:p w14:paraId="6DC0EBBA">
      <w:pPr>
        <w:rPr>
          <w:rFonts w:hint="eastAsia"/>
        </w:rPr>
      </w:pPr>
      <w:r>
        <w:rPr>
          <w:rFonts w:hint="eastAsia" w:ascii="仿宋" w:hAnsi="仿宋" w:eastAsia="仿宋" w:cs="仿宋"/>
          <w:sz w:val="32"/>
          <w:szCs w:val="24"/>
        </w:rPr>
        <w:br w:type="page"/>
      </w:r>
    </w:p>
    <w:p w14:paraId="71D854D9">
      <w:pPr>
        <w:pStyle w:val="2"/>
        <w:bidi w:val="0"/>
        <w:outlineLvl w:val="0"/>
        <w:rPr>
          <w:rFonts w:hint="eastAsia" w:ascii="Times New Roman" w:hAnsi="Times New Roman"/>
          <w:sz w:val="32"/>
        </w:rPr>
      </w:pPr>
      <w:bookmarkStart w:id="0" w:name="_Toc22603"/>
      <w:r>
        <w:rPr>
          <w:rFonts w:hint="eastAsia" w:ascii="Times New Roman" w:hAnsi="Times New Roman"/>
          <w:sz w:val="32"/>
        </w:rPr>
        <w:t>一、制定标准目的</w:t>
      </w:r>
      <w:bookmarkEnd w:id="0"/>
    </w:p>
    <w:p w14:paraId="177ED0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/>
          <w:sz w:val="32"/>
        </w:rPr>
      </w:pPr>
      <w:r>
        <w:rPr>
          <w:rFonts w:hint="eastAsia" w:ascii="Times New Roman" w:hAnsi="Times New Roman"/>
          <w:sz w:val="32"/>
        </w:rPr>
        <w:t>本项目旨在建立一套科学、公正、适应广州市特点的工程建设企业信用等级评价规范，以健全行业信用体系，加强行业自律，提升工程建设企业的信用意识，促进市场公平竞争，保障工程质量与安全，推动行业的健康可持续发展。</w:t>
      </w:r>
    </w:p>
    <w:p w14:paraId="1207670B">
      <w:pPr>
        <w:pStyle w:val="2"/>
        <w:bidi w:val="0"/>
        <w:outlineLvl w:val="0"/>
        <w:rPr>
          <w:rFonts w:hint="eastAsia" w:ascii="Times New Roman" w:hAnsi="Times New Roman"/>
          <w:sz w:val="32"/>
        </w:rPr>
      </w:pPr>
      <w:bookmarkStart w:id="1" w:name="_Toc28623"/>
      <w:r>
        <w:rPr>
          <w:rFonts w:hint="eastAsia" w:ascii="Times New Roman" w:hAnsi="Times New Roman"/>
          <w:sz w:val="32"/>
        </w:rPr>
        <w:t>二、制定标准意义</w:t>
      </w:r>
      <w:bookmarkEnd w:id="1"/>
    </w:p>
    <w:p w14:paraId="6C152A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/>
          <w:sz w:val="32"/>
        </w:rPr>
      </w:pPr>
      <w:r>
        <w:rPr>
          <w:rFonts w:hint="eastAsia" w:ascii="Times New Roman" w:hAnsi="Times New Roman"/>
          <w:sz w:val="32"/>
        </w:rPr>
        <w:t>引导企业强化信用意识，提升管理水平，增强市场竞争力，从而推动整个行业向更加健康、可持续的方向发展。此外，本项目还将促进信息共享与公开，为投资者、消费者等利益相关方提供更为全面、准确的信用信息，进一步优化市场环境，激发市场活力。</w:t>
      </w:r>
    </w:p>
    <w:p w14:paraId="598C6A95">
      <w:pPr>
        <w:pStyle w:val="2"/>
        <w:bidi w:val="0"/>
        <w:outlineLvl w:val="0"/>
        <w:rPr>
          <w:rFonts w:hint="eastAsia" w:ascii="Times New Roman" w:hAnsi="Times New Roman"/>
          <w:sz w:val="32"/>
        </w:rPr>
      </w:pPr>
      <w:bookmarkStart w:id="2" w:name="_Toc10200"/>
      <w:r>
        <w:rPr>
          <w:rFonts w:hint="eastAsia" w:ascii="Times New Roman" w:hAnsi="Times New Roman"/>
          <w:sz w:val="32"/>
        </w:rPr>
        <w:t>三、制定标准必要性</w:t>
      </w:r>
      <w:bookmarkEnd w:id="2"/>
    </w:p>
    <w:p w14:paraId="6AB0B2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/>
          <w:sz w:val="32"/>
        </w:rPr>
      </w:pPr>
      <w:r>
        <w:rPr>
          <w:rFonts w:hint="eastAsia" w:ascii="Times New Roman" w:hAnsi="Times New Roman"/>
          <w:sz w:val="32"/>
        </w:rPr>
        <w:t>该体系的建立，将有效完善广州市工程建设企业信用等级评价体系，为政府监管、行业自律、市场选择提供有力支撑。同时，有助于政府部门实现精准监管，提高行政效率，降低监管成本。</w:t>
      </w:r>
    </w:p>
    <w:p w14:paraId="3C24F1BD">
      <w:pPr>
        <w:pStyle w:val="2"/>
        <w:bidi w:val="0"/>
        <w:outlineLvl w:val="0"/>
        <w:rPr>
          <w:rFonts w:hint="eastAsia" w:ascii="Times New Roman" w:hAnsi="Times New Roman"/>
          <w:sz w:val="32"/>
        </w:rPr>
      </w:pPr>
      <w:bookmarkStart w:id="3" w:name="_Toc9457"/>
      <w:r>
        <w:rPr>
          <w:rFonts w:hint="eastAsia" w:ascii="Times New Roman" w:hAnsi="Times New Roman"/>
          <w:sz w:val="32"/>
        </w:rPr>
        <w:t>四、编制过程</w:t>
      </w:r>
      <w:bookmarkEnd w:id="3"/>
    </w:p>
    <w:p w14:paraId="5167C4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楷体" w:cs="楷体"/>
          <w:sz w:val="32"/>
        </w:rPr>
      </w:pPr>
      <w:r>
        <w:rPr>
          <w:rFonts w:hint="eastAsia" w:ascii="Times New Roman" w:hAnsi="Times New Roman" w:eastAsia="楷体" w:cs="楷体"/>
          <w:sz w:val="32"/>
          <w:lang w:val="en-US" w:eastAsia="zh-CN"/>
        </w:rPr>
        <w:t>（一）</w:t>
      </w:r>
      <w:r>
        <w:rPr>
          <w:rFonts w:hint="eastAsia" w:ascii="Times New Roman" w:hAnsi="Times New Roman" w:eastAsia="楷体" w:cs="楷体"/>
          <w:sz w:val="32"/>
        </w:rPr>
        <w:t>立项阶段</w:t>
      </w:r>
    </w:p>
    <w:p w14:paraId="38EE03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/>
          <w:sz w:val="32"/>
        </w:rPr>
      </w:pPr>
      <w:r>
        <w:rPr>
          <w:rFonts w:hint="eastAsia" w:ascii="Times New Roman" w:hAnsi="Times New Roman"/>
          <w:sz w:val="32"/>
        </w:rPr>
        <w:t>2024年10月</w:t>
      </w:r>
      <w:r>
        <w:rPr>
          <w:rFonts w:hint="eastAsia" w:ascii="Times New Roman" w:hAnsi="Times New Roman"/>
          <w:sz w:val="32"/>
          <w:lang w:val="en-US" w:eastAsia="zh-CN"/>
        </w:rPr>
        <w:t>30</w:t>
      </w:r>
      <w:r>
        <w:rPr>
          <w:rFonts w:hint="eastAsia" w:ascii="Times New Roman" w:hAnsi="Times New Roman"/>
          <w:sz w:val="32"/>
        </w:rPr>
        <w:t>日，广州市建筑业联合会正式批准《广州市工程建设企业信用等级评价规范》立项。</w:t>
      </w:r>
    </w:p>
    <w:p w14:paraId="266F1B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楷体" w:cs="楷体"/>
          <w:sz w:val="32"/>
        </w:rPr>
      </w:pPr>
      <w:r>
        <w:rPr>
          <w:rFonts w:hint="eastAsia" w:ascii="Times New Roman" w:hAnsi="Times New Roman" w:eastAsia="楷体" w:cs="楷体"/>
          <w:sz w:val="32"/>
          <w:lang w:eastAsia="zh-CN"/>
        </w:rPr>
        <w:t>（</w:t>
      </w:r>
      <w:r>
        <w:rPr>
          <w:rFonts w:hint="eastAsia" w:ascii="Times New Roman" w:hAnsi="Times New Roman" w:eastAsia="楷体" w:cs="楷体"/>
          <w:sz w:val="32"/>
          <w:lang w:val="en-US" w:eastAsia="zh-CN"/>
        </w:rPr>
        <w:t>二</w:t>
      </w:r>
      <w:r>
        <w:rPr>
          <w:rFonts w:hint="eastAsia" w:ascii="Times New Roman" w:hAnsi="Times New Roman" w:eastAsia="楷体" w:cs="楷体"/>
          <w:sz w:val="32"/>
          <w:lang w:eastAsia="zh-CN"/>
        </w:rPr>
        <w:t>）</w:t>
      </w:r>
      <w:r>
        <w:rPr>
          <w:rFonts w:hint="eastAsia" w:ascii="Times New Roman" w:hAnsi="Times New Roman" w:eastAsia="楷体" w:cs="楷体"/>
          <w:sz w:val="32"/>
        </w:rPr>
        <w:t>起草阶段</w:t>
      </w:r>
    </w:p>
    <w:p w14:paraId="6F57AB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/>
          <w:sz w:val="32"/>
        </w:rPr>
      </w:pPr>
      <w:r>
        <w:rPr>
          <w:rFonts w:hint="eastAsia" w:ascii="Times New Roman" w:hAnsi="Times New Roman"/>
          <w:sz w:val="32"/>
          <w:lang w:val="en-US" w:eastAsia="zh-CN"/>
        </w:rPr>
        <w:t>1.</w:t>
      </w:r>
      <w:r>
        <w:rPr>
          <w:rFonts w:hint="eastAsia" w:ascii="Times New Roman" w:hAnsi="Times New Roman"/>
          <w:sz w:val="32"/>
        </w:rPr>
        <w:t>成立标准起草工作组</w:t>
      </w:r>
      <w:r>
        <w:rPr>
          <w:rFonts w:hint="eastAsia" w:ascii="Times New Roman" w:hAnsi="Times New Roman"/>
          <w:sz w:val="32"/>
          <w:lang w:eastAsia="zh-CN"/>
        </w:rPr>
        <w:t>：</w:t>
      </w:r>
      <w:r>
        <w:rPr>
          <w:rFonts w:hint="eastAsia" w:ascii="Times New Roman" w:hAnsi="Times New Roman"/>
          <w:sz w:val="32"/>
        </w:rPr>
        <w:t>根据编制需要，由广州市建筑业联合会、广州建筑股份有限公司、广州一建建设集团有限公司、广州工程总承包集团有限公司作为起草单位；广州市建筑集团有限公司、中国建筑第四工程局有限公司、中建三局集团华南有限公司、广州建筑产业研究院有限公司、广州市房实建设工程管理有限公司、广东梁亮建筑工程有限公司、广东金辉华集团有限公司</w:t>
      </w:r>
      <w:r>
        <w:rPr>
          <w:rFonts w:hint="eastAsia" w:ascii="Times New Roman" w:hAnsi="Times New Roman"/>
          <w:sz w:val="32"/>
          <w:lang w:eastAsia="zh-CN"/>
        </w:rPr>
        <w:t>、广东恒辉建设集团股份有限公司</w:t>
      </w:r>
      <w:r>
        <w:rPr>
          <w:rFonts w:hint="eastAsia" w:ascii="Times New Roman" w:hAnsi="Times New Roman"/>
          <w:sz w:val="32"/>
        </w:rPr>
        <w:t>等企业作为参编单位，共同编制本团体标准。</w:t>
      </w:r>
    </w:p>
    <w:p w14:paraId="692D26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/>
          <w:sz w:val="32"/>
        </w:rPr>
      </w:pPr>
      <w:r>
        <w:rPr>
          <w:rFonts w:hint="eastAsia" w:ascii="Times New Roman" w:hAnsi="Times New Roman"/>
          <w:sz w:val="32"/>
          <w:lang w:val="en-US" w:eastAsia="zh-CN"/>
        </w:rPr>
        <w:t>2.</w:t>
      </w:r>
      <w:r>
        <w:rPr>
          <w:rFonts w:hint="eastAsia" w:ascii="Times New Roman" w:hAnsi="Times New Roman"/>
          <w:sz w:val="32"/>
        </w:rPr>
        <w:t>形成标准草案：根据工作计划及分工安排，在系统参考、学习已有标准及研究的基础上，标准起草工作</w:t>
      </w:r>
      <w:r>
        <w:rPr>
          <w:rFonts w:hint="eastAsia" w:ascii="Times New Roman" w:hAnsi="Times New Roman"/>
          <w:sz w:val="32"/>
          <w:lang w:val="en-US" w:eastAsia="zh-CN"/>
        </w:rPr>
        <w:t>组</w:t>
      </w:r>
      <w:r>
        <w:rPr>
          <w:rFonts w:hint="eastAsia" w:ascii="Times New Roman" w:hAnsi="Times New Roman"/>
          <w:sz w:val="32"/>
        </w:rPr>
        <w:t>完成各部分内容，并于2024年</w:t>
      </w:r>
      <w:r>
        <w:rPr>
          <w:rFonts w:hint="eastAsia" w:ascii="Times New Roman" w:hAnsi="Times New Roman"/>
          <w:sz w:val="32"/>
          <w:lang w:val="en-US" w:eastAsia="zh-CN"/>
        </w:rPr>
        <w:t>12</w:t>
      </w:r>
      <w:r>
        <w:rPr>
          <w:rFonts w:hint="eastAsia" w:ascii="Times New Roman" w:hAnsi="Times New Roman"/>
          <w:sz w:val="32"/>
        </w:rPr>
        <w:t>月</w:t>
      </w:r>
      <w:r>
        <w:rPr>
          <w:rFonts w:hint="eastAsia" w:ascii="Times New Roman" w:hAnsi="Times New Roman"/>
          <w:sz w:val="32"/>
          <w:lang w:val="en-US" w:eastAsia="zh-CN"/>
        </w:rPr>
        <w:t>10</w:t>
      </w:r>
      <w:r>
        <w:rPr>
          <w:rFonts w:hint="eastAsia" w:ascii="Times New Roman" w:hAnsi="Times New Roman"/>
          <w:sz w:val="32"/>
        </w:rPr>
        <w:t>日汇总形成标准草案。</w:t>
      </w:r>
      <w:r>
        <w:rPr>
          <w:rFonts w:hint="eastAsia" w:ascii="Times New Roman" w:hAnsi="Times New Roman"/>
          <w:sz w:val="32"/>
          <w:lang w:val="en-US" w:eastAsia="zh-CN"/>
        </w:rPr>
        <w:t>形成标准草案后，标准起草工作组线下</w:t>
      </w:r>
      <w:r>
        <w:rPr>
          <w:rFonts w:hint="eastAsia" w:ascii="Times New Roman" w:hAnsi="Times New Roman"/>
          <w:sz w:val="32"/>
        </w:rPr>
        <w:t>召开了</w:t>
      </w:r>
      <w:r>
        <w:rPr>
          <w:rFonts w:hint="eastAsia" w:ascii="Times New Roman" w:hAnsi="Times New Roman"/>
          <w:sz w:val="32"/>
          <w:lang w:val="en-US" w:eastAsia="zh-CN"/>
        </w:rPr>
        <w:t>2次</w:t>
      </w:r>
      <w:r>
        <w:rPr>
          <w:rFonts w:hint="eastAsia" w:ascii="Times New Roman" w:hAnsi="Times New Roman"/>
          <w:sz w:val="32"/>
        </w:rPr>
        <w:t>团体标准讨论会，与会代表</w:t>
      </w:r>
      <w:r>
        <w:rPr>
          <w:rFonts w:hint="eastAsia" w:ascii="Times New Roman" w:hAnsi="Times New Roman"/>
          <w:sz w:val="32"/>
          <w:lang w:val="en-US" w:eastAsia="zh-CN"/>
        </w:rPr>
        <w:t>20</w:t>
      </w:r>
      <w:r>
        <w:rPr>
          <w:rFonts w:hint="eastAsia" w:ascii="Times New Roman" w:hAnsi="Times New Roman"/>
          <w:sz w:val="32"/>
        </w:rPr>
        <w:t>余人参加会议。会上，标准编制组就该标准立项背景和标准框架分别进行了介绍。与会专家和代表就框架结构、技术指标等内容进行了深入讨论。明确了该标准编制工作方向，并提出了一系列标准内容的完善措施和修改意见、建议。</w:t>
      </w:r>
    </w:p>
    <w:p w14:paraId="043480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楷体" w:cs="楷体"/>
          <w:sz w:val="32"/>
        </w:rPr>
      </w:pPr>
      <w:r>
        <w:rPr>
          <w:rFonts w:hint="eastAsia" w:ascii="Times New Roman" w:hAnsi="Times New Roman" w:eastAsia="楷体" w:cs="楷体"/>
          <w:sz w:val="32"/>
          <w:lang w:eastAsia="zh-CN"/>
        </w:rPr>
        <w:t>（</w:t>
      </w:r>
      <w:r>
        <w:rPr>
          <w:rFonts w:hint="eastAsia" w:ascii="Times New Roman" w:hAnsi="Times New Roman" w:eastAsia="楷体" w:cs="楷体"/>
          <w:sz w:val="32"/>
          <w:lang w:val="en-US" w:eastAsia="zh-CN"/>
        </w:rPr>
        <w:t>三</w:t>
      </w:r>
      <w:r>
        <w:rPr>
          <w:rFonts w:hint="eastAsia" w:ascii="Times New Roman" w:hAnsi="Times New Roman" w:eastAsia="楷体" w:cs="楷体"/>
          <w:sz w:val="32"/>
          <w:lang w:eastAsia="zh-CN"/>
        </w:rPr>
        <w:t>）</w:t>
      </w:r>
      <w:r>
        <w:rPr>
          <w:rFonts w:hint="eastAsia" w:ascii="Times New Roman" w:hAnsi="Times New Roman" w:eastAsia="楷体" w:cs="楷体"/>
          <w:sz w:val="32"/>
        </w:rPr>
        <w:t>征求意见阶段</w:t>
      </w:r>
    </w:p>
    <w:p w14:paraId="15B40E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/>
          <w:sz w:val="32"/>
        </w:rPr>
      </w:pPr>
      <w:r>
        <w:rPr>
          <w:rFonts w:hint="eastAsia" w:ascii="Times New Roman" w:hAnsi="Times New Roman"/>
          <w:sz w:val="32"/>
        </w:rPr>
        <w:t>根据与会专家及参会代表的意见和建议，团体标准起草工作组对标准</w:t>
      </w:r>
      <w:r>
        <w:rPr>
          <w:rFonts w:hint="eastAsia" w:ascii="Times New Roman" w:hAnsi="Times New Roman"/>
          <w:sz w:val="32"/>
          <w:lang w:val="en-US" w:eastAsia="zh-CN"/>
        </w:rPr>
        <w:t>草案</w:t>
      </w:r>
      <w:r>
        <w:rPr>
          <w:rFonts w:hint="eastAsia" w:ascii="Times New Roman" w:hAnsi="Times New Roman"/>
          <w:sz w:val="32"/>
        </w:rPr>
        <w:t>进行了修改完善，形成了标准征求意见稿和编制说明</w:t>
      </w:r>
      <w:r>
        <w:rPr>
          <w:rFonts w:hint="eastAsia" w:ascii="Times New Roman" w:hAnsi="Times New Roman"/>
          <w:sz w:val="32"/>
          <w:lang w:eastAsia="zh-CN"/>
        </w:rPr>
        <w:t>，</w:t>
      </w:r>
      <w:r>
        <w:rPr>
          <w:rFonts w:hint="eastAsia" w:ascii="Times New Roman" w:hAnsi="Times New Roman"/>
          <w:sz w:val="32"/>
          <w:lang w:val="en-US" w:eastAsia="zh-CN"/>
        </w:rPr>
        <w:t>并</w:t>
      </w:r>
      <w:r>
        <w:rPr>
          <w:rFonts w:hint="eastAsia" w:ascii="Times New Roman" w:hAnsi="Times New Roman"/>
          <w:sz w:val="32"/>
        </w:rPr>
        <w:t>于202</w:t>
      </w:r>
      <w:r>
        <w:rPr>
          <w:rFonts w:hint="eastAsia" w:ascii="Times New Roman" w:hAnsi="Times New Roman"/>
          <w:sz w:val="32"/>
          <w:lang w:val="en-US" w:eastAsia="zh-CN"/>
        </w:rPr>
        <w:t>5</w:t>
      </w:r>
      <w:r>
        <w:rPr>
          <w:rFonts w:hint="eastAsia" w:ascii="Times New Roman" w:hAnsi="Times New Roman"/>
          <w:sz w:val="32"/>
        </w:rPr>
        <w:t>年</w:t>
      </w:r>
      <w:r>
        <w:rPr>
          <w:rFonts w:hint="eastAsia" w:ascii="Times New Roman" w:hAnsi="Times New Roman"/>
          <w:sz w:val="32"/>
          <w:lang w:val="en-US" w:eastAsia="zh-CN"/>
        </w:rPr>
        <w:t>1</w:t>
      </w:r>
      <w:r>
        <w:rPr>
          <w:rFonts w:hint="eastAsia" w:ascii="Times New Roman" w:hAnsi="Times New Roman"/>
          <w:sz w:val="32"/>
        </w:rPr>
        <w:t>月提交《广州市工程建设企业信用等级评价规范》标准征求意见稿及征求意见稿编制说明，定于2025年1月</w:t>
      </w:r>
      <w:r>
        <w:rPr>
          <w:rFonts w:hint="eastAsia" w:ascii="Times New Roman" w:hAnsi="Times New Roman"/>
          <w:sz w:val="32"/>
          <w:lang w:val="en-US" w:eastAsia="zh-CN"/>
        </w:rPr>
        <w:t>下</w:t>
      </w:r>
      <w:r>
        <w:rPr>
          <w:rFonts w:hint="eastAsia" w:ascii="Times New Roman" w:hAnsi="Times New Roman"/>
          <w:sz w:val="32"/>
        </w:rPr>
        <w:t>旬网上公示征求意见稿，</w:t>
      </w:r>
      <w:r>
        <w:rPr>
          <w:rFonts w:hint="eastAsia" w:ascii="Times New Roman" w:hAnsi="Times New Roman"/>
          <w:sz w:val="32"/>
          <w:lang w:val="en-US" w:eastAsia="zh-CN"/>
        </w:rPr>
        <w:t>同步</w:t>
      </w:r>
      <w:r>
        <w:rPr>
          <w:rFonts w:hint="eastAsia" w:ascii="Times New Roman" w:hAnsi="Times New Roman"/>
          <w:sz w:val="32"/>
        </w:rPr>
        <w:t>向相关单位进行定向征求意见</w:t>
      </w:r>
      <w:r>
        <w:rPr>
          <w:rFonts w:hint="eastAsia" w:ascii="Times New Roman" w:hAnsi="Times New Roman"/>
          <w:sz w:val="32"/>
          <w:lang w:eastAsia="zh-CN"/>
        </w:rPr>
        <w:t>，</w:t>
      </w:r>
      <w:r>
        <w:rPr>
          <w:rFonts w:hint="eastAsia" w:ascii="Times New Roman" w:hAnsi="Times New Roman"/>
          <w:sz w:val="32"/>
        </w:rPr>
        <w:t>广泛征求各方意见和建议。</w:t>
      </w:r>
    </w:p>
    <w:p w14:paraId="2E6C9B4F">
      <w:pPr>
        <w:pStyle w:val="2"/>
        <w:bidi w:val="0"/>
        <w:outlineLvl w:val="0"/>
        <w:rPr>
          <w:rFonts w:hint="eastAsia" w:ascii="Times New Roman" w:hAnsi="Times New Roman"/>
          <w:sz w:val="32"/>
        </w:rPr>
      </w:pPr>
      <w:bookmarkStart w:id="4" w:name="_Toc6968"/>
      <w:r>
        <w:rPr>
          <w:rFonts w:hint="eastAsia" w:ascii="Times New Roman" w:hAnsi="Times New Roman"/>
          <w:sz w:val="32"/>
        </w:rPr>
        <w:t>五、标准主要内容</w:t>
      </w:r>
      <w:bookmarkEnd w:id="4"/>
    </w:p>
    <w:p w14:paraId="7C673AA7">
      <w:pPr>
        <w:bidi w:val="0"/>
        <w:rPr>
          <w:rFonts w:hint="eastAsia" w:ascii="Times New Roman" w:hAnsi="Times New Roman"/>
          <w:sz w:val="32"/>
          <w:lang w:val="en-US" w:eastAsia="zh-CN"/>
        </w:rPr>
      </w:pPr>
      <w:r>
        <w:rPr>
          <w:rFonts w:hint="eastAsia" w:ascii="Times New Roman" w:hAnsi="Times New Roman"/>
          <w:sz w:val="32"/>
          <w:lang w:val="en-US" w:eastAsia="zh-CN"/>
        </w:rPr>
        <w:t>1.范围</w:t>
      </w:r>
    </w:p>
    <w:p w14:paraId="7AA168C0">
      <w:pPr>
        <w:bidi w:val="0"/>
        <w:rPr>
          <w:rFonts w:hint="eastAsia" w:ascii="Times New Roman" w:hAnsi="Times New Roman"/>
          <w:sz w:val="32"/>
          <w:lang w:val="en-US" w:eastAsia="zh-CN"/>
        </w:rPr>
      </w:pPr>
      <w:r>
        <w:rPr>
          <w:rFonts w:hint="eastAsia" w:ascii="Times New Roman" w:hAnsi="Times New Roman"/>
          <w:sz w:val="32"/>
          <w:lang w:val="en-US" w:eastAsia="zh-CN"/>
        </w:rPr>
        <w:t>明确本规范的评价对象、评价指标、评价内容及评价范围等。</w:t>
      </w:r>
    </w:p>
    <w:p w14:paraId="0D1B233C">
      <w:pPr>
        <w:bidi w:val="0"/>
        <w:rPr>
          <w:rFonts w:hint="eastAsia" w:ascii="Times New Roman" w:hAnsi="Times New Roman"/>
          <w:sz w:val="32"/>
          <w:lang w:val="en-US" w:eastAsia="zh-CN"/>
        </w:rPr>
      </w:pPr>
      <w:r>
        <w:rPr>
          <w:rFonts w:hint="eastAsia" w:ascii="Times New Roman" w:hAnsi="Times New Roman"/>
          <w:sz w:val="32"/>
          <w:lang w:val="en-US" w:eastAsia="zh-CN"/>
        </w:rPr>
        <w:t>2.规范性引用文件</w:t>
      </w:r>
    </w:p>
    <w:p w14:paraId="6EF4660C">
      <w:pPr>
        <w:bidi w:val="0"/>
        <w:rPr>
          <w:rFonts w:hint="eastAsia" w:ascii="Times New Roman" w:hAnsi="Times New Roman"/>
          <w:sz w:val="32"/>
          <w:lang w:val="en-US" w:eastAsia="zh-CN"/>
        </w:rPr>
      </w:pPr>
      <w:r>
        <w:rPr>
          <w:rFonts w:hint="eastAsia" w:ascii="Times New Roman" w:hAnsi="Times New Roman"/>
          <w:sz w:val="32"/>
          <w:lang w:val="en-US" w:eastAsia="zh-CN"/>
        </w:rPr>
        <w:t>通过规范性引用而构成本文件必不可少的条款；列出引用文件。</w:t>
      </w:r>
    </w:p>
    <w:p w14:paraId="4A23F271">
      <w:pPr>
        <w:bidi w:val="0"/>
        <w:rPr>
          <w:rFonts w:hint="eastAsia" w:ascii="Times New Roman" w:hAnsi="Times New Roman"/>
          <w:sz w:val="32"/>
          <w:lang w:val="en-US" w:eastAsia="zh-CN"/>
        </w:rPr>
      </w:pPr>
      <w:r>
        <w:rPr>
          <w:rFonts w:hint="eastAsia" w:ascii="Times New Roman" w:hAnsi="Times New Roman"/>
          <w:sz w:val="32"/>
          <w:lang w:val="en-US" w:eastAsia="zh-CN"/>
        </w:rPr>
        <w:t>3.术语与定义</w:t>
      </w:r>
    </w:p>
    <w:p w14:paraId="52DCD440">
      <w:pPr>
        <w:bidi w:val="0"/>
        <w:rPr>
          <w:rFonts w:hint="eastAsia" w:ascii="Times New Roman" w:hAnsi="Times New Roman"/>
          <w:sz w:val="32"/>
          <w:lang w:val="en-US" w:eastAsia="zh-CN"/>
        </w:rPr>
      </w:pPr>
      <w:r>
        <w:rPr>
          <w:rFonts w:hint="eastAsia" w:ascii="Times New Roman" w:hAnsi="Times New Roman"/>
          <w:sz w:val="32"/>
          <w:lang w:val="en-US" w:eastAsia="zh-CN"/>
        </w:rPr>
        <w:t>专业名词解释。</w:t>
      </w:r>
    </w:p>
    <w:p w14:paraId="4A4D640D">
      <w:pPr>
        <w:bidi w:val="0"/>
        <w:rPr>
          <w:rFonts w:hint="eastAsia" w:ascii="Times New Roman" w:hAnsi="Times New Roman"/>
          <w:sz w:val="32"/>
          <w:lang w:val="en-US" w:eastAsia="zh-CN"/>
        </w:rPr>
      </w:pPr>
      <w:r>
        <w:rPr>
          <w:rFonts w:hint="eastAsia" w:ascii="Times New Roman" w:hAnsi="Times New Roman"/>
          <w:sz w:val="32"/>
          <w:lang w:val="en-US" w:eastAsia="zh-CN"/>
        </w:rPr>
        <w:t>4.评价原则</w:t>
      </w:r>
    </w:p>
    <w:p w14:paraId="7BAD0203">
      <w:pPr>
        <w:bidi w:val="0"/>
        <w:rPr>
          <w:rFonts w:hint="eastAsia" w:ascii="Times New Roman" w:hAnsi="Times New Roman"/>
          <w:sz w:val="32"/>
          <w:lang w:val="en-US" w:eastAsia="zh-CN"/>
        </w:rPr>
      </w:pPr>
      <w:r>
        <w:rPr>
          <w:rFonts w:hint="eastAsia" w:ascii="Times New Roman" w:hAnsi="Times New Roman"/>
          <w:sz w:val="32"/>
          <w:lang w:val="en-US" w:eastAsia="zh-CN"/>
        </w:rPr>
        <w:t>阐述评价应遵循的基本原则：以事实和客观证据及判定依据；科学、独立、公正、客观、公平；采用的程序、评价方法对外公开。</w:t>
      </w:r>
    </w:p>
    <w:p w14:paraId="4BC260CC">
      <w:pPr>
        <w:bidi w:val="0"/>
        <w:rPr>
          <w:rFonts w:hint="eastAsia" w:ascii="Times New Roman" w:hAnsi="Times New Roman"/>
          <w:sz w:val="32"/>
          <w:lang w:val="en-US" w:eastAsia="zh-CN"/>
        </w:rPr>
      </w:pPr>
      <w:r>
        <w:rPr>
          <w:rFonts w:hint="eastAsia" w:ascii="Times New Roman" w:hAnsi="Times New Roman"/>
          <w:sz w:val="32"/>
          <w:lang w:val="en-US" w:eastAsia="zh-CN"/>
        </w:rPr>
        <w:t>5.评价信息来源</w:t>
      </w:r>
    </w:p>
    <w:p w14:paraId="45A0A9B0">
      <w:pPr>
        <w:bidi w:val="0"/>
        <w:rPr>
          <w:rFonts w:hint="eastAsia" w:ascii="Times New Roman" w:hAnsi="Times New Roman"/>
          <w:sz w:val="32"/>
          <w:lang w:val="en-US" w:eastAsia="zh-CN"/>
        </w:rPr>
      </w:pPr>
      <w:r>
        <w:rPr>
          <w:rFonts w:hint="eastAsia" w:ascii="Times New Roman" w:hAnsi="Times New Roman"/>
          <w:sz w:val="32"/>
          <w:lang w:val="en-US" w:eastAsia="zh-CN"/>
        </w:rPr>
        <w:t>相关的法律、法规、政策、规章；评价机构收集和观察获得的信用信息，受评企业提供和出示的信用客观证据。</w:t>
      </w:r>
    </w:p>
    <w:p w14:paraId="7F5B1E2A">
      <w:pPr>
        <w:bidi w:val="0"/>
        <w:rPr>
          <w:rFonts w:hint="eastAsia" w:ascii="Times New Roman" w:hAnsi="Times New Roman"/>
          <w:sz w:val="32"/>
          <w:lang w:val="en-US" w:eastAsia="zh-CN"/>
        </w:rPr>
      </w:pPr>
      <w:r>
        <w:rPr>
          <w:rFonts w:hint="eastAsia" w:ascii="Times New Roman" w:hAnsi="Times New Roman"/>
          <w:sz w:val="32"/>
          <w:lang w:val="en-US" w:eastAsia="zh-CN"/>
        </w:rPr>
        <w:t>6.评价指标和内容</w:t>
      </w:r>
    </w:p>
    <w:p w14:paraId="74DD638A">
      <w:pPr>
        <w:bidi w:val="0"/>
        <w:rPr>
          <w:rFonts w:hint="eastAsia" w:ascii="Times New Roman" w:hAnsi="Times New Roman"/>
          <w:sz w:val="32"/>
          <w:lang w:val="en-US" w:eastAsia="zh-CN"/>
        </w:rPr>
      </w:pPr>
      <w:r>
        <w:rPr>
          <w:rFonts w:hint="eastAsia" w:ascii="Times New Roman" w:hAnsi="Times New Roman"/>
          <w:sz w:val="32"/>
          <w:lang w:val="en-US" w:eastAsia="zh-CN"/>
        </w:rPr>
        <w:t>评价指标体系由一级指标和二级指标组成。由“基本要素、经营能力及财务指标、管理指标、竞争力指标、信用记录指标、社会责任”等若干</w:t>
      </w:r>
      <w:bookmarkStart w:id="14" w:name="_GoBack"/>
      <w:bookmarkEnd w:id="14"/>
      <w:r>
        <w:rPr>
          <w:rFonts w:hint="eastAsia" w:ascii="Times New Roman" w:hAnsi="Times New Roman"/>
          <w:sz w:val="32"/>
          <w:lang w:val="en-US" w:eastAsia="zh-CN"/>
        </w:rPr>
        <w:t>一级指标构成，每个一级指标下再细分为若干二级指标，以及相应的具体评分标准。根据不同类型企业、不同资质等级企业，信用等级评价实行分级分类评价。</w:t>
      </w:r>
    </w:p>
    <w:p w14:paraId="25B634E9">
      <w:pPr>
        <w:bidi w:val="0"/>
        <w:rPr>
          <w:rFonts w:hint="eastAsia" w:ascii="Times New Roman" w:hAnsi="Times New Roman"/>
          <w:sz w:val="32"/>
          <w:lang w:val="en-US" w:eastAsia="zh-CN"/>
        </w:rPr>
      </w:pPr>
      <w:r>
        <w:rPr>
          <w:rFonts w:hint="eastAsia" w:ascii="Times New Roman" w:hAnsi="Times New Roman"/>
          <w:sz w:val="32"/>
          <w:lang w:val="en-US" w:eastAsia="zh-CN"/>
        </w:rPr>
        <w:t>7.评价机构的组织和职责</w:t>
      </w:r>
    </w:p>
    <w:p w14:paraId="6892FC43">
      <w:pPr>
        <w:bidi w:val="0"/>
        <w:rPr>
          <w:rFonts w:hint="eastAsia" w:ascii="Times New Roman" w:hAnsi="Times New Roman"/>
          <w:sz w:val="32"/>
          <w:lang w:val="en-US" w:eastAsia="zh-CN"/>
        </w:rPr>
      </w:pPr>
      <w:r>
        <w:rPr>
          <w:rFonts w:hint="eastAsia" w:ascii="Times New Roman" w:hAnsi="Times New Roman"/>
          <w:sz w:val="32"/>
          <w:lang w:val="en-US" w:eastAsia="zh-CN"/>
        </w:rPr>
        <w:t>评价机构的组织构成及相关职责。</w:t>
      </w:r>
    </w:p>
    <w:p w14:paraId="5A16B33C">
      <w:pPr>
        <w:bidi w:val="0"/>
        <w:rPr>
          <w:rFonts w:hint="eastAsia" w:ascii="Times New Roman" w:hAnsi="Times New Roman"/>
          <w:sz w:val="32"/>
          <w:lang w:val="en-US" w:eastAsia="zh-CN"/>
        </w:rPr>
      </w:pPr>
      <w:r>
        <w:rPr>
          <w:rFonts w:hint="eastAsia" w:ascii="Times New Roman" w:hAnsi="Times New Roman"/>
          <w:sz w:val="32"/>
          <w:lang w:val="en-US" w:eastAsia="zh-CN"/>
        </w:rPr>
        <w:t>8.评价程序</w:t>
      </w:r>
    </w:p>
    <w:p w14:paraId="56F5875C">
      <w:pPr>
        <w:bidi w:val="0"/>
        <w:rPr>
          <w:rFonts w:hint="eastAsia" w:ascii="Times New Roman" w:hAnsi="Times New Roman"/>
          <w:sz w:val="32"/>
          <w:lang w:val="en-US" w:eastAsia="zh-CN"/>
        </w:rPr>
      </w:pPr>
      <w:r>
        <w:rPr>
          <w:rFonts w:hint="eastAsia" w:ascii="Times New Roman" w:hAnsi="Times New Roman"/>
          <w:sz w:val="32"/>
          <w:lang w:val="en-US" w:eastAsia="zh-CN"/>
        </w:rPr>
        <w:t>评价程序：申报与受理、成立专家组、专家访谈、资料审核、撰写报告、评审、结果公示与发布、动态管理（年审、复评）。</w:t>
      </w:r>
    </w:p>
    <w:p w14:paraId="48D19EC4">
      <w:pPr>
        <w:bidi w:val="0"/>
        <w:outlineLvl w:val="0"/>
        <w:rPr>
          <w:rFonts w:hint="eastAsia" w:ascii="Times New Roman" w:hAnsi="Times New Roman"/>
          <w:sz w:val="32"/>
          <w:lang w:val="en-US" w:eastAsia="zh-CN"/>
        </w:rPr>
      </w:pPr>
      <w:bookmarkStart w:id="5" w:name="_Toc6180"/>
      <w:r>
        <w:rPr>
          <w:rFonts w:hint="eastAsia" w:ascii="Times New Roman" w:hAnsi="Times New Roman"/>
          <w:sz w:val="32"/>
          <w:lang w:val="en-US" w:eastAsia="zh-CN"/>
        </w:rPr>
        <w:t>附录A工程建设企业信用等级评价评分细则</w:t>
      </w:r>
      <w:bookmarkEnd w:id="5"/>
    </w:p>
    <w:p w14:paraId="2762B825">
      <w:pPr>
        <w:bidi w:val="0"/>
        <w:rPr>
          <w:rFonts w:hint="eastAsia" w:ascii="Times New Roman" w:hAnsi="Times New Roman"/>
          <w:sz w:val="32"/>
          <w:lang w:val="en-US" w:eastAsia="zh-CN"/>
        </w:rPr>
      </w:pPr>
      <w:r>
        <w:rPr>
          <w:rFonts w:hint="eastAsia" w:ascii="Times New Roman" w:hAnsi="Times New Roman"/>
          <w:sz w:val="32"/>
          <w:lang w:val="en-US" w:eastAsia="zh-CN"/>
        </w:rPr>
        <w:t>附录B工程建设企业信用评价等级划分</w:t>
      </w:r>
    </w:p>
    <w:p w14:paraId="1CB51594">
      <w:pPr>
        <w:pStyle w:val="2"/>
        <w:bidi w:val="0"/>
        <w:outlineLvl w:val="0"/>
        <w:rPr>
          <w:rFonts w:hint="eastAsia" w:ascii="Times New Roman" w:hAnsi="Times New Roman"/>
          <w:sz w:val="32"/>
        </w:rPr>
      </w:pPr>
      <w:bookmarkStart w:id="6" w:name="_Toc18634"/>
      <w:r>
        <w:rPr>
          <w:rFonts w:hint="eastAsia" w:ascii="Times New Roman" w:hAnsi="Times New Roman"/>
          <w:sz w:val="32"/>
          <w:lang w:val="en-US" w:eastAsia="zh-CN"/>
        </w:rPr>
        <w:t>六、</w:t>
      </w:r>
      <w:r>
        <w:rPr>
          <w:rFonts w:hint="eastAsia" w:ascii="Times New Roman" w:hAnsi="Times New Roman"/>
          <w:sz w:val="32"/>
        </w:rPr>
        <w:t>标准参考的文献资料</w:t>
      </w:r>
      <w:bookmarkEnd w:id="6"/>
    </w:p>
    <w:p w14:paraId="14FA76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/>
          <w:sz w:val="32"/>
        </w:rPr>
      </w:pPr>
      <w:r>
        <w:rPr>
          <w:rFonts w:hint="eastAsia" w:ascii="Times New Roman" w:hAnsi="Times New Roman"/>
          <w:sz w:val="32"/>
        </w:rPr>
        <w:t>本文件起草过程中，主要按照GB/T 1.1-2020《标准化工作导则第1部分：标准化文件的结构和起草规则》进行编写。本文件制定过程中，主要参考了以下标准或文件。</w:t>
      </w:r>
    </w:p>
    <w:p w14:paraId="0E087C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/>
          <w:sz w:val="32"/>
        </w:rPr>
      </w:pPr>
      <w:r>
        <w:rPr>
          <w:rFonts w:hint="eastAsia" w:ascii="Times New Roman" w:hAnsi="Times New Roman"/>
          <w:sz w:val="32"/>
        </w:rPr>
        <w:t>CB/T 22116-2008 企业信用等级表示方法</w:t>
      </w:r>
    </w:p>
    <w:p w14:paraId="73F59A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/>
          <w:sz w:val="32"/>
        </w:rPr>
      </w:pPr>
      <w:r>
        <w:rPr>
          <w:rFonts w:hint="eastAsia" w:ascii="Times New Roman" w:hAnsi="Times New Roman"/>
          <w:sz w:val="32"/>
        </w:rPr>
        <w:t>GB/T 22117-2018</w:t>
      </w:r>
      <w:r>
        <w:rPr>
          <w:rFonts w:hint="eastAsia" w:ascii="Times New Roman" w:hAnsi="Times New Roman"/>
          <w:sz w:val="32"/>
          <w:lang w:val="en-US" w:eastAsia="zh-CN"/>
        </w:rPr>
        <w:t xml:space="preserve"> </w:t>
      </w:r>
      <w:r>
        <w:rPr>
          <w:rFonts w:hint="eastAsia" w:ascii="Times New Roman" w:hAnsi="Times New Roman"/>
          <w:sz w:val="32"/>
        </w:rPr>
        <w:t>信用基本术语</w:t>
      </w:r>
    </w:p>
    <w:p w14:paraId="6F1B8A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/>
          <w:sz w:val="32"/>
        </w:rPr>
      </w:pPr>
      <w:r>
        <w:rPr>
          <w:rFonts w:hint="eastAsia" w:ascii="Times New Roman" w:hAnsi="Times New Roman"/>
          <w:sz w:val="32"/>
        </w:rPr>
        <w:t>CB/T 23794-2023 企业信用评价指标</w:t>
      </w:r>
    </w:p>
    <w:p w14:paraId="2211A5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/>
          <w:sz w:val="32"/>
        </w:rPr>
      </w:pPr>
      <w:r>
        <w:rPr>
          <w:rFonts w:hint="eastAsia" w:ascii="Times New Roman" w:hAnsi="Times New Roman"/>
          <w:sz w:val="32"/>
        </w:rPr>
        <w:t>GB/T 31953-2023</w:t>
      </w:r>
      <w:r>
        <w:rPr>
          <w:rFonts w:hint="eastAsia" w:ascii="Times New Roman" w:hAnsi="Times New Roman"/>
          <w:sz w:val="32"/>
          <w:lang w:val="en-US" w:eastAsia="zh-CN"/>
        </w:rPr>
        <w:t xml:space="preserve"> </w:t>
      </w:r>
      <w:r>
        <w:rPr>
          <w:rFonts w:hint="eastAsia" w:ascii="Times New Roman" w:hAnsi="Times New Roman"/>
          <w:sz w:val="32"/>
        </w:rPr>
        <w:t>企业信用评估报告编制指南</w:t>
      </w:r>
    </w:p>
    <w:p w14:paraId="71A793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/>
          <w:sz w:val="32"/>
        </w:rPr>
      </w:pPr>
      <w:r>
        <w:rPr>
          <w:rFonts w:hint="eastAsia" w:ascii="Times New Roman" w:hAnsi="Times New Roman"/>
          <w:sz w:val="32"/>
        </w:rPr>
        <w:t>GB/T 22119-2017 信用服务机构 诚信评价业务规范</w:t>
      </w:r>
    </w:p>
    <w:p w14:paraId="21ADE0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/>
          <w:sz w:val="32"/>
        </w:rPr>
      </w:pPr>
      <w:r>
        <w:rPr>
          <w:rFonts w:hint="eastAsia" w:ascii="Times New Roman" w:hAnsi="Times New Roman"/>
          <w:sz w:val="32"/>
        </w:rPr>
        <w:t>CB/T1.1-2020标准化工作导则第1部分：标准化文件的结构和起草规则</w:t>
      </w:r>
    </w:p>
    <w:p w14:paraId="2E68E9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/>
          <w:sz w:val="32"/>
        </w:rPr>
      </w:pPr>
      <w:r>
        <w:rPr>
          <w:rFonts w:hint="eastAsia" w:ascii="Times New Roman" w:hAnsi="Times New Roman"/>
          <w:sz w:val="32"/>
        </w:rPr>
        <w:t>T/ZSQX 024-2024</w:t>
      </w:r>
      <w:r>
        <w:rPr>
          <w:rFonts w:hint="eastAsia" w:ascii="Times New Roman" w:hAnsi="Times New Roman"/>
          <w:sz w:val="32"/>
          <w:lang w:val="en-US" w:eastAsia="zh-CN"/>
        </w:rPr>
        <w:t xml:space="preserve"> </w:t>
      </w:r>
      <w:r>
        <w:rPr>
          <w:rFonts w:hint="eastAsia" w:ascii="Times New Roman" w:hAnsi="Times New Roman"/>
          <w:sz w:val="32"/>
        </w:rPr>
        <w:t>工程建设企业信用等级评价规范</w:t>
      </w:r>
    </w:p>
    <w:p w14:paraId="5521E7CD">
      <w:pPr>
        <w:pStyle w:val="2"/>
        <w:bidi w:val="0"/>
        <w:outlineLvl w:val="0"/>
        <w:rPr>
          <w:rFonts w:hint="eastAsia" w:ascii="Times New Roman" w:hAnsi="Times New Roman"/>
          <w:sz w:val="32"/>
        </w:rPr>
      </w:pPr>
      <w:bookmarkStart w:id="7" w:name="_Toc11401"/>
      <w:r>
        <w:rPr>
          <w:rFonts w:hint="eastAsia" w:ascii="Times New Roman" w:hAnsi="Times New Roman"/>
          <w:sz w:val="32"/>
          <w:lang w:val="en-US" w:eastAsia="zh-CN"/>
        </w:rPr>
        <w:t>七</w:t>
      </w:r>
      <w:r>
        <w:rPr>
          <w:rFonts w:hint="eastAsia" w:ascii="Times New Roman" w:hAnsi="Times New Roman"/>
          <w:sz w:val="32"/>
        </w:rPr>
        <w:t>、标准中涉及专利的情况</w:t>
      </w:r>
      <w:bookmarkEnd w:id="7"/>
      <w:r>
        <w:rPr>
          <w:rFonts w:hint="eastAsia" w:ascii="Times New Roman" w:hAnsi="Times New Roman"/>
          <w:sz w:val="32"/>
        </w:rPr>
        <w:t xml:space="preserve"> </w:t>
      </w:r>
    </w:p>
    <w:p w14:paraId="2F6963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"/>
          <w:sz w:val="32"/>
          <w:lang w:eastAsia="zh-CN"/>
        </w:rPr>
      </w:pPr>
      <w:r>
        <w:rPr>
          <w:rFonts w:hint="eastAsia" w:ascii="Times New Roman" w:hAnsi="Times New Roman"/>
          <w:sz w:val="32"/>
        </w:rPr>
        <w:t>无</w:t>
      </w:r>
      <w:r>
        <w:rPr>
          <w:rFonts w:hint="eastAsia" w:ascii="Times New Roman" w:hAnsi="Times New Roman"/>
          <w:sz w:val="32"/>
          <w:lang w:eastAsia="zh-CN"/>
        </w:rPr>
        <w:t>。</w:t>
      </w:r>
    </w:p>
    <w:p w14:paraId="5920986C">
      <w:pPr>
        <w:pStyle w:val="2"/>
        <w:bidi w:val="0"/>
        <w:outlineLvl w:val="0"/>
        <w:rPr>
          <w:rFonts w:hint="eastAsia" w:ascii="Times New Roman" w:hAnsi="Times New Roman"/>
          <w:sz w:val="32"/>
        </w:rPr>
      </w:pPr>
      <w:bookmarkStart w:id="8" w:name="_Toc7273"/>
      <w:r>
        <w:rPr>
          <w:rFonts w:hint="eastAsia" w:ascii="Times New Roman" w:hAnsi="Times New Roman"/>
          <w:sz w:val="32"/>
          <w:lang w:val="en-US" w:eastAsia="zh-CN"/>
        </w:rPr>
        <w:t>八</w:t>
      </w:r>
      <w:r>
        <w:rPr>
          <w:rFonts w:hint="eastAsia" w:ascii="Times New Roman" w:hAnsi="Times New Roman"/>
          <w:sz w:val="32"/>
        </w:rPr>
        <w:t>、与现行法律法规、强制性国家标准及相关标准协调配套情况</w:t>
      </w:r>
      <w:bookmarkEnd w:id="8"/>
    </w:p>
    <w:p w14:paraId="718703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/>
          <w:sz w:val="32"/>
        </w:rPr>
      </w:pPr>
      <w:r>
        <w:rPr>
          <w:rFonts w:hint="eastAsia" w:ascii="Times New Roman" w:hAnsi="Times New Roman"/>
          <w:sz w:val="32"/>
        </w:rPr>
        <w:t>符合现行相关法律、法规、规章及相关标准，与强制性标准协调一致。</w:t>
      </w:r>
    </w:p>
    <w:p w14:paraId="371B0C90">
      <w:pPr>
        <w:pStyle w:val="2"/>
        <w:bidi w:val="0"/>
        <w:outlineLvl w:val="0"/>
        <w:rPr>
          <w:rFonts w:hint="eastAsia" w:ascii="Times New Roman" w:hAnsi="Times New Roman"/>
          <w:sz w:val="32"/>
        </w:rPr>
      </w:pPr>
      <w:bookmarkStart w:id="9" w:name="_Toc18147"/>
      <w:r>
        <w:rPr>
          <w:rFonts w:hint="eastAsia" w:ascii="Times New Roman" w:hAnsi="Times New Roman"/>
          <w:sz w:val="32"/>
          <w:lang w:val="en-US" w:eastAsia="zh-CN"/>
        </w:rPr>
        <w:t>九</w:t>
      </w:r>
      <w:r>
        <w:rPr>
          <w:rFonts w:hint="eastAsia" w:ascii="Times New Roman" w:hAnsi="Times New Roman"/>
          <w:sz w:val="32"/>
        </w:rPr>
        <w:t>、重大分歧意见的处理经过和依据</w:t>
      </w:r>
      <w:bookmarkEnd w:id="9"/>
    </w:p>
    <w:p w14:paraId="48133D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/>
          <w:sz w:val="32"/>
        </w:rPr>
      </w:pPr>
      <w:r>
        <w:rPr>
          <w:rFonts w:hint="eastAsia" w:ascii="Times New Roman" w:hAnsi="Times New Roman"/>
          <w:sz w:val="32"/>
        </w:rPr>
        <w:t>无</w:t>
      </w:r>
    </w:p>
    <w:p w14:paraId="7AE35A42">
      <w:pPr>
        <w:pStyle w:val="2"/>
        <w:bidi w:val="0"/>
        <w:outlineLvl w:val="0"/>
        <w:rPr>
          <w:rFonts w:hint="eastAsia" w:ascii="Times New Roman" w:hAnsi="Times New Roman"/>
          <w:sz w:val="32"/>
        </w:rPr>
      </w:pPr>
      <w:bookmarkStart w:id="10" w:name="_Toc14034"/>
      <w:r>
        <w:rPr>
          <w:rFonts w:hint="eastAsia" w:ascii="Times New Roman" w:hAnsi="Times New Roman"/>
          <w:sz w:val="32"/>
        </w:rPr>
        <w:t>八、标准性质的建议说明</w:t>
      </w:r>
      <w:bookmarkEnd w:id="10"/>
    </w:p>
    <w:p w14:paraId="1F52FB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/>
          <w:sz w:val="32"/>
        </w:rPr>
      </w:pPr>
      <w:r>
        <w:rPr>
          <w:rFonts w:hint="eastAsia" w:ascii="Times New Roman" w:hAnsi="Times New Roman"/>
          <w:sz w:val="32"/>
        </w:rPr>
        <w:t>本标准为团体标准，供社会各界自愿使用。</w:t>
      </w:r>
    </w:p>
    <w:p w14:paraId="0232112D">
      <w:pPr>
        <w:pStyle w:val="2"/>
        <w:bidi w:val="0"/>
        <w:outlineLvl w:val="0"/>
        <w:rPr>
          <w:rFonts w:hint="eastAsia" w:ascii="Times New Roman" w:hAnsi="Times New Roman"/>
          <w:sz w:val="32"/>
        </w:rPr>
      </w:pPr>
      <w:bookmarkStart w:id="11" w:name="_Toc16349"/>
      <w:r>
        <w:rPr>
          <w:rFonts w:hint="eastAsia" w:ascii="Times New Roman" w:hAnsi="Times New Roman"/>
          <w:sz w:val="32"/>
        </w:rPr>
        <w:t>九、贯彻标准的要求和措施建议</w:t>
      </w:r>
      <w:bookmarkEnd w:id="11"/>
    </w:p>
    <w:p w14:paraId="1B76C5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"/>
          <w:sz w:val="32"/>
          <w:lang w:eastAsia="zh-CN"/>
        </w:rPr>
      </w:pPr>
      <w:r>
        <w:rPr>
          <w:rFonts w:hint="eastAsia" w:ascii="Times New Roman" w:hAnsi="Times New Roman"/>
          <w:sz w:val="32"/>
        </w:rPr>
        <w:t>无</w:t>
      </w:r>
      <w:r>
        <w:rPr>
          <w:rFonts w:hint="eastAsia" w:ascii="Times New Roman" w:hAnsi="Times New Roman"/>
          <w:sz w:val="32"/>
          <w:lang w:eastAsia="zh-CN"/>
        </w:rPr>
        <w:t>。</w:t>
      </w:r>
    </w:p>
    <w:p w14:paraId="47B0E475">
      <w:pPr>
        <w:pStyle w:val="2"/>
        <w:bidi w:val="0"/>
        <w:outlineLvl w:val="0"/>
        <w:rPr>
          <w:rFonts w:hint="eastAsia" w:ascii="Times New Roman" w:hAnsi="Times New Roman"/>
          <w:sz w:val="32"/>
        </w:rPr>
      </w:pPr>
      <w:bookmarkStart w:id="12" w:name="_Toc25954"/>
      <w:r>
        <w:rPr>
          <w:rFonts w:hint="eastAsia" w:ascii="Times New Roman" w:hAnsi="Times New Roman"/>
          <w:sz w:val="32"/>
        </w:rPr>
        <w:t>十、废止现行相关标准的建议</w:t>
      </w:r>
      <w:bookmarkEnd w:id="12"/>
    </w:p>
    <w:p w14:paraId="29BEDD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/>
          <w:sz w:val="32"/>
        </w:rPr>
      </w:pPr>
      <w:r>
        <w:rPr>
          <w:rFonts w:hint="eastAsia" w:ascii="Times New Roman" w:hAnsi="Times New Roman"/>
          <w:sz w:val="32"/>
        </w:rPr>
        <w:t>本标准为首次发布。</w:t>
      </w:r>
    </w:p>
    <w:p w14:paraId="3F53EB8F">
      <w:pPr>
        <w:pStyle w:val="2"/>
        <w:bidi w:val="0"/>
        <w:outlineLvl w:val="0"/>
        <w:rPr>
          <w:rFonts w:hint="eastAsia" w:ascii="Times New Roman" w:hAnsi="Times New Roman"/>
          <w:sz w:val="32"/>
        </w:rPr>
      </w:pPr>
      <w:bookmarkStart w:id="13" w:name="_Toc4438"/>
      <w:r>
        <w:rPr>
          <w:rFonts w:hint="eastAsia" w:ascii="Times New Roman" w:hAnsi="Times New Roman"/>
          <w:sz w:val="32"/>
        </w:rPr>
        <w:t>十一、其他应予说明的事项</w:t>
      </w:r>
      <w:bookmarkEnd w:id="13"/>
    </w:p>
    <w:p w14:paraId="1A5844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ascii="Times New Roman" w:hAnsi="Times New Roman"/>
          <w:sz w:val="32"/>
        </w:rPr>
      </w:pPr>
      <w:r>
        <w:rPr>
          <w:rFonts w:hint="eastAsia" w:ascii="Times New Roman" w:hAnsi="Times New Roman"/>
          <w:sz w:val="32"/>
        </w:rPr>
        <w:t>本标准在制定过程中，充分考虑了广州市工程建设企业的特点和需求，确保标准具有实用性和可操作性。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ED8D324-6F99-42A8-8491-7838254A077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3C39D906-C024-4883-8DAB-F07CD536358C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81087BF8-796D-45EA-AF32-476BA3AD4087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14E53CDF-CC29-4FEE-8F6E-9273FB9743FF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5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4672B9"/>
    <w:rsid w:val="01286DB2"/>
    <w:rsid w:val="063539E9"/>
    <w:rsid w:val="15325C06"/>
    <w:rsid w:val="1B5F1BBD"/>
    <w:rsid w:val="1BB32A31"/>
    <w:rsid w:val="1DA66071"/>
    <w:rsid w:val="2D0A773C"/>
    <w:rsid w:val="2FA63C12"/>
    <w:rsid w:val="3DE47B36"/>
    <w:rsid w:val="46342B72"/>
    <w:rsid w:val="5060129E"/>
    <w:rsid w:val="51C63AAC"/>
    <w:rsid w:val="5F7A2ECC"/>
    <w:rsid w:val="64EF509C"/>
    <w:rsid w:val="65E01801"/>
    <w:rsid w:val="710C4C28"/>
    <w:rsid w:val="7A083C89"/>
    <w:rsid w:val="7F1B7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880" w:firstLineChars="200"/>
      <w:jc w:val="both"/>
    </w:pPr>
    <w:rPr>
      <w:rFonts w:eastAsia="仿宋" w:asciiTheme="minorAscii" w:hAnsiTheme="minorAscii" w:cstheme="minorBidi"/>
      <w:kern w:val="2"/>
      <w:sz w:val="32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240" w:lineRule="auto"/>
      <w:ind w:firstLine="880" w:firstLineChars="200"/>
      <w:outlineLvl w:val="1"/>
    </w:pPr>
    <w:rPr>
      <w:rFonts w:ascii="Arial" w:hAnsi="Arial" w:eastAsia="黑体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c 1"/>
    <w:basedOn w:val="1"/>
    <w:next w:val="1"/>
    <w:qFormat/>
    <w:uiPriority w:val="0"/>
    <w:pPr>
      <w:ind w:firstLine="0" w:firstLineChars="0"/>
    </w:p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paragraph" w:customStyle="1" w:styleId="8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1880</Words>
  <Characters>2003</Characters>
  <Lines>0</Lines>
  <Paragraphs>0</Paragraphs>
  <TotalTime>0</TotalTime>
  <ScaleCrop>false</ScaleCrop>
  <LinksUpToDate>false</LinksUpToDate>
  <CharactersWithSpaces>2018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2025-01-19T03:08:00Z</dcterms:created>
  <dc:creator>子豪</dc:creator>
  <cp:lastModifiedBy>Y</cp:lastModifiedBy>
  <cp:lastPrinted>2025-01-20T06:18:00Z</cp:lastPrinted>
  <dcterms:modified xsi:type="dcterms:W3CDTF">2025-01-21T02:25:18Z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eyJoZGlkIjoiYzZhZDY2MzhjNDgzNzg5YzhiNjgwYTU4MDFmNjg0NTkiLCJ1c2VySWQiOiIzMjcwMDI1OTAifQ==</vt:lpwstr>
  </property>
  <property fmtid="{D5CDD505-2E9C-101B-9397-08002B2CF9AE}" pid="4" name="ICV">
    <vt:lpwstr>342EDC4E286F40FBB97E28170D5D0987_13</vt:lpwstr>
  </property>
</Properties>
</file>