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720" w:lineRule="exact"/>
        <w:ind w:left="0" w:leftChars="0" w:firstLine="0" w:firstLineChars="0"/>
        <w:jc w:val="left"/>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2</w:t>
      </w:r>
    </w:p>
    <w:p>
      <w:pPr>
        <w:keepNext w:val="0"/>
        <w:keepLines w:val="0"/>
        <w:pageBreakBefore w:val="0"/>
        <w:wordWrap/>
        <w:overflowPunct/>
        <w:topLinePunct w:val="0"/>
        <w:bidi w:val="0"/>
        <w:snapToGrid w:val="0"/>
        <w:spacing w:line="576" w:lineRule="exact"/>
        <w:jc w:val="center"/>
        <w:rPr>
          <w:rFonts w:hint="default" w:ascii="Times New Roman" w:hAnsi="Times New Roman" w:eastAsia="方正大标宋简体" w:cs="Times New Roman"/>
          <w:b/>
          <w:bCs/>
          <w:spacing w:val="-6"/>
          <w:sz w:val="36"/>
          <w:szCs w:val="36"/>
          <w:lang w:val="en-US" w:eastAsia="zh-CN"/>
        </w:rPr>
      </w:pPr>
    </w:p>
    <w:p>
      <w:pPr>
        <w:keepNext w:val="0"/>
        <w:keepLines w:val="0"/>
        <w:pageBreakBefore w:val="0"/>
        <w:wordWrap/>
        <w:overflowPunct/>
        <w:topLinePunct w:val="0"/>
        <w:bidi w:val="0"/>
        <w:snapToGrid w:val="0"/>
        <w:spacing w:line="576" w:lineRule="exact"/>
        <w:jc w:val="center"/>
        <w:rPr>
          <w:rFonts w:hint="default" w:ascii="Times New Roman" w:hAnsi="Times New Roman" w:eastAsia="方正大标宋简体" w:cs="Times New Roman"/>
          <w:b/>
          <w:bCs/>
          <w:spacing w:val="-6"/>
          <w:sz w:val="36"/>
          <w:szCs w:val="36"/>
          <w:lang w:val="en-US" w:eastAsia="zh-CN"/>
        </w:rPr>
      </w:pPr>
    </w:p>
    <w:p>
      <w:pPr>
        <w:bidi w:val="0"/>
        <w:ind w:left="0" w:leftChars="0" w:firstLine="0" w:firstLineChars="0"/>
        <w:jc w:val="center"/>
        <w:outlineLvl w:val="9"/>
        <w:rPr>
          <w:rFonts w:hint="default" w:ascii="Times New Roman" w:hAnsi="Times New Roman" w:eastAsia="方正公文小标宋" w:cs="Times New Roman"/>
          <w:sz w:val="44"/>
          <w:szCs w:val="44"/>
        </w:rPr>
      </w:pPr>
      <w:r>
        <w:rPr>
          <w:rFonts w:hint="default" w:ascii="Times New Roman" w:hAnsi="Times New Roman" w:eastAsia="方正公文小标宋" w:cs="Times New Roman"/>
          <w:sz w:val="44"/>
          <w:szCs w:val="44"/>
        </w:rPr>
        <w:t>广州市建筑业联合会团体标准</w:t>
      </w:r>
    </w:p>
    <w:p>
      <w:pPr>
        <w:bidi w:val="0"/>
        <w:ind w:left="0" w:leftChars="0" w:firstLine="0" w:firstLineChars="0"/>
        <w:jc w:val="center"/>
        <w:rPr>
          <w:rFonts w:hint="default" w:ascii="Times New Roman" w:hAnsi="Times New Roman" w:eastAsia="方正公文小标宋" w:cs="Times New Roman"/>
          <w:sz w:val="44"/>
          <w:szCs w:val="44"/>
          <w:lang w:val="en-US" w:eastAsia="zh-CN"/>
        </w:rPr>
      </w:pPr>
      <w:r>
        <w:rPr>
          <w:rFonts w:hint="default" w:ascii="Times New Roman" w:hAnsi="Times New Roman" w:eastAsia="方正公文小标宋" w:cs="Times New Roman"/>
          <w:sz w:val="44"/>
          <w:szCs w:val="44"/>
        </w:rPr>
        <w:t>《广州市</w:t>
      </w:r>
      <w:r>
        <w:rPr>
          <w:rFonts w:hint="default" w:ascii="Times New Roman" w:hAnsi="Times New Roman" w:eastAsia="方正公文小标宋" w:cs="Times New Roman"/>
          <w:sz w:val="44"/>
          <w:szCs w:val="44"/>
          <w:lang w:val="en-US" w:eastAsia="zh-CN"/>
        </w:rPr>
        <w:t>建设工程安全生产标准化管理</w:t>
      </w:r>
    </w:p>
    <w:p>
      <w:pPr>
        <w:bidi w:val="0"/>
        <w:ind w:left="0" w:leftChars="0" w:firstLine="0" w:firstLineChars="0"/>
        <w:jc w:val="center"/>
        <w:rPr>
          <w:rFonts w:hint="default" w:ascii="Times New Roman" w:hAnsi="Times New Roman" w:eastAsia="方正公文小标宋" w:cs="Times New Roman"/>
          <w:sz w:val="44"/>
          <w:szCs w:val="44"/>
        </w:rPr>
      </w:pPr>
      <w:r>
        <w:rPr>
          <w:rFonts w:hint="default" w:ascii="Times New Roman" w:hAnsi="Times New Roman" w:eastAsia="方正公文小标宋" w:cs="Times New Roman"/>
          <w:sz w:val="44"/>
          <w:szCs w:val="44"/>
          <w:lang w:val="en-US" w:eastAsia="zh-CN"/>
        </w:rPr>
        <w:t>水平评价标准</w:t>
      </w:r>
      <w:r>
        <w:rPr>
          <w:rFonts w:hint="default" w:ascii="Times New Roman" w:hAnsi="Times New Roman" w:eastAsia="方正公文小标宋" w:cs="Times New Roman"/>
          <w:sz w:val="44"/>
          <w:szCs w:val="44"/>
          <w:lang w:eastAsia="zh-CN"/>
        </w:rPr>
        <w:t>（</w:t>
      </w:r>
      <w:r>
        <w:rPr>
          <w:rFonts w:hint="default" w:ascii="Times New Roman" w:hAnsi="Times New Roman" w:eastAsia="方正公文小标宋" w:cs="Times New Roman"/>
          <w:sz w:val="44"/>
          <w:szCs w:val="44"/>
          <w:lang w:val="en-US" w:eastAsia="zh-CN"/>
        </w:rPr>
        <w:t>征求意见稿</w:t>
      </w:r>
      <w:r>
        <w:rPr>
          <w:rFonts w:hint="default" w:ascii="Times New Roman" w:hAnsi="Times New Roman" w:eastAsia="方正公文小标宋" w:cs="Times New Roman"/>
          <w:sz w:val="44"/>
          <w:szCs w:val="44"/>
          <w:lang w:eastAsia="zh-CN"/>
        </w:rPr>
        <w:t>）</w:t>
      </w:r>
      <w:r>
        <w:rPr>
          <w:rFonts w:hint="default" w:ascii="Times New Roman" w:hAnsi="Times New Roman" w:eastAsia="方正公文小标宋" w:cs="Times New Roman"/>
          <w:sz w:val="44"/>
          <w:szCs w:val="44"/>
        </w:rPr>
        <w:t>》</w:t>
      </w: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outlineLvl w:val="9"/>
        <w:rPr>
          <w:rFonts w:hint="default" w:ascii="Times New Roman" w:hAnsi="Times New Roman" w:eastAsia="方正公文小标宋" w:cs="Times New Roman"/>
          <w:sz w:val="44"/>
          <w:szCs w:val="44"/>
        </w:rPr>
      </w:pPr>
      <w:r>
        <w:rPr>
          <w:rFonts w:hint="default" w:ascii="Times New Roman" w:hAnsi="Times New Roman" w:eastAsia="方正公文小标宋" w:cs="Times New Roman"/>
          <w:sz w:val="44"/>
          <w:szCs w:val="44"/>
        </w:rPr>
        <w:t>团体标准编制说明</w:t>
      </w: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bidi w:val="0"/>
        <w:ind w:left="0" w:leftChars="0" w:firstLine="0" w:firstLineChars="0"/>
        <w:jc w:val="center"/>
        <w:rPr>
          <w:rFonts w:hint="default" w:ascii="Times New Roman" w:hAnsi="Times New Roman" w:eastAsia="方正公文小标宋" w:cs="Times New Roman"/>
          <w:sz w:val="44"/>
          <w:szCs w:val="44"/>
        </w:rPr>
      </w:pPr>
    </w:p>
    <w:p>
      <w:pPr>
        <w:spacing w:line="560" w:lineRule="exact"/>
        <w:ind w:left="0" w:leftChars="0" w:firstLine="0" w:firstLineChars="0"/>
        <w:jc w:val="center"/>
        <w:rPr>
          <w:rFonts w:hint="default" w:ascii="Times New Roman" w:hAnsi="Times New Roman" w:eastAsia="仿宋" w:cs="Times New Roman"/>
          <w:sz w:val="32"/>
          <w:szCs w:val="24"/>
        </w:rPr>
      </w:pPr>
      <w:r>
        <w:rPr>
          <w:rFonts w:hint="default" w:ascii="Times New Roman" w:hAnsi="Times New Roman" w:eastAsia="仿宋" w:cs="Times New Roman"/>
          <w:sz w:val="32"/>
          <w:szCs w:val="24"/>
        </w:rPr>
        <w:t>20</w:t>
      </w:r>
      <w:r>
        <w:rPr>
          <w:rFonts w:hint="default" w:ascii="Times New Roman" w:hAnsi="Times New Roman" w:cs="Times New Roman"/>
          <w:sz w:val="32"/>
          <w:szCs w:val="24"/>
          <w:lang w:val="en-US" w:eastAsia="zh-CN"/>
        </w:rPr>
        <w:t>25</w:t>
      </w:r>
      <w:r>
        <w:rPr>
          <w:rFonts w:hint="default" w:ascii="Times New Roman" w:hAnsi="Times New Roman" w:eastAsia="仿宋" w:cs="Times New Roman"/>
          <w:sz w:val="32"/>
          <w:szCs w:val="24"/>
        </w:rPr>
        <w:t>年</w:t>
      </w:r>
      <w:r>
        <w:rPr>
          <w:rFonts w:hint="default" w:ascii="Times New Roman" w:hAnsi="Times New Roman" w:cs="Times New Roman"/>
          <w:sz w:val="32"/>
          <w:szCs w:val="24"/>
          <w:lang w:val="en-US" w:eastAsia="zh-CN"/>
        </w:rPr>
        <w:t>1</w:t>
      </w:r>
      <w:r>
        <w:rPr>
          <w:rFonts w:hint="default" w:ascii="Times New Roman" w:hAnsi="Times New Roman" w:eastAsia="仿宋" w:cs="Times New Roman"/>
          <w:sz w:val="32"/>
          <w:szCs w:val="24"/>
        </w:rPr>
        <w:t>月</w:t>
      </w:r>
    </w:p>
    <w:p>
      <w:pPr>
        <w:spacing w:line="560" w:lineRule="exact"/>
        <w:ind w:left="0" w:leftChars="0" w:firstLine="0" w:firstLineChars="0"/>
        <w:jc w:val="center"/>
        <w:rPr>
          <w:rFonts w:hint="default" w:ascii="Times New Roman" w:hAnsi="Times New Roman" w:eastAsia="仿宋" w:cs="Times New Roman"/>
          <w:sz w:val="32"/>
          <w:szCs w:val="24"/>
        </w:rPr>
      </w:pPr>
      <w:r>
        <w:rPr>
          <w:rFonts w:hint="default" w:ascii="Times New Roman" w:hAnsi="Times New Roman" w:eastAsia="仿宋" w:cs="Times New Roman"/>
          <w:sz w:val="32"/>
          <w:szCs w:val="24"/>
        </w:rPr>
        <w:t>团体标准起草工作组</w:t>
      </w:r>
    </w:p>
    <w:p>
      <w:pPr>
        <w:keepNext w:val="0"/>
        <w:keepLines w:val="0"/>
        <w:pageBreakBefore w:val="0"/>
        <w:wordWrap/>
        <w:overflowPunct/>
        <w:topLinePunct w:val="0"/>
        <w:bidi w:val="0"/>
        <w:snapToGrid w:val="0"/>
        <w:spacing w:line="576" w:lineRule="exact"/>
        <w:rPr>
          <w:rFonts w:hint="default" w:ascii="Times New Roman" w:hAnsi="Times New Roman" w:eastAsia="黑体" w:cs="Times New Roman"/>
          <w:b/>
          <w:bCs/>
          <w:sz w:val="32"/>
          <w:szCs w:val="32"/>
          <w:lang w:val="en-US" w:eastAsia="zh-CN"/>
        </w:rPr>
      </w:pPr>
      <w:bookmarkStart w:id="1" w:name="_GoBack"/>
      <w:bookmarkEnd w:id="1"/>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黑体" w:cs="Times New Roman"/>
          <w:sz w:val="32"/>
          <w:szCs w:val="32"/>
          <w:lang w:val="en-US" w:eastAsia="zh-CN"/>
        </w:rPr>
      </w:pPr>
      <w:r>
        <w:rPr>
          <w:rFonts w:hint="default" w:ascii="Times New Roman" w:hAnsi="Times New Roman" w:eastAsia="黑体" w:cs="Times New Roman"/>
          <w:b w:val="0"/>
          <w:bCs w:val="0"/>
          <w:sz w:val="32"/>
          <w:szCs w:val="32"/>
          <w:lang w:val="en-US" w:eastAsia="zh-CN"/>
        </w:rPr>
        <w:t>一、项目来源</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z w:val="32"/>
          <w:szCs w:val="32"/>
          <w:lang w:val="en-US" w:eastAsia="zh-CN"/>
        </w:rPr>
      </w:pPr>
      <w:r>
        <w:rPr>
          <w:rFonts w:hint="default" w:ascii="Times New Roman" w:hAnsi="Times New Roman" w:eastAsia="仿宋" w:cs="Times New Roman"/>
          <w:snapToGrid w:val="0"/>
          <w:color w:val="000000"/>
          <w:kern w:val="0"/>
          <w:sz w:val="32"/>
          <w:szCs w:val="32"/>
          <w:lang w:val="en-US" w:eastAsia="zh-CN" w:bidi="ar"/>
        </w:rPr>
        <w:t>为贯彻落实《中华人民共和国标准化法》《团体标准管理规定》(国标委联〔2019〕1 号)精神，进一步加强广州市建筑业联合会技术标准体系建设，建立健全联合会标准化工作机制，完善与国家标准、行业标准等协调互补的广州建筑行业团体标准体系，</w:t>
      </w:r>
      <w:r>
        <w:rPr>
          <w:rFonts w:hint="default" w:ascii="Times New Roman" w:hAnsi="Times New Roman" w:eastAsia="仿宋" w:cs="Times New Roman"/>
          <w:snapToGrid w:val="0"/>
          <w:color w:val="000000"/>
          <w:sz w:val="32"/>
          <w:szCs w:val="32"/>
          <w:lang w:val="en-US" w:eastAsia="zh-CN" w:bidi="ar-SA"/>
        </w:rPr>
        <w:t>组建标准编制组成员，开展《广州市建设工程安全生产标准化管理水平评价标准》的各项筹划编制工作。</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二、项目背景</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_GB2312"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根据协会在工程安全生产标准化管理工作中的实践经验，参考国家、行业及其它省市协会建设工程安全生产标准化水平评价的相关标准，标准编制组经认真调查研究，结合广州市实际情况，并在广泛征求意见的基础上，制定本标准。</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三、本标准拟解决的关键问题</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_GB2312"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贯彻“安全第一、预防为主、综合治理”的方针，提高广州市建设工程安全生产标准化管理水平，推进我市建设工程安全生产标准化管理水平评价活动。</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四、编制过程</w:t>
      </w:r>
    </w:p>
    <w:p>
      <w:pPr>
        <w:keepNext w:val="0"/>
        <w:keepLines w:val="0"/>
        <w:pageBreakBefore w:val="0"/>
        <w:widowControl/>
        <w:suppressLineNumbers w:val="0"/>
        <w:kinsoku w:val="0"/>
        <w:wordWrap/>
        <w:overflowPunct/>
        <w:topLinePunct w:val="0"/>
        <w:autoSpaceDE w:val="0"/>
        <w:autoSpaceDN w:val="0"/>
        <w:bidi w:val="0"/>
        <w:adjustRightInd w:val="0"/>
        <w:snapToGrid w:val="0"/>
        <w:spacing w:line="576" w:lineRule="exact"/>
        <w:ind w:firstLine="640" w:firstLineChars="200"/>
        <w:jc w:val="left"/>
        <w:textAlignment w:val="baseline"/>
        <w:rPr>
          <w:rFonts w:hint="default" w:ascii="Times New Roman" w:hAnsi="Times New Roman" w:eastAsia="仿宋" w:cs="Times New Roman"/>
          <w:snapToGrid w:val="0"/>
          <w:color w:val="000000"/>
          <w:kern w:val="0"/>
          <w:sz w:val="32"/>
          <w:szCs w:val="32"/>
          <w:lang w:val="en-US" w:eastAsia="zh-CN" w:bidi="ar"/>
        </w:rPr>
      </w:pPr>
      <w:r>
        <w:rPr>
          <w:rFonts w:hint="default" w:ascii="Times New Roman" w:hAnsi="Times New Roman" w:eastAsia="仿宋" w:cs="Times New Roman"/>
          <w:snapToGrid w:val="0"/>
          <w:color w:val="000000"/>
          <w:kern w:val="0"/>
          <w:sz w:val="32"/>
          <w:szCs w:val="32"/>
          <w:lang w:val="en-US" w:eastAsia="zh-CN" w:bidi="ar"/>
        </w:rPr>
        <w:t>在《广州市建设工程安全生产标准化管理水平评价标准》的编制过程中，共组织开展4次专家组听证会、10次内部成员研讨会、1次广泛征求意见、6次标准化的框架调整，研讨单位约500多家企业，企业类型涵盖央企、国有企业以及民营企业等多种类型的企业，研讨及征求意见人数达1000余人次，最终形成本标准的定稿。</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五、标准主要内容的说明</w:t>
      </w:r>
    </w:p>
    <w:p>
      <w:pPr>
        <w:keepNext w:val="0"/>
        <w:keepLines w:val="0"/>
        <w:pageBreakBefore w:val="0"/>
        <w:wordWrap/>
        <w:overflowPunct/>
        <w:topLinePunct w:val="0"/>
        <w:bidi w:val="0"/>
        <w:snapToGrid w:val="0"/>
        <w:spacing w:line="576" w:lineRule="exact"/>
        <w:ind w:firstLine="646" w:firstLineChars="202"/>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（一）适用范围</w:t>
      </w:r>
    </w:p>
    <w:p>
      <w:pPr>
        <w:keepNext w:val="0"/>
        <w:keepLines w:val="0"/>
        <w:pageBreakBefore w:val="0"/>
        <w:wordWrap/>
        <w:overflowPunct/>
        <w:topLinePunct w:val="0"/>
        <w:bidi w:val="0"/>
        <w:snapToGrid w:val="0"/>
        <w:spacing w:line="576" w:lineRule="exact"/>
        <w:ind w:firstLine="646" w:firstLineChars="202"/>
        <w:rPr>
          <w:rFonts w:hint="eastAsia" w:ascii="仿宋" w:hAnsi="仿宋" w:eastAsia="仿宋" w:cs="仿宋"/>
          <w:snapToGrid w:val="0"/>
          <w:color w:val="000000"/>
          <w:sz w:val="32"/>
          <w:szCs w:val="32"/>
          <w:lang w:val="en-US" w:eastAsia="zh-CN" w:bidi="ar-SA"/>
        </w:rPr>
      </w:pPr>
      <w:r>
        <w:rPr>
          <w:rFonts w:hint="eastAsia" w:ascii="仿宋" w:hAnsi="仿宋" w:eastAsia="仿宋" w:cs="仿宋"/>
          <w:snapToGrid w:val="0"/>
          <w:color w:val="000000"/>
          <w:sz w:val="32"/>
          <w:szCs w:val="32"/>
          <w:lang w:val="en-US" w:eastAsia="zh-CN" w:bidi="ar-SA"/>
        </w:rPr>
        <w:t>广州市内各新建、扩建、改建房屋建筑工程与道路、桥梁、轨道交通工程、水利工程、生态工程及园林景观等建设工程的安全生产标准化管理水平评价工作。</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方正楷体_GB2312" w:cs="Times New Roman"/>
          <w:b/>
          <w:bCs/>
          <w:sz w:val="32"/>
          <w:szCs w:val="32"/>
          <w:lang w:val="en-US" w:eastAsia="zh-CN"/>
        </w:rPr>
      </w:pPr>
      <w:r>
        <w:rPr>
          <w:rFonts w:hint="default" w:ascii="楷体" w:hAnsi="楷体" w:eastAsia="楷体" w:cs="楷体"/>
          <w:b w:val="0"/>
          <w:bCs w:val="0"/>
          <w:sz w:val="32"/>
          <w:szCs w:val="32"/>
          <w:lang w:val="en-US" w:eastAsia="zh-CN"/>
        </w:rPr>
        <w:t>（二）主要技术内容</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1.总则</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明确本标准的制定目的、适用范围和要求等。</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2.术语</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专业名词解释。</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3.基本规定</w:t>
      </w:r>
    </w:p>
    <w:p>
      <w:pPr>
        <w:keepNext w:val="0"/>
        <w:keepLines w:val="0"/>
        <w:pageBreakBefore w:val="0"/>
        <w:wordWrap/>
        <w:overflowPunct/>
        <w:topLinePunct w:val="0"/>
        <w:bidi w:val="0"/>
        <w:snapToGrid w:val="0"/>
        <w:spacing w:line="576" w:lineRule="exact"/>
        <w:ind w:firstLine="622" w:firstLineChars="202"/>
        <w:rPr>
          <w:rFonts w:hint="default" w:ascii="Times New Roman" w:hAnsi="Times New Roman" w:eastAsia="仿宋" w:cs="Times New Roman"/>
          <w:spacing w:val="-6"/>
          <w:sz w:val="32"/>
          <w:szCs w:val="32"/>
          <w:lang w:val="en-US" w:eastAsia="zh-CN"/>
        </w:rPr>
      </w:pPr>
      <w:r>
        <w:rPr>
          <w:rFonts w:hint="default" w:ascii="Times New Roman" w:hAnsi="Times New Roman" w:eastAsia="仿宋" w:cs="Times New Roman"/>
          <w:spacing w:val="-6"/>
          <w:sz w:val="32"/>
          <w:szCs w:val="32"/>
          <w:lang w:val="en-US" w:eastAsia="zh-CN"/>
        </w:rPr>
        <w:t>明确建设工程申报安全生产标准化管理水平评价的基本要求、条件等内容，并对不满足申报条件的内容进行了描述。</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4.评价类别、等级及规模要求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明确建设工程安全生产标准化管理水平评价的项目类别、评价等级以及项目规模要求等内容。</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5.房屋工程安全生产标准化管理水平评价通用要求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明确房屋工程申报安全生产标准化管理水平评价的评价时间、检查内容、检查部位、范围、评价分数、评分方法、权重设置以及等级确定等内容及相关要求。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6.市政工程安全生产标准化管理水平评价通用要求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明确市政工程申报安全生产标准化管理水平评价的评价时间、检查内容、检查部位、范围、评价分数、评分方法、权重设置以及等级确定等内容及相关要求。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7.水利工程安全生产标准化管理水平评价通用要求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明确水利工程申报安全生产标准化管理水平评价的评价时间、检查内容、检查部位、范围、评价分数、评分方法、权重设置以及等级确定等内容及相关要求。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8.房屋工程安全生产标准化管理水平评价表</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明确房屋工程安全生产标准化管理水平评价汇总表、文明施工评价表、安全生产评价表的评价项目、评价子项目以及对应分数设置等内容。</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9.市政工程安全生产标准化管理水平评价表</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明确市政工程安全生产标准化管理水平评价汇总表、文明施工评价表、安全生产评价表的评价项目、评价子项目以及对应分数设置等内容。</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10.</w:t>
      </w:r>
      <w:r>
        <w:rPr>
          <w:rFonts w:hint="default" w:ascii="Times New Roman" w:hAnsi="Times New Roman" w:eastAsia="仿宋" w:cs="Times New Roman"/>
          <w:b w:val="0"/>
          <w:bCs w:val="0"/>
          <w:color w:val="000000"/>
          <w:sz w:val="32"/>
          <w:szCs w:val="32"/>
          <w:lang w:val="en-US" w:eastAsia="zh-CN"/>
        </w:rPr>
        <w:fldChar w:fldCharType="begin"/>
      </w:r>
      <w:r>
        <w:rPr>
          <w:rFonts w:hint="default" w:ascii="Times New Roman" w:hAnsi="Times New Roman" w:eastAsia="仿宋" w:cs="Times New Roman"/>
          <w:b w:val="0"/>
          <w:bCs w:val="0"/>
          <w:color w:val="000000"/>
          <w:sz w:val="32"/>
          <w:szCs w:val="32"/>
          <w:lang w:val="en-US" w:eastAsia="zh-CN"/>
        </w:rPr>
        <w:instrText xml:space="preserve"> HYPERLINK \l "_Toc179301237" </w:instrText>
      </w:r>
      <w:r>
        <w:rPr>
          <w:rFonts w:hint="default" w:ascii="Times New Roman" w:hAnsi="Times New Roman" w:eastAsia="仿宋" w:cs="Times New Roman"/>
          <w:b w:val="0"/>
          <w:bCs w:val="0"/>
          <w:color w:val="000000"/>
          <w:sz w:val="32"/>
          <w:szCs w:val="32"/>
          <w:lang w:val="en-US" w:eastAsia="zh-CN"/>
        </w:rPr>
        <w:fldChar w:fldCharType="separate"/>
      </w:r>
      <w:bookmarkStart w:id="0" w:name="_Toc181689318"/>
      <w:r>
        <w:rPr>
          <w:rFonts w:hint="default" w:ascii="Times New Roman" w:hAnsi="Times New Roman" w:eastAsia="仿宋" w:cs="Times New Roman"/>
          <w:b w:val="0"/>
          <w:bCs w:val="0"/>
          <w:color w:val="000000"/>
          <w:sz w:val="32"/>
          <w:szCs w:val="32"/>
          <w:lang w:val="en-US" w:eastAsia="zh-CN"/>
        </w:rPr>
        <w:t>水利工程安全生产标准化管理水平评价表</w:t>
      </w:r>
      <w:bookmarkEnd w:id="0"/>
      <w:r>
        <w:rPr>
          <w:rFonts w:hint="default" w:ascii="Times New Roman" w:hAnsi="Times New Roman" w:eastAsia="仿宋" w:cs="Times New Roman"/>
          <w:b w:val="0"/>
          <w:bCs w:val="0"/>
          <w:color w:val="000000"/>
          <w:sz w:val="32"/>
          <w:szCs w:val="32"/>
          <w:lang w:val="en-US" w:eastAsia="zh-CN"/>
        </w:rPr>
        <w:fldChar w:fldCharType="end"/>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明确水利工程安全生产标准化管理水平评价汇总表、文明施工评价表、安全生产评价表的评价项目、评价子项目以及对应分数设置等内容。</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11.智慧工地评价表</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明确建设工程智慧工地实施通过信息化系统实现工程安全生产标准化管理应具备的功能内容。</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b w:val="0"/>
          <w:bCs w:val="0"/>
          <w:color w:val="000000"/>
          <w:sz w:val="32"/>
          <w:szCs w:val="32"/>
          <w:lang w:val="en-US" w:eastAsia="zh-CN"/>
        </w:rPr>
      </w:pPr>
      <w:r>
        <w:rPr>
          <w:rFonts w:hint="default" w:ascii="Times New Roman" w:hAnsi="Times New Roman" w:eastAsia="仿宋" w:cs="Times New Roman"/>
          <w:b w:val="0"/>
          <w:bCs w:val="0"/>
          <w:color w:val="000000"/>
          <w:sz w:val="32"/>
          <w:szCs w:val="32"/>
          <w:lang w:val="en-US" w:eastAsia="zh-CN"/>
        </w:rPr>
        <w:t>12.防高坠样板引路建设评价表</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明确建设工程防高坠样板引路建设实施应具备的内容。</w:t>
      </w:r>
    </w:p>
    <w:p>
      <w:pPr>
        <w:keepNext w:val="0"/>
        <w:keepLines w:val="0"/>
        <w:pageBreakBefore w:val="0"/>
        <w:wordWrap/>
        <w:overflowPunct/>
        <w:topLinePunct w:val="0"/>
        <w:bidi w:val="0"/>
        <w:snapToGrid w:val="0"/>
        <w:spacing w:line="576" w:lineRule="exact"/>
        <w:ind w:firstLine="622" w:firstLineChars="202"/>
        <w:rPr>
          <w:rFonts w:hint="default" w:ascii="Times New Roman" w:hAnsi="Times New Roman" w:eastAsia="仿宋" w:cs="Times New Roman"/>
          <w:spacing w:val="-6"/>
          <w:sz w:val="32"/>
          <w:szCs w:val="32"/>
          <w:lang w:val="en-US" w:eastAsia="zh-CN"/>
        </w:rPr>
      </w:pPr>
      <w:r>
        <w:rPr>
          <w:rFonts w:hint="default" w:ascii="Times New Roman" w:hAnsi="Times New Roman" w:eastAsia="仿宋" w:cs="Times New Roman"/>
          <w:b w:val="0"/>
          <w:bCs w:val="0"/>
          <w:color w:val="000000"/>
          <w:spacing w:val="-6"/>
          <w:sz w:val="32"/>
          <w:szCs w:val="32"/>
          <w:lang w:val="en-US" w:eastAsia="zh-CN"/>
        </w:rPr>
        <w:t>附录A</w:t>
      </w:r>
      <w:r>
        <w:rPr>
          <w:rFonts w:hint="default" w:ascii="Times New Roman" w:hAnsi="Times New Roman" w:eastAsia="仿宋" w:cs="Times New Roman"/>
          <w:color w:val="000000"/>
          <w:spacing w:val="-6"/>
          <w:sz w:val="32"/>
          <w:szCs w:val="32"/>
          <w:lang w:val="en-US" w:eastAsia="zh-CN"/>
        </w:rPr>
        <w:t xml:space="preserve"> </w:t>
      </w:r>
      <w:r>
        <w:rPr>
          <w:rFonts w:hint="default" w:ascii="Times New Roman" w:hAnsi="Times New Roman" w:eastAsia="仿宋" w:cs="Times New Roman"/>
          <w:spacing w:val="-6"/>
          <w:sz w:val="32"/>
          <w:szCs w:val="32"/>
          <w:lang w:val="en-US" w:eastAsia="zh-CN"/>
        </w:rPr>
        <w:t>广州市房屋工程安全生产标准化管理水平评价表</w:t>
      </w:r>
    </w:p>
    <w:p>
      <w:pPr>
        <w:keepNext w:val="0"/>
        <w:keepLines w:val="0"/>
        <w:pageBreakBefore w:val="0"/>
        <w:wordWrap/>
        <w:overflowPunct/>
        <w:topLinePunct w:val="0"/>
        <w:bidi w:val="0"/>
        <w:snapToGrid w:val="0"/>
        <w:spacing w:line="576" w:lineRule="exact"/>
        <w:ind w:firstLine="622" w:firstLineChars="202"/>
        <w:rPr>
          <w:rFonts w:hint="default" w:ascii="Times New Roman" w:hAnsi="Times New Roman" w:eastAsia="仿宋" w:cs="Times New Roman"/>
          <w:spacing w:val="-6"/>
          <w:sz w:val="32"/>
          <w:szCs w:val="32"/>
          <w:lang w:val="en-US" w:eastAsia="zh-CN"/>
        </w:rPr>
      </w:pPr>
      <w:r>
        <w:rPr>
          <w:rFonts w:hint="default" w:ascii="Times New Roman" w:hAnsi="Times New Roman" w:eastAsia="仿宋" w:cs="Times New Roman"/>
          <w:b w:val="0"/>
          <w:bCs w:val="0"/>
          <w:color w:val="000000"/>
          <w:spacing w:val="-6"/>
          <w:sz w:val="32"/>
          <w:szCs w:val="32"/>
          <w:lang w:val="en-US" w:eastAsia="zh-CN"/>
        </w:rPr>
        <w:t>附录B</w:t>
      </w:r>
      <w:r>
        <w:rPr>
          <w:rFonts w:hint="default" w:ascii="Times New Roman" w:hAnsi="Times New Roman" w:eastAsia="仿宋" w:cs="Times New Roman"/>
          <w:color w:val="000000"/>
          <w:spacing w:val="-6"/>
          <w:sz w:val="32"/>
          <w:szCs w:val="32"/>
          <w:lang w:val="en-US" w:eastAsia="zh-CN"/>
        </w:rPr>
        <w:t xml:space="preserve"> </w:t>
      </w:r>
      <w:r>
        <w:rPr>
          <w:rFonts w:hint="default" w:ascii="Times New Roman" w:hAnsi="Times New Roman" w:eastAsia="仿宋" w:cs="Times New Roman"/>
          <w:spacing w:val="-6"/>
          <w:sz w:val="32"/>
          <w:szCs w:val="32"/>
          <w:lang w:val="en-US" w:eastAsia="zh-CN"/>
        </w:rPr>
        <w:t>广州市市政工程安全生产标准化管理水平评价表</w:t>
      </w:r>
    </w:p>
    <w:p>
      <w:pPr>
        <w:keepNext w:val="0"/>
        <w:keepLines w:val="0"/>
        <w:pageBreakBefore w:val="0"/>
        <w:wordWrap/>
        <w:overflowPunct/>
        <w:topLinePunct w:val="0"/>
        <w:bidi w:val="0"/>
        <w:snapToGrid w:val="0"/>
        <w:spacing w:line="576" w:lineRule="exact"/>
        <w:ind w:firstLine="622" w:firstLineChars="202"/>
        <w:rPr>
          <w:rFonts w:hint="default" w:ascii="Times New Roman" w:hAnsi="Times New Roman" w:eastAsia="仿宋" w:cs="Times New Roman"/>
          <w:color w:val="000000"/>
          <w:spacing w:val="-6"/>
          <w:sz w:val="32"/>
          <w:szCs w:val="32"/>
          <w:lang w:val="en-US" w:eastAsia="zh-CN"/>
        </w:rPr>
      </w:pPr>
      <w:r>
        <w:rPr>
          <w:rFonts w:hint="default" w:ascii="Times New Roman" w:hAnsi="Times New Roman" w:eastAsia="仿宋" w:cs="Times New Roman"/>
          <w:b w:val="0"/>
          <w:bCs w:val="0"/>
          <w:color w:val="000000"/>
          <w:spacing w:val="-6"/>
          <w:sz w:val="32"/>
          <w:szCs w:val="32"/>
          <w:lang w:val="en-US" w:eastAsia="zh-CN"/>
        </w:rPr>
        <w:t>附录C</w:t>
      </w:r>
      <w:r>
        <w:rPr>
          <w:rFonts w:hint="default" w:ascii="Times New Roman" w:hAnsi="Times New Roman" w:eastAsia="仿宋" w:cs="Times New Roman"/>
          <w:color w:val="000000"/>
          <w:spacing w:val="-6"/>
          <w:sz w:val="32"/>
          <w:szCs w:val="32"/>
          <w:lang w:val="en-US" w:eastAsia="zh-CN"/>
        </w:rPr>
        <w:t xml:space="preserve"> </w:t>
      </w:r>
      <w:r>
        <w:rPr>
          <w:rFonts w:hint="default" w:ascii="Times New Roman" w:hAnsi="Times New Roman" w:eastAsia="仿宋" w:cs="Times New Roman"/>
          <w:spacing w:val="-6"/>
          <w:sz w:val="32"/>
          <w:szCs w:val="32"/>
          <w:lang w:val="en-US" w:eastAsia="zh-CN"/>
        </w:rPr>
        <w:t>广州市水利工程安全生产标准化管理水平评价表</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b w:val="0"/>
          <w:bCs w:val="0"/>
          <w:color w:val="000000"/>
          <w:sz w:val="32"/>
          <w:szCs w:val="32"/>
          <w:lang w:val="en-US" w:eastAsia="zh-CN"/>
        </w:rPr>
        <w:t>附录D</w:t>
      </w:r>
      <w:r>
        <w:rPr>
          <w:rFonts w:hint="default" w:ascii="Times New Roman" w:hAnsi="Times New Roman" w:eastAsia="仿宋" w:cs="Times New Roman"/>
          <w:color w:val="000000"/>
          <w:sz w:val="32"/>
          <w:szCs w:val="32"/>
          <w:lang w:val="en-US" w:eastAsia="zh-CN"/>
        </w:rPr>
        <w:t xml:space="preserve"> </w:t>
      </w:r>
      <w:r>
        <w:rPr>
          <w:rFonts w:hint="default" w:ascii="Times New Roman" w:hAnsi="Times New Roman" w:eastAsia="仿宋" w:cs="Times New Roman"/>
          <w:sz w:val="32"/>
          <w:szCs w:val="32"/>
          <w:lang w:val="en-US" w:eastAsia="zh-CN"/>
        </w:rPr>
        <w:t>智慧工地评价表</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val="en-US" w:eastAsia="zh-CN"/>
        </w:rPr>
      </w:pPr>
      <w:r>
        <w:rPr>
          <w:rFonts w:hint="default" w:ascii="Times New Roman" w:hAnsi="Times New Roman" w:eastAsia="仿宋" w:cs="Times New Roman"/>
          <w:b w:val="0"/>
          <w:bCs w:val="0"/>
          <w:color w:val="000000"/>
          <w:sz w:val="32"/>
          <w:szCs w:val="32"/>
          <w:lang w:val="en-US" w:eastAsia="zh-CN"/>
        </w:rPr>
        <w:t>附录E</w:t>
      </w:r>
      <w:r>
        <w:rPr>
          <w:rFonts w:hint="default" w:ascii="Times New Roman" w:hAnsi="Times New Roman" w:eastAsia="仿宋" w:cs="Times New Roman"/>
          <w:color w:val="000000"/>
          <w:sz w:val="32"/>
          <w:szCs w:val="32"/>
          <w:lang w:val="en-US" w:eastAsia="zh-CN"/>
        </w:rPr>
        <w:t xml:space="preserve"> </w:t>
      </w:r>
      <w:r>
        <w:rPr>
          <w:rFonts w:hint="default" w:ascii="Times New Roman" w:hAnsi="Times New Roman" w:eastAsia="仿宋" w:cs="Times New Roman"/>
          <w:sz w:val="32"/>
          <w:szCs w:val="32"/>
          <w:lang w:val="en-US" w:eastAsia="zh-CN"/>
        </w:rPr>
        <w:t>防高坠样板引路建设评价表</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六、标准参考的文献资料</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w:t>
      </w:r>
      <w:r>
        <w:rPr>
          <w:rFonts w:hint="default" w:ascii="Times New Roman" w:hAnsi="Times New Roman" w:eastAsia="楷体" w:cs="Times New Roman"/>
          <w:sz w:val="32"/>
          <w:szCs w:val="32"/>
          <w:lang w:val="en-US" w:eastAsia="zh-CN"/>
        </w:rPr>
        <w:t>一</w:t>
      </w:r>
      <w:r>
        <w:rPr>
          <w:rFonts w:hint="default" w:ascii="Times New Roman" w:hAnsi="Times New Roman" w:eastAsia="楷体" w:cs="Times New Roman"/>
          <w:sz w:val="32"/>
          <w:szCs w:val="32"/>
          <w:lang w:eastAsia="zh-CN"/>
        </w:rPr>
        <w:t>）《中华人民共和国安全生产法》；</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w:t>
      </w:r>
      <w:r>
        <w:rPr>
          <w:rFonts w:hint="default" w:ascii="Times New Roman" w:hAnsi="Times New Roman" w:eastAsia="楷体" w:cs="Times New Roman"/>
          <w:sz w:val="32"/>
          <w:szCs w:val="32"/>
          <w:lang w:val="en-US" w:eastAsia="zh-CN"/>
        </w:rPr>
        <w:t>二</w:t>
      </w:r>
      <w:r>
        <w:rPr>
          <w:rFonts w:hint="default" w:ascii="Times New Roman" w:hAnsi="Times New Roman" w:eastAsia="楷体" w:cs="Times New Roman"/>
          <w:sz w:val="32"/>
          <w:szCs w:val="32"/>
          <w:lang w:eastAsia="zh-CN"/>
        </w:rPr>
        <w:t>）《中华人民共和国建筑法》；</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（三）《建设工程安全生产管理条例》；</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（四）《建设工程施工现场消防安全技术规范》（GB50720）；</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（五）《</w:t>
      </w:r>
      <w:r>
        <w:rPr>
          <w:rFonts w:hint="default" w:ascii="Times New Roman" w:hAnsi="Times New Roman" w:eastAsia="楷体" w:cs="Times New Roman"/>
          <w:sz w:val="32"/>
          <w:szCs w:val="32"/>
          <w:lang w:eastAsia="zh-CN"/>
        </w:rPr>
        <w:t>施工脚手架通用规范</w:t>
      </w:r>
      <w:r>
        <w:rPr>
          <w:rFonts w:hint="default" w:ascii="Times New Roman" w:hAnsi="Times New Roman" w:eastAsia="楷体" w:cs="Times New Roman"/>
          <w:sz w:val="32"/>
          <w:szCs w:val="32"/>
          <w:lang w:val="en-US" w:eastAsia="zh-CN"/>
        </w:rPr>
        <w:t>》（</w:t>
      </w:r>
      <w:r>
        <w:rPr>
          <w:rFonts w:hint="default" w:ascii="Times New Roman" w:hAnsi="Times New Roman" w:eastAsia="楷体" w:cs="Times New Roman"/>
          <w:sz w:val="32"/>
          <w:szCs w:val="32"/>
          <w:lang w:eastAsia="zh-CN"/>
        </w:rPr>
        <w:t>GB55023</w:t>
      </w:r>
      <w:r>
        <w:rPr>
          <w:rFonts w:hint="default" w:ascii="Times New Roman" w:hAnsi="Times New Roman" w:eastAsia="楷体" w:cs="Times New Roman"/>
          <w:sz w:val="32"/>
          <w:szCs w:val="32"/>
          <w:lang w:val="en-US" w:eastAsia="zh-CN"/>
        </w:rPr>
        <w:t>）；</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（六）《</w:t>
      </w:r>
      <w:r>
        <w:rPr>
          <w:rFonts w:hint="default" w:ascii="Times New Roman" w:hAnsi="Times New Roman" w:eastAsia="楷体" w:cs="Times New Roman"/>
          <w:sz w:val="32"/>
          <w:szCs w:val="32"/>
          <w:lang w:eastAsia="zh-CN"/>
        </w:rPr>
        <w:t>建筑防火通用规范</w:t>
      </w:r>
      <w:r>
        <w:rPr>
          <w:rFonts w:hint="default" w:ascii="Times New Roman" w:hAnsi="Times New Roman" w:eastAsia="楷体" w:cs="Times New Roman"/>
          <w:sz w:val="32"/>
          <w:szCs w:val="32"/>
          <w:lang w:val="en-US" w:eastAsia="zh-CN"/>
        </w:rPr>
        <w:t>》（</w:t>
      </w:r>
      <w:r>
        <w:rPr>
          <w:rFonts w:hint="default" w:ascii="Times New Roman" w:hAnsi="Times New Roman" w:eastAsia="楷体" w:cs="Times New Roman"/>
          <w:sz w:val="32"/>
          <w:szCs w:val="32"/>
          <w:lang w:eastAsia="zh-CN"/>
        </w:rPr>
        <w:t>GB55037</w:t>
      </w:r>
      <w:r>
        <w:rPr>
          <w:rFonts w:hint="default" w:ascii="Times New Roman" w:hAnsi="Times New Roman" w:eastAsia="楷体" w:cs="Times New Roman"/>
          <w:sz w:val="32"/>
          <w:szCs w:val="32"/>
          <w:lang w:val="en-US" w:eastAsia="zh-CN"/>
        </w:rPr>
        <w:t>）；</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（七）《</w:t>
      </w:r>
      <w:r>
        <w:rPr>
          <w:rFonts w:hint="default" w:ascii="Times New Roman" w:hAnsi="Times New Roman" w:eastAsia="楷体" w:cs="Times New Roman"/>
          <w:sz w:val="32"/>
          <w:szCs w:val="32"/>
          <w:lang w:eastAsia="zh-CN"/>
        </w:rPr>
        <w:t>建筑与市政施工现场安全卫生与职业健康通用规范</w:t>
      </w:r>
      <w:r>
        <w:rPr>
          <w:rFonts w:hint="default" w:ascii="Times New Roman" w:hAnsi="Times New Roman" w:eastAsia="楷体" w:cs="Times New Roman"/>
          <w:sz w:val="32"/>
          <w:szCs w:val="32"/>
          <w:lang w:val="en-US" w:eastAsia="zh-CN"/>
        </w:rPr>
        <w:t>》（</w:t>
      </w:r>
      <w:r>
        <w:rPr>
          <w:rFonts w:hint="default" w:ascii="Times New Roman" w:hAnsi="Times New Roman" w:eastAsia="楷体" w:cs="Times New Roman"/>
          <w:sz w:val="32"/>
          <w:szCs w:val="32"/>
          <w:lang w:eastAsia="zh-CN"/>
        </w:rPr>
        <w:t>GB55034</w:t>
      </w:r>
      <w:r>
        <w:rPr>
          <w:rFonts w:hint="default" w:ascii="Times New Roman" w:hAnsi="Times New Roman" w:eastAsia="楷体" w:cs="Times New Roman"/>
          <w:sz w:val="32"/>
          <w:szCs w:val="32"/>
          <w:lang w:val="en-US" w:eastAsia="zh-CN"/>
        </w:rPr>
        <w:t>）；</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val="en-US" w:eastAsia="zh-CN"/>
        </w:rPr>
        <w:t>（八）</w:t>
      </w:r>
      <w:r>
        <w:rPr>
          <w:rFonts w:hint="default" w:ascii="Times New Roman" w:hAnsi="Times New Roman" w:eastAsia="楷体" w:cs="Times New Roman"/>
          <w:sz w:val="32"/>
          <w:szCs w:val="32"/>
          <w:lang w:eastAsia="zh-CN"/>
        </w:rPr>
        <w:t>《建筑与市政工程施工现场临时用电安全技术标准》（JGJ/T46）；</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val="en-US" w:eastAsia="zh-CN"/>
        </w:rPr>
        <w:t>（九）</w:t>
      </w:r>
      <w:r>
        <w:rPr>
          <w:rFonts w:hint="default" w:ascii="Times New Roman" w:hAnsi="Times New Roman" w:eastAsia="楷体" w:cs="Times New Roman"/>
          <w:sz w:val="32"/>
          <w:szCs w:val="32"/>
          <w:lang w:eastAsia="zh-CN"/>
        </w:rPr>
        <w:t>《建筑施工安全检查标准》（JGJ59）；</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val="en-US" w:eastAsia="zh-CN"/>
        </w:rPr>
        <w:t>（十）</w:t>
      </w:r>
      <w:r>
        <w:rPr>
          <w:rFonts w:hint="default" w:ascii="Times New Roman" w:hAnsi="Times New Roman" w:eastAsia="楷体" w:cs="Times New Roman"/>
          <w:sz w:val="32"/>
          <w:szCs w:val="32"/>
          <w:lang w:eastAsia="zh-CN"/>
        </w:rPr>
        <w:t>《市政工程施工安全检查标准》（CJJ/T275）；</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val="en-US" w:eastAsia="zh-CN"/>
        </w:rPr>
        <w:t>（十一）</w:t>
      </w:r>
      <w:r>
        <w:rPr>
          <w:rFonts w:hint="default" w:ascii="Times New Roman" w:hAnsi="Times New Roman" w:eastAsia="楷体" w:cs="Times New Roman"/>
          <w:sz w:val="32"/>
          <w:szCs w:val="32"/>
          <w:lang w:eastAsia="zh-CN"/>
        </w:rPr>
        <w:t>《广州市建设工程安全文明施工规程》（DB4401/T210）；</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val="en-US" w:eastAsia="zh-CN"/>
        </w:rPr>
        <w:t>（十二）</w:t>
      </w:r>
      <w:r>
        <w:rPr>
          <w:rFonts w:hint="default" w:ascii="Times New Roman" w:hAnsi="Times New Roman" w:eastAsia="楷体" w:cs="Times New Roman"/>
          <w:sz w:val="32"/>
          <w:szCs w:val="32"/>
          <w:lang w:eastAsia="zh-CN"/>
        </w:rPr>
        <w:t>《建筑工程智慧工地建设技术规程》（DB4401/T235）；</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w:t>
      </w:r>
      <w:r>
        <w:rPr>
          <w:rFonts w:hint="default" w:ascii="Times New Roman" w:hAnsi="Times New Roman" w:eastAsia="楷体" w:cs="Times New Roman"/>
          <w:sz w:val="32"/>
          <w:szCs w:val="32"/>
          <w:lang w:val="en-US" w:eastAsia="zh-CN"/>
        </w:rPr>
        <w:t>十三</w:t>
      </w:r>
      <w:r>
        <w:rPr>
          <w:rFonts w:hint="default" w:ascii="Times New Roman" w:hAnsi="Times New Roman" w:eastAsia="楷体" w:cs="Times New Roman"/>
          <w:sz w:val="32"/>
          <w:szCs w:val="32"/>
          <w:lang w:eastAsia="zh-CN"/>
        </w:rPr>
        <w:t>）《广东省工程质量安全手册实施细则（试行）》（粤建质〔2024〕130号）；</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w:t>
      </w:r>
      <w:r>
        <w:rPr>
          <w:rFonts w:hint="default" w:ascii="Times New Roman" w:hAnsi="Times New Roman" w:eastAsia="楷体" w:cs="Times New Roman"/>
          <w:sz w:val="32"/>
          <w:szCs w:val="32"/>
          <w:lang w:val="en-US" w:eastAsia="zh-CN"/>
        </w:rPr>
        <w:t>十四</w:t>
      </w:r>
      <w:r>
        <w:rPr>
          <w:rFonts w:hint="default" w:ascii="Times New Roman" w:hAnsi="Times New Roman" w:eastAsia="楷体" w:cs="Times New Roman"/>
          <w:sz w:val="32"/>
          <w:szCs w:val="32"/>
          <w:lang w:eastAsia="zh-CN"/>
        </w:rPr>
        <w:t>）《广东省建筑施工安全管理资料统一用表》（2021年版）；</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w:t>
      </w:r>
      <w:r>
        <w:rPr>
          <w:rFonts w:hint="default" w:ascii="Times New Roman" w:hAnsi="Times New Roman" w:eastAsia="楷体" w:cs="Times New Roman"/>
          <w:sz w:val="32"/>
          <w:szCs w:val="32"/>
          <w:lang w:val="en-US" w:eastAsia="zh-CN"/>
        </w:rPr>
        <w:t>十五</w:t>
      </w:r>
      <w:r>
        <w:rPr>
          <w:rFonts w:hint="default" w:ascii="Times New Roman" w:hAnsi="Times New Roman" w:eastAsia="楷体" w:cs="Times New Roman"/>
          <w:sz w:val="32"/>
          <w:szCs w:val="32"/>
          <w:lang w:eastAsia="zh-CN"/>
        </w:rPr>
        <w:t>）《广东省市政基础设施工程施工安全管理资料统一用表》（2022年版）；</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val="en-US" w:eastAsia="zh-CN"/>
        </w:rPr>
        <w:t>（十六）</w:t>
      </w:r>
      <w:r>
        <w:rPr>
          <w:rFonts w:hint="default" w:ascii="Times New Roman" w:hAnsi="Times New Roman" w:eastAsia="楷体" w:cs="Times New Roman"/>
          <w:sz w:val="32"/>
          <w:szCs w:val="32"/>
          <w:lang w:eastAsia="zh-CN"/>
        </w:rPr>
        <w:t>《水利部办公厅关于印发水利安全生产标准化评审标准的通知》（办安监〔2018〕52号）；</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w:t>
      </w:r>
      <w:r>
        <w:rPr>
          <w:rFonts w:hint="default" w:ascii="Times New Roman" w:hAnsi="Times New Roman" w:eastAsia="楷体" w:cs="Times New Roman"/>
          <w:sz w:val="32"/>
          <w:szCs w:val="32"/>
          <w:lang w:val="en-US" w:eastAsia="zh-CN"/>
        </w:rPr>
        <w:t>十七</w:t>
      </w:r>
      <w:r>
        <w:rPr>
          <w:rFonts w:hint="default" w:ascii="Times New Roman" w:hAnsi="Times New Roman" w:eastAsia="楷体" w:cs="Times New Roman"/>
          <w:sz w:val="32"/>
          <w:szCs w:val="32"/>
          <w:lang w:eastAsia="zh-CN"/>
        </w:rPr>
        <w:t>）《广州市住房和城乡建设局关于加强全市房屋建筑工程（含综合管廊）预防高处坠落安全管理工作的通知》（穗建质〔2024〕239号）；</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w:t>
      </w:r>
      <w:r>
        <w:rPr>
          <w:rFonts w:hint="default" w:ascii="Times New Roman" w:hAnsi="Times New Roman" w:eastAsia="楷体" w:cs="Times New Roman"/>
          <w:sz w:val="32"/>
          <w:szCs w:val="32"/>
          <w:lang w:val="en-US" w:eastAsia="zh-CN"/>
        </w:rPr>
        <w:t>十八</w:t>
      </w:r>
      <w:r>
        <w:rPr>
          <w:rFonts w:hint="default" w:ascii="Times New Roman" w:hAnsi="Times New Roman" w:eastAsia="楷体" w:cs="Times New Roman"/>
          <w:sz w:val="32"/>
          <w:szCs w:val="32"/>
          <w:lang w:eastAsia="zh-CN"/>
        </w:rPr>
        <w:t>）《广州市建设工程绿色施工围蔽指导图集（V2.0版）》（穗建质〔2020〕1号）；</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eastAsia="zh-CN"/>
        </w:rPr>
      </w:pPr>
      <w:r>
        <w:rPr>
          <w:rFonts w:hint="default" w:ascii="Times New Roman" w:hAnsi="Times New Roman" w:eastAsia="楷体" w:cs="Times New Roman"/>
          <w:sz w:val="32"/>
          <w:szCs w:val="32"/>
          <w:lang w:eastAsia="zh-CN"/>
        </w:rPr>
        <w:t>（</w:t>
      </w:r>
      <w:r>
        <w:rPr>
          <w:rFonts w:hint="default" w:ascii="Times New Roman" w:hAnsi="Times New Roman" w:eastAsia="楷体" w:cs="Times New Roman"/>
          <w:sz w:val="32"/>
          <w:szCs w:val="32"/>
          <w:lang w:val="en-US" w:eastAsia="zh-CN"/>
        </w:rPr>
        <w:t>十九</w:t>
      </w:r>
      <w:r>
        <w:rPr>
          <w:rFonts w:hint="default" w:ascii="Times New Roman" w:hAnsi="Times New Roman" w:eastAsia="楷体" w:cs="Times New Roman"/>
          <w:sz w:val="32"/>
          <w:szCs w:val="32"/>
          <w:lang w:eastAsia="zh-CN"/>
        </w:rPr>
        <w:t>）《广州市建设工程扬尘防治“6个100%”管理标准图集（V2.0版）》；</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（二十）</w:t>
      </w:r>
      <w:r>
        <w:rPr>
          <w:rFonts w:hint="default" w:ascii="Times New Roman" w:hAnsi="Times New Roman" w:eastAsia="楷体" w:cs="Times New Roman"/>
          <w:sz w:val="32"/>
          <w:szCs w:val="32"/>
          <w:lang w:eastAsia="zh-CN"/>
        </w:rPr>
        <w:t>国家、省、市其他有关安全生产的法律、法规、规范、标准文件。</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七、贯彻标准的要求和措施</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（一）贯彻标准的要求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lang w:eastAsia="zh-CN"/>
        </w:rPr>
        <w:t>建设工程应遵守国家和省、市的安全生产方针、政策、法律法规以及强制性标准等要求。</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2</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sz w:val="32"/>
          <w:szCs w:val="32"/>
          <w:lang w:eastAsia="zh-CN"/>
        </w:rPr>
        <w:t>建设工程应依据本标准内容开展安全生产标准化工作，建立安全生产标准管理体系并有效运行。</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3</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sz w:val="32"/>
          <w:szCs w:val="32"/>
          <w:lang w:eastAsia="zh-CN"/>
        </w:rPr>
        <w:t>参加广州市建设工程安全生产标准化管理水平评价的建设工程应具备以下条件：</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lang w:eastAsia="zh-CN"/>
        </w:rPr>
        <w:t>）已按《广州市建设工程安全文明施工规程》（DB4401/T 210）设置工地围墙、围挡、实施围闭管理，已合理分设办公区、生活区、施工作业区；</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eastAsia="zh-CN"/>
        </w:rPr>
      </w:pP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2</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lang w:eastAsia="zh-CN"/>
        </w:rPr>
        <w:t>已具有经审批的施工组织设计，已制定建设工程安全文明施工管理制度和分阶段实施方案（施工安全管理资料已按规定使用《广东省建筑施工安全管理资料统一用表》或《广东省市政基础设施工程安全管理资料统一用表》，并已建档、收集和整理；</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eastAsia="zh-CN"/>
        </w:rPr>
        <w:t>）劳务工资的发放已经实行省、市级建筑施工实名制管理以及工人工资支付分账管理的相关办法。建设工程已对劳务人员实施了三级教育，涵盖进场与上岗前的培训。按建设行政相关主管部门规定设立“农民工业余学校”；</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lang w:eastAsia="zh-CN"/>
        </w:rPr>
        <w:t>）已绘制现场消防平面图，并根据施工进度及时配置消防设施；施工用电的总配电系统和分配用电系统已经建立；</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lang w:eastAsia="zh-CN"/>
        </w:rPr>
        <w:t>）已建立安全文明管理架构，按照《建筑施工企业安全生产管理机构设置及专职安全生产管理人员配备办法》以及相关规定配备专职安全员；</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lang w:eastAsia="zh-CN"/>
        </w:rPr>
        <w:t>）已按《广州市住房和城乡建设局关于加强全市房屋建筑工程（含综合管廊）预防高处坠落安全管理工作的通知》（穗建质〔2024〕239号）落实防高坠样板建设。</w:t>
      </w:r>
    </w:p>
    <w:p>
      <w:pPr>
        <w:keepNext w:val="0"/>
        <w:keepLines w:val="0"/>
        <w:pageBreakBefore w:val="0"/>
        <w:wordWrap/>
        <w:overflowPunct/>
        <w:topLinePunct w:val="0"/>
        <w:bidi w:val="0"/>
        <w:snapToGrid w:val="0"/>
        <w:spacing w:line="576" w:lineRule="exact"/>
        <w:ind w:firstLine="646" w:firstLineChars="202"/>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（二）工作措施</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val="en-US" w:eastAsia="zh-CN"/>
        </w:rPr>
        <w:t>广州市建设工程</w:t>
      </w:r>
      <w:r>
        <w:rPr>
          <w:rFonts w:hint="default" w:ascii="Times New Roman" w:hAnsi="Times New Roman" w:eastAsia="仿宋" w:cs="Times New Roman"/>
          <w:snapToGrid/>
          <w:kern w:val="2"/>
          <w:sz w:val="32"/>
          <w:szCs w:val="32"/>
          <w:lang w:eastAsia="zh-CN"/>
        </w:rPr>
        <w:t>安全生产标准化管理水平评价工作分为</w:t>
      </w:r>
      <w:r>
        <w:rPr>
          <w:rFonts w:hint="default" w:ascii="Times New Roman" w:hAnsi="Times New Roman" w:eastAsia="仿宋" w:cs="Times New Roman"/>
          <w:snapToGrid/>
          <w:kern w:val="2"/>
          <w:sz w:val="32"/>
          <w:szCs w:val="32"/>
          <w:lang w:val="en-US" w:eastAsia="zh-CN"/>
        </w:rPr>
        <w:t>第一阶段</w:t>
      </w:r>
      <w:r>
        <w:rPr>
          <w:rFonts w:hint="default" w:ascii="Times New Roman" w:hAnsi="Times New Roman" w:eastAsia="仿宋" w:cs="Times New Roman"/>
          <w:snapToGrid/>
          <w:kern w:val="2"/>
          <w:sz w:val="32"/>
          <w:szCs w:val="32"/>
          <w:lang w:eastAsia="zh-CN"/>
        </w:rPr>
        <w:t>和</w:t>
      </w:r>
      <w:r>
        <w:rPr>
          <w:rFonts w:hint="default" w:ascii="Times New Roman" w:hAnsi="Times New Roman" w:eastAsia="仿宋" w:cs="Times New Roman"/>
          <w:snapToGrid/>
          <w:kern w:val="2"/>
          <w:sz w:val="32"/>
          <w:szCs w:val="32"/>
          <w:lang w:val="en-US" w:eastAsia="zh-CN"/>
        </w:rPr>
        <w:t>第二阶段</w:t>
      </w:r>
      <w:r>
        <w:rPr>
          <w:rFonts w:hint="default" w:ascii="Times New Roman" w:hAnsi="Times New Roman" w:eastAsia="仿宋" w:cs="Times New Roman"/>
          <w:snapToGrid/>
          <w:kern w:val="2"/>
          <w:sz w:val="32"/>
          <w:szCs w:val="32"/>
          <w:lang w:eastAsia="zh-CN"/>
        </w:rPr>
        <w:t>两个阶段进行，结合工程施工进度状况对生活区、办公区、施工区以及安全</w:t>
      </w:r>
      <w:r>
        <w:rPr>
          <w:rFonts w:hint="default" w:ascii="Times New Roman" w:hAnsi="Times New Roman" w:eastAsia="仿宋" w:cs="Times New Roman"/>
          <w:snapToGrid/>
          <w:color w:val="auto"/>
          <w:kern w:val="2"/>
          <w:sz w:val="32"/>
          <w:szCs w:val="32"/>
          <w:lang w:eastAsia="zh-CN"/>
        </w:rPr>
        <w:t>内业</w:t>
      </w:r>
      <w:r>
        <w:rPr>
          <w:rFonts w:hint="default" w:ascii="Times New Roman" w:hAnsi="Times New Roman" w:eastAsia="仿宋" w:cs="Times New Roman"/>
          <w:snapToGrid/>
          <w:kern w:val="2"/>
          <w:sz w:val="32"/>
          <w:szCs w:val="32"/>
          <w:lang w:eastAsia="zh-CN"/>
        </w:rPr>
        <w:t>资料进行动态综合检评并量化评分。</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val="en-US" w:eastAsia="zh-CN"/>
        </w:rPr>
        <w:t>1.广州市建设</w:t>
      </w:r>
      <w:r>
        <w:rPr>
          <w:rFonts w:hint="default" w:ascii="Times New Roman" w:hAnsi="Times New Roman" w:eastAsia="仿宋" w:cs="Times New Roman"/>
          <w:snapToGrid/>
          <w:kern w:val="2"/>
          <w:sz w:val="32"/>
          <w:szCs w:val="32"/>
          <w:lang w:eastAsia="zh-CN"/>
        </w:rPr>
        <w:t>工程安全生产标准化管理水平评价内容包括但不限于：</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1</w:t>
      </w:r>
      <w:r>
        <w:rPr>
          <w:rFonts w:hint="default" w:ascii="Times New Roman" w:hAnsi="Times New Roman" w:eastAsia="仿宋" w:cs="Times New Roman"/>
          <w:snapToGrid/>
          <w:kern w:val="2"/>
          <w:sz w:val="32"/>
          <w:szCs w:val="32"/>
          <w:lang w:eastAsia="zh-CN"/>
        </w:rPr>
        <w:t>）文明施工管理情况；</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2</w:t>
      </w:r>
      <w:r>
        <w:rPr>
          <w:rFonts w:hint="default" w:ascii="Times New Roman" w:hAnsi="Times New Roman" w:eastAsia="仿宋" w:cs="Times New Roman"/>
          <w:snapToGrid/>
          <w:kern w:val="2"/>
          <w:sz w:val="32"/>
          <w:szCs w:val="32"/>
          <w:lang w:eastAsia="zh-CN"/>
        </w:rPr>
        <w:t>）安全生产管理情况；</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3</w:t>
      </w:r>
      <w:r>
        <w:rPr>
          <w:rFonts w:hint="default" w:ascii="Times New Roman" w:hAnsi="Times New Roman" w:eastAsia="仿宋" w:cs="Times New Roman"/>
          <w:snapToGrid/>
          <w:kern w:val="2"/>
          <w:sz w:val="32"/>
          <w:szCs w:val="32"/>
          <w:lang w:eastAsia="zh-CN"/>
        </w:rPr>
        <w:t>）智慧工地建设情况；</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4</w:t>
      </w:r>
      <w:r>
        <w:rPr>
          <w:rFonts w:hint="default" w:ascii="Times New Roman" w:hAnsi="Times New Roman" w:eastAsia="仿宋" w:cs="Times New Roman"/>
          <w:snapToGrid/>
          <w:kern w:val="2"/>
          <w:sz w:val="32"/>
          <w:szCs w:val="32"/>
          <w:lang w:eastAsia="zh-CN"/>
        </w:rPr>
        <w:t>）防高坠样板引路建设情况；</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trike/>
          <w:color w:val="auto"/>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5</w:t>
      </w:r>
      <w:r>
        <w:rPr>
          <w:rFonts w:hint="default" w:ascii="Times New Roman" w:hAnsi="Times New Roman" w:eastAsia="仿宋" w:cs="Times New Roman"/>
          <w:snapToGrid/>
          <w:kern w:val="2"/>
          <w:sz w:val="32"/>
          <w:szCs w:val="32"/>
          <w:lang w:eastAsia="zh-CN"/>
        </w:rPr>
        <w:t>）其他与</w:t>
      </w:r>
      <w:r>
        <w:rPr>
          <w:rFonts w:hint="default" w:ascii="Times New Roman" w:hAnsi="Times New Roman" w:eastAsia="仿宋" w:cs="Times New Roman"/>
          <w:snapToGrid/>
          <w:kern w:val="2"/>
          <w:sz w:val="32"/>
          <w:szCs w:val="32"/>
          <w:lang w:val="en-US" w:eastAsia="zh-CN"/>
        </w:rPr>
        <w:t>建设</w:t>
      </w:r>
      <w:r>
        <w:rPr>
          <w:rFonts w:hint="default" w:ascii="Times New Roman" w:hAnsi="Times New Roman" w:eastAsia="仿宋" w:cs="Times New Roman"/>
          <w:snapToGrid/>
          <w:kern w:val="2"/>
          <w:sz w:val="32"/>
          <w:szCs w:val="32"/>
          <w:lang w:eastAsia="zh-CN"/>
        </w:rPr>
        <w:t>工程安全生产标准化相关的法律、法规、规范、标准管理要求。</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val="en-US" w:eastAsia="zh-CN"/>
        </w:rPr>
        <w:t>2.</w:t>
      </w:r>
      <w:r>
        <w:rPr>
          <w:rFonts w:hint="default" w:ascii="Times New Roman" w:hAnsi="Times New Roman" w:eastAsia="仿宋" w:cs="Times New Roman"/>
          <w:snapToGrid/>
          <w:kern w:val="2"/>
          <w:sz w:val="32"/>
          <w:szCs w:val="32"/>
          <w:lang w:eastAsia="zh-CN"/>
        </w:rPr>
        <w:t>安全生产标准化管理水平评价项目分为文明施工、安全生产、智慧工地以及防高坠样板引路建设等四个评价项目。其中，文明施工和安全生产两个评价项目的权重总分设为100分，智慧工地为附加分，防高坠样板引路建设不设评价分数。</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val="en-US" w:eastAsia="zh-CN"/>
        </w:rPr>
        <w:t>3.</w:t>
      </w:r>
      <w:r>
        <w:rPr>
          <w:rFonts w:hint="default" w:ascii="Times New Roman" w:hAnsi="Times New Roman" w:eastAsia="仿宋" w:cs="Times New Roman"/>
          <w:snapToGrid/>
          <w:kern w:val="2"/>
          <w:sz w:val="32"/>
          <w:szCs w:val="32"/>
          <w:lang w:eastAsia="zh-CN"/>
        </w:rPr>
        <w:t>文明施工评价分为现场围挡、封闭管理、施工场地、材料管理、现场办公与住宿、现场防火、综合治理、公示标牌、生活设施、社区服务以及资料管理等</w:t>
      </w:r>
      <w:r>
        <w:rPr>
          <w:rFonts w:hint="default" w:ascii="Times New Roman" w:hAnsi="Times New Roman" w:eastAsia="仿宋" w:cs="Times New Roman"/>
          <w:snapToGrid/>
          <w:kern w:val="2"/>
          <w:sz w:val="32"/>
          <w:szCs w:val="32"/>
          <w:lang w:val="en-US" w:eastAsia="zh-CN"/>
        </w:rPr>
        <w:t>多</w:t>
      </w:r>
      <w:r>
        <w:rPr>
          <w:rFonts w:hint="default" w:ascii="Times New Roman" w:hAnsi="Times New Roman" w:eastAsia="仿宋" w:cs="Times New Roman"/>
          <w:snapToGrid/>
          <w:kern w:val="2"/>
          <w:sz w:val="32"/>
          <w:szCs w:val="32"/>
          <w:lang w:eastAsia="zh-CN"/>
        </w:rPr>
        <w:t>个子评价项目，每个子评价项目应分为若干评价分项，评价分项能反映对应子评价项目的文明施工管理状况，并根据评价分项的重要程度设置相应的分项分，各分项分累计分构成该子评价项目的分数。</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val="en-US" w:eastAsia="zh-CN"/>
        </w:rPr>
        <w:t>4.</w:t>
      </w:r>
      <w:r>
        <w:rPr>
          <w:rFonts w:hint="default" w:ascii="Times New Roman" w:hAnsi="Times New Roman" w:eastAsia="仿宋" w:cs="Times New Roman"/>
          <w:snapToGrid/>
          <w:kern w:val="2"/>
          <w:sz w:val="32"/>
          <w:szCs w:val="32"/>
          <w:lang w:eastAsia="zh-CN"/>
        </w:rPr>
        <w:t>安全生产评价分为安全管理、脚手架、基坑工程、模板支架、高处作业、施工用电、物料提升机与施工升降机、地下暗挖与顶管工程、塔式起重机与起重吊装以及施工机具等</w:t>
      </w:r>
      <w:r>
        <w:rPr>
          <w:rFonts w:hint="default" w:ascii="Times New Roman" w:hAnsi="Times New Roman" w:eastAsia="仿宋" w:cs="Times New Roman"/>
          <w:snapToGrid/>
          <w:kern w:val="2"/>
          <w:sz w:val="32"/>
          <w:szCs w:val="32"/>
          <w:lang w:val="en-US" w:eastAsia="zh-CN"/>
        </w:rPr>
        <w:t>多</w:t>
      </w:r>
      <w:r>
        <w:rPr>
          <w:rFonts w:hint="default" w:ascii="Times New Roman" w:hAnsi="Times New Roman" w:eastAsia="仿宋" w:cs="Times New Roman"/>
          <w:snapToGrid/>
          <w:kern w:val="2"/>
          <w:sz w:val="32"/>
          <w:szCs w:val="32"/>
          <w:lang w:eastAsia="zh-CN"/>
        </w:rPr>
        <w:t>个子评价项目，每个子评价项目应分为若干评价分项，评价分项能反映对应子评价项目的安全生产管理状况，并根据评价分项的重要程度设置相应的分项分，各分项分累计分构成该子评价项目的分数。</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5</w:t>
      </w:r>
      <w:r>
        <w:rPr>
          <w:rFonts w:hint="default" w:ascii="Times New Roman" w:hAnsi="Times New Roman" w:eastAsia="仿宋" w:cs="Times New Roman"/>
          <w:snapToGrid/>
          <w:kern w:val="2"/>
          <w:sz w:val="32"/>
          <w:szCs w:val="32"/>
          <w:lang w:val="en-US" w:eastAsia="zh-CN"/>
        </w:rPr>
        <w:t>.建设</w:t>
      </w:r>
      <w:r>
        <w:rPr>
          <w:rFonts w:hint="default" w:ascii="Times New Roman" w:hAnsi="Times New Roman" w:eastAsia="仿宋" w:cs="Times New Roman"/>
          <w:snapToGrid/>
          <w:kern w:val="2"/>
          <w:sz w:val="32"/>
          <w:szCs w:val="32"/>
          <w:lang w:eastAsia="zh-CN"/>
        </w:rPr>
        <w:t>工程实施智慧工地可获得加分，加分上限为5分。</w:t>
      </w:r>
    </w:p>
    <w:p>
      <w:pPr>
        <w:keepNext w:val="0"/>
        <w:keepLines w:val="0"/>
        <w:pageBreakBefore w:val="0"/>
        <w:wordWrap/>
        <w:overflowPunct/>
        <w:topLinePunct w:val="0"/>
        <w:bidi w:val="0"/>
        <w:snapToGrid w:val="0"/>
        <w:spacing w:line="576" w:lineRule="exact"/>
        <w:ind w:firstLine="646" w:firstLineChars="202"/>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6</w:t>
      </w:r>
      <w:r>
        <w:rPr>
          <w:rFonts w:hint="default" w:ascii="Times New Roman" w:hAnsi="Times New Roman" w:eastAsia="仿宋" w:cs="Times New Roman"/>
          <w:snapToGrid/>
          <w:kern w:val="2"/>
          <w:sz w:val="32"/>
          <w:szCs w:val="32"/>
          <w:lang w:val="en-US" w:eastAsia="zh-CN"/>
        </w:rPr>
        <w:t>.建设</w:t>
      </w:r>
      <w:r>
        <w:rPr>
          <w:rFonts w:hint="default" w:ascii="Times New Roman" w:hAnsi="Times New Roman" w:eastAsia="仿宋" w:cs="Times New Roman"/>
          <w:snapToGrid/>
          <w:kern w:val="2"/>
          <w:sz w:val="32"/>
          <w:szCs w:val="32"/>
          <w:lang w:eastAsia="zh-CN"/>
        </w:rPr>
        <w:t>工程未及时设置防高坠样板引路或设置不符合要求，经整改仍不达标的，在安全生产标准化管理水平评价中予以一票否决。</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val="en-US" w:eastAsia="zh-CN"/>
        </w:rPr>
        <w:t>7.</w:t>
      </w:r>
      <w:r>
        <w:rPr>
          <w:rFonts w:hint="default" w:ascii="Times New Roman" w:hAnsi="Times New Roman" w:eastAsia="仿宋" w:cs="Times New Roman"/>
          <w:snapToGrid/>
          <w:kern w:val="2"/>
          <w:sz w:val="32"/>
          <w:szCs w:val="32"/>
          <w:lang w:eastAsia="zh-CN"/>
        </w:rPr>
        <w:t>不得对有下列情形之一的</w:t>
      </w:r>
      <w:r>
        <w:rPr>
          <w:rFonts w:hint="default" w:ascii="Times New Roman" w:hAnsi="Times New Roman" w:eastAsia="仿宋" w:cs="Times New Roman"/>
          <w:snapToGrid/>
          <w:kern w:val="2"/>
          <w:sz w:val="32"/>
          <w:szCs w:val="32"/>
          <w:highlight w:val="none"/>
          <w:lang w:eastAsia="zh-CN"/>
        </w:rPr>
        <w:t>建设</w:t>
      </w:r>
      <w:r>
        <w:rPr>
          <w:rFonts w:hint="default" w:ascii="Times New Roman" w:hAnsi="Times New Roman" w:eastAsia="仿宋" w:cs="Times New Roman"/>
          <w:snapToGrid/>
          <w:kern w:val="2"/>
          <w:sz w:val="32"/>
          <w:szCs w:val="32"/>
          <w:lang w:eastAsia="zh-CN"/>
        </w:rPr>
        <w:t>工程进行安全生产标准化管理水平评价：</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1</w:t>
      </w:r>
      <w:r>
        <w:rPr>
          <w:rFonts w:hint="default" w:ascii="Times New Roman" w:hAnsi="Times New Roman" w:eastAsia="仿宋" w:cs="Times New Roman"/>
          <w:snapToGrid/>
          <w:kern w:val="2"/>
          <w:sz w:val="32"/>
          <w:szCs w:val="32"/>
          <w:lang w:eastAsia="zh-CN"/>
        </w:rPr>
        <w:t>）发生过一般及以上生产安全责任事故、环保责任事故，被建设行政主管部门行政处罚且通报批评的；</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2</w:t>
      </w:r>
      <w:r>
        <w:rPr>
          <w:rFonts w:hint="default" w:ascii="Times New Roman" w:hAnsi="Times New Roman" w:eastAsia="仿宋" w:cs="Times New Roman"/>
          <w:snapToGrid/>
          <w:kern w:val="2"/>
          <w:sz w:val="32"/>
          <w:szCs w:val="32"/>
          <w:lang w:eastAsia="zh-CN"/>
        </w:rPr>
        <w:t>）因违反安全生产法律、法规、规章或强制性标准，存在生产安全重大事故隐患，或文明施工发生严重问题被建设行政主管部门行政处罚且通报批评的；</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3</w:t>
      </w:r>
      <w:r>
        <w:rPr>
          <w:rFonts w:hint="default" w:ascii="Times New Roman" w:hAnsi="Times New Roman" w:eastAsia="仿宋" w:cs="Times New Roman"/>
          <w:snapToGrid/>
          <w:kern w:val="2"/>
          <w:sz w:val="32"/>
          <w:szCs w:val="32"/>
          <w:lang w:eastAsia="zh-CN"/>
        </w:rPr>
        <w:t>）未按照住建部、省、市关于危险性较大的分部分项工程安全管理有关规定组织施工的；</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4</w:t>
      </w:r>
      <w:r>
        <w:rPr>
          <w:rFonts w:hint="default" w:ascii="Times New Roman" w:hAnsi="Times New Roman" w:eastAsia="仿宋" w:cs="Times New Roman"/>
          <w:snapToGrid/>
          <w:kern w:val="2"/>
          <w:sz w:val="32"/>
          <w:szCs w:val="32"/>
          <w:lang w:eastAsia="zh-CN"/>
        </w:rPr>
        <w:t>）违反城市建设管理规定，在一个年度内被市城管部门行政处罚达三次以上，且处罚金额累计达到或超过50万元的；</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napToGrid/>
          <w:kern w:val="2"/>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5</w:t>
      </w:r>
      <w:r>
        <w:rPr>
          <w:rFonts w:hint="default" w:ascii="Times New Roman" w:hAnsi="Times New Roman" w:eastAsia="仿宋" w:cs="Times New Roman"/>
          <w:snapToGrid/>
          <w:kern w:val="2"/>
          <w:sz w:val="32"/>
          <w:szCs w:val="32"/>
          <w:lang w:eastAsia="zh-CN"/>
        </w:rPr>
        <w:t>）未及时设置防高坠样板引路或设置不符合要求，经整改仍不达标的；</w:t>
      </w:r>
    </w:p>
    <w:p>
      <w:pPr>
        <w:keepNext w:val="0"/>
        <w:keepLines w:val="0"/>
        <w:pageBreakBefore w:val="0"/>
        <w:widowControl w:val="0"/>
        <w:kinsoku/>
        <w:wordWrap/>
        <w:overflowPunct/>
        <w:topLinePunct w:val="0"/>
        <w:autoSpaceDE/>
        <w:autoSpaceDN/>
        <w:bidi w:val="0"/>
        <w:adjustRightInd/>
        <w:snapToGrid w:val="0"/>
        <w:spacing w:line="576" w:lineRule="exact"/>
        <w:ind w:firstLine="646" w:firstLineChars="202"/>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napToGrid/>
          <w:kern w:val="2"/>
          <w:sz w:val="32"/>
          <w:szCs w:val="32"/>
          <w:lang w:eastAsia="zh-CN"/>
        </w:rPr>
        <w:t>（</w:t>
      </w:r>
      <w:r>
        <w:rPr>
          <w:rFonts w:hint="default" w:ascii="Times New Roman" w:hAnsi="Times New Roman" w:eastAsia="仿宋" w:cs="Times New Roman"/>
          <w:snapToGrid/>
          <w:kern w:val="2"/>
          <w:sz w:val="32"/>
          <w:szCs w:val="32"/>
          <w:lang w:val="en-US" w:eastAsia="zh-CN"/>
        </w:rPr>
        <w:t>6</w:t>
      </w:r>
      <w:r>
        <w:rPr>
          <w:rFonts w:hint="default" w:ascii="Times New Roman" w:hAnsi="Times New Roman" w:eastAsia="仿宋" w:cs="Times New Roman"/>
          <w:snapToGrid/>
          <w:kern w:val="2"/>
          <w:sz w:val="32"/>
          <w:szCs w:val="32"/>
          <w:lang w:eastAsia="zh-CN"/>
        </w:rPr>
        <w:t>）其他对社会造成恶劣影响的行为。</w:t>
      </w:r>
    </w:p>
    <w:p>
      <w:pPr>
        <w:spacing w:line="360" w:lineRule="auto"/>
        <w:ind w:firstLine="646" w:firstLineChars="202"/>
        <w:rPr>
          <w:rFonts w:hint="default" w:ascii="Times New Roman" w:hAnsi="Times New Roman" w:eastAsia="仿宋" w:cs="Times New Roman"/>
          <w:snapToGrid/>
          <w:kern w:val="2"/>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86DD9AB-6DB6-4E85-B6C5-1F5C93D26BC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微软雅黑"/>
    <w:panose1 w:val="02000000000000000000"/>
    <w:charset w:val="86"/>
    <w:family w:val="auto"/>
    <w:pitch w:val="default"/>
    <w:sig w:usb0="00000000" w:usb1="00000000" w:usb2="00000012" w:usb3="00000000" w:csb0="00040001" w:csb1="00000000"/>
    <w:embedRegular r:id="rId2" w:fontKey="{9A2D904A-05C2-4147-91FF-121CBE011845}"/>
  </w:font>
  <w:font w:name="微软雅黑">
    <w:panose1 w:val="020B0503020204020204"/>
    <w:charset w:val="86"/>
    <w:family w:val="auto"/>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embedRegular r:id="rId3" w:fontKey="{A41DA884-67E1-4E55-A2E8-24DACAAA4421}"/>
  </w:font>
  <w:font w:name="仿宋">
    <w:panose1 w:val="02010609060101010101"/>
    <w:charset w:val="86"/>
    <w:family w:val="auto"/>
    <w:pitch w:val="default"/>
    <w:sig w:usb0="800002BF" w:usb1="38CF7CFA" w:usb2="00000016" w:usb3="00000000" w:csb0="00040001" w:csb1="00000000"/>
    <w:embedRegular r:id="rId4" w:fontKey="{97FF94A6-D763-4BA6-9DE4-95D6AB1C2F21}"/>
  </w:font>
  <w:font w:name="仿宋_GB2312">
    <w:altName w:val="仿宋"/>
    <w:panose1 w:val="02010609030101010101"/>
    <w:charset w:val="86"/>
    <w:family w:val="auto"/>
    <w:pitch w:val="default"/>
    <w:sig w:usb0="00000000" w:usb1="00000000" w:usb2="00000000" w:usb3="00000000" w:csb0="00040000" w:csb1="00000000"/>
    <w:embedRegular r:id="rId5" w:fontKey="{1BA5295E-DC8D-4239-9DAF-AAC2C3F0004E}"/>
  </w:font>
  <w:font w:name="楷体">
    <w:panose1 w:val="02010609060101010101"/>
    <w:charset w:val="86"/>
    <w:family w:val="auto"/>
    <w:pitch w:val="default"/>
    <w:sig w:usb0="800002BF" w:usb1="38CF7CFA" w:usb2="00000016" w:usb3="00000000" w:csb0="00040001" w:csb1="00000000"/>
    <w:embedRegular r:id="rId6" w:fontKey="{09E05B60-DD90-4A68-AE1A-1F4CAA1618B1}"/>
  </w:font>
  <w:font w:name="方正楷体_GB2312">
    <w:altName w:val="宋体"/>
    <w:panose1 w:val="02000000000000000000"/>
    <w:charset w:val="86"/>
    <w:family w:val="auto"/>
    <w:pitch w:val="default"/>
    <w:sig w:usb0="00000000" w:usb1="00000000" w:usb2="00000012" w:usb3="00000000" w:csb0="00040001" w:csb1="00000000"/>
    <w:embedRegular r:id="rId7" w:fontKey="{5B07C5D5-0CE4-45D7-B144-C5C4B2678FBD}"/>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 w:name="KSO_WPS_MARK_KEY" w:val="73ae40ec-ca5a-4b8e-923a-c4e56d6155fd"/>
  </w:docVars>
  <w:rsids>
    <w:rsidRoot w:val="00000000"/>
    <w:rsid w:val="1283291B"/>
    <w:rsid w:val="1E6D2FD1"/>
    <w:rsid w:val="1F6C6795"/>
    <w:rsid w:val="253C703F"/>
    <w:rsid w:val="25B20AC1"/>
    <w:rsid w:val="2BDD2531"/>
    <w:rsid w:val="2E6B3628"/>
    <w:rsid w:val="2F3902D3"/>
    <w:rsid w:val="3B352877"/>
    <w:rsid w:val="4D10621F"/>
    <w:rsid w:val="6C104BFA"/>
    <w:rsid w:val="70495CA8"/>
    <w:rsid w:val="77041CF5"/>
    <w:rsid w:val="79FD2DAF"/>
    <w:rsid w:val="7BFB7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style>
  <w:style w:type="paragraph" w:styleId="5">
    <w:name w:val="toc 2"/>
    <w:basedOn w:val="1"/>
    <w:next w:val="1"/>
    <w:qFormat/>
    <w:uiPriority w:val="0"/>
    <w:pPr>
      <w:ind w:left="420" w:leftChars="200"/>
    </w:p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3694</Words>
  <Characters>3843</Characters>
  <Lines>0</Lines>
  <Paragraphs>0</Paragraphs>
  <TotalTime>9</TotalTime>
  <ScaleCrop>false</ScaleCrop>
  <LinksUpToDate>false</LinksUpToDate>
  <CharactersWithSpaces>3850</CharactersWithSpaces>
  <Application>WPS Office_11.1.0.12375_F1E327BC-269C-435d-A152-05C5408002CA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2024-12-16T03:12:00Z</dcterms:created>
  <dc:creator>HUAWEI</dc:creator>
  <cp:lastModifiedBy>开心小妞</cp:lastModifiedBy>
  <dcterms:modified xsi:type="dcterms:W3CDTF">2025-01-25T17:50:44Z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2052-11.1.0.12375</vt:lpwstr>
  </property>
  <property fmtid="{D5CDD505-2E9C-101B-9397-08002B2CF9AE}" pid="3" name="ICV">
    <vt:lpwstr>CEDFAB2DF32347CC9EBCABB0CDB935F0</vt:lpwstr>
  </property>
  <property fmtid="{D5CDD505-2E9C-101B-9397-08002B2CF9AE}" pid="4" name="KSOTemplateDocerSaveRecord">
    <vt:lpwstr>eyJoZGlkIjoiYzZhZDY2MzhjNDgzNzg5YzhiNjgwYTU4MDFmNjg0NTkiLCJ1c2VySWQiOiIzMjcwMDI1OTAifQ==</vt:lpwstr>
  </property>
</Properties>
</file>