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val="0"/>
        <w:snapToGrid w:val="0"/>
        <w:spacing w:line="720" w:lineRule="exact"/>
        <w:ind w:left="0" w:leftChars="0" w:firstLine="0" w:firstLineChars="0"/>
        <w:jc w:val="left"/>
        <w:textAlignment w:val="auto"/>
        <w:rPr>
          <w:rFonts w:hint="eastAsia" w:ascii="黑体" w:hAnsi="黑体" w:eastAsia="黑体" w:cs="宋体"/>
          <w:snapToGrid/>
          <w:kern w:val="2"/>
          <w:sz w:val="32"/>
          <w:szCs w:val="32"/>
          <w:lang w:val="en-US" w:eastAsia="zh-CN"/>
        </w:rPr>
      </w:pPr>
      <w:r>
        <w:rPr>
          <w:rFonts w:hint="eastAsia" w:ascii="黑体" w:hAnsi="黑体" w:eastAsia="黑体" w:cs="宋体"/>
          <w:snapToGrid/>
          <w:kern w:val="2"/>
          <w:sz w:val="32"/>
          <w:szCs w:val="32"/>
          <w:lang w:val="en-US" w:eastAsia="zh-CN"/>
        </w:rPr>
        <w:t>附件2</w:t>
      </w:r>
    </w:p>
    <w:p>
      <w:pPr>
        <w:widowControl w:val="0"/>
        <w:kinsoku/>
        <w:autoSpaceDE/>
        <w:autoSpaceDN/>
        <w:adjustRightInd w:val="0"/>
        <w:snapToGrid w:val="0"/>
        <w:spacing w:line="720" w:lineRule="exact"/>
        <w:ind w:left="0" w:leftChars="0" w:firstLine="0" w:firstLineChars="0"/>
        <w:jc w:val="left"/>
        <w:textAlignment w:val="auto"/>
        <w:rPr>
          <w:rFonts w:hint="eastAsia" w:ascii="黑体" w:hAnsi="黑体" w:eastAsia="黑体" w:cs="宋体"/>
          <w:snapToGrid/>
          <w:kern w:val="2"/>
          <w:sz w:val="32"/>
          <w:szCs w:val="32"/>
          <w:lang w:val="en-US" w:eastAsia="zh-CN"/>
        </w:rPr>
      </w:pPr>
    </w:p>
    <w:p>
      <w:pPr>
        <w:widowControl w:val="0"/>
        <w:kinsoku/>
        <w:autoSpaceDE/>
        <w:autoSpaceDN/>
        <w:adjustRightInd w:val="0"/>
        <w:snapToGrid w:val="0"/>
        <w:spacing w:line="720" w:lineRule="exact"/>
        <w:ind w:left="0" w:leftChars="0" w:firstLine="0" w:firstLineChars="0"/>
        <w:jc w:val="left"/>
        <w:textAlignment w:val="auto"/>
        <w:rPr>
          <w:rFonts w:hint="eastAsia" w:ascii="方正公文小标宋" w:hAnsi="方正公文小标宋" w:eastAsia="方正公文小标宋" w:cs="方正公文小标宋"/>
          <w:sz w:val="44"/>
          <w:szCs w:val="44"/>
        </w:rPr>
      </w:pPr>
    </w:p>
    <w:p>
      <w:pPr>
        <w:widowControl w:val="0"/>
        <w:kinsoku/>
        <w:autoSpaceDE/>
        <w:autoSpaceDN/>
        <w:adjustRightInd w:val="0"/>
        <w:snapToGrid w:val="0"/>
        <w:spacing w:line="720" w:lineRule="exact"/>
        <w:ind w:left="0" w:leftChars="0" w:firstLine="0" w:firstLineChars="0"/>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广州市建筑业联合会团体标准</w:t>
      </w:r>
    </w:p>
    <w:p>
      <w:pPr>
        <w:bidi w:val="0"/>
        <w:ind w:left="0" w:leftChars="0" w:firstLine="0" w:firstLineChars="0"/>
        <w:jc w:val="center"/>
        <w:outlineLvl w:val="9"/>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《房屋市政工程高空作业平台安全管理技术标准（征求意见稿）》</w:t>
      </w:r>
    </w:p>
    <w:p>
      <w:pPr>
        <w:bidi w:val="0"/>
        <w:ind w:left="0" w:leftChars="0" w:firstLine="0" w:firstLineChars="0"/>
        <w:jc w:val="center"/>
        <w:outlineLvl w:val="9"/>
        <w:rPr>
          <w:rFonts w:hint="eastAsia" w:ascii="方正公文小标宋" w:hAnsi="方正公文小标宋" w:eastAsia="方正公文小标宋" w:cs="方正公文小标宋"/>
          <w:sz w:val="44"/>
          <w:szCs w:val="44"/>
          <w:lang w:val="en-US" w:eastAsia="zh-CN"/>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bookmarkStart w:id="1" w:name="_GoBack"/>
      <w:r>
        <w:rPr>
          <w:rFonts w:hint="eastAsia" w:ascii="方正公文小标宋" w:hAnsi="方正公文小标宋" w:eastAsia="方正公文小标宋" w:cs="方正公文小标宋"/>
          <w:sz w:val="44"/>
          <w:szCs w:val="44"/>
        </w:rPr>
        <w:t>团体标准编制说明</w:t>
      </w:r>
      <w:bookmarkEnd w:id="1"/>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center"/>
        <w:outlineLvl w:val="9"/>
        <w:rPr>
          <w:rFonts w:hint="eastAsia" w:ascii="方正公文小标宋" w:hAnsi="方正公文小标宋" w:eastAsia="方正公文小标宋" w:cs="方正公文小标宋"/>
          <w:sz w:val="44"/>
          <w:szCs w:val="44"/>
        </w:rPr>
      </w:pPr>
    </w:p>
    <w:p>
      <w:pPr>
        <w:bidi w:val="0"/>
        <w:ind w:left="0" w:leftChars="0" w:firstLine="0" w:firstLineChars="0"/>
        <w:jc w:val="both"/>
        <w:outlineLvl w:val="9"/>
        <w:rPr>
          <w:rFonts w:hint="eastAsia" w:ascii="方正公文小标宋" w:hAnsi="方正公文小标宋" w:eastAsia="方正公文小标宋" w:cs="方正公文小标宋"/>
          <w:sz w:val="44"/>
          <w:szCs w:val="44"/>
        </w:rPr>
      </w:pPr>
    </w:p>
    <w:p>
      <w:pPr>
        <w:spacing w:line="560" w:lineRule="exact"/>
        <w:ind w:left="0" w:leftChars="0" w:firstLine="0" w:firstLineChars="0"/>
        <w:jc w:val="center"/>
        <w:rPr>
          <w:rFonts w:hint="eastAsia" w:ascii="Times New Roman" w:hAnsi="Times New Roman" w:eastAsia="仿宋" w:cs="仿宋"/>
          <w:sz w:val="32"/>
          <w:szCs w:val="24"/>
        </w:rPr>
      </w:pPr>
      <w:r>
        <w:rPr>
          <w:rFonts w:hint="eastAsia" w:ascii="Times New Roman" w:hAnsi="Times New Roman" w:eastAsia="仿宋" w:cs="仿宋"/>
          <w:sz w:val="32"/>
          <w:szCs w:val="24"/>
        </w:rPr>
        <w:t>20</w:t>
      </w:r>
      <w:r>
        <w:rPr>
          <w:rFonts w:hint="eastAsia" w:ascii="Times New Roman" w:hAnsi="Times New Roman" w:cs="仿宋"/>
          <w:sz w:val="32"/>
          <w:szCs w:val="24"/>
          <w:lang w:val="en-US" w:eastAsia="zh-CN"/>
        </w:rPr>
        <w:t>25</w:t>
      </w:r>
      <w:r>
        <w:rPr>
          <w:rFonts w:hint="eastAsia" w:ascii="Times New Roman" w:hAnsi="Times New Roman" w:eastAsia="仿宋" w:cs="仿宋"/>
          <w:sz w:val="32"/>
          <w:szCs w:val="24"/>
        </w:rPr>
        <w:t>年</w:t>
      </w:r>
      <w:r>
        <w:rPr>
          <w:rFonts w:hint="eastAsia" w:ascii="Times New Roman" w:hAnsi="Times New Roman" w:cs="仿宋"/>
          <w:sz w:val="32"/>
          <w:szCs w:val="24"/>
          <w:lang w:val="en-US" w:eastAsia="zh-CN"/>
        </w:rPr>
        <w:t>1</w:t>
      </w:r>
      <w:r>
        <w:rPr>
          <w:rFonts w:hint="eastAsia" w:ascii="Times New Roman" w:hAnsi="Times New Roman" w:eastAsia="仿宋" w:cs="仿宋"/>
          <w:sz w:val="32"/>
          <w:szCs w:val="24"/>
        </w:rPr>
        <w:t>月</w:t>
      </w:r>
    </w:p>
    <w:p>
      <w:pPr>
        <w:bidi w:val="0"/>
        <w:ind w:left="0" w:leftChars="0" w:firstLine="0" w:firstLineChars="0"/>
        <w:jc w:val="center"/>
        <w:outlineLvl w:val="9"/>
        <w:rPr>
          <w:rFonts w:hint="eastAsia" w:ascii="微软雅黑" w:hAnsi="微软雅黑" w:eastAsia="微软雅黑" w:cs="微软雅黑"/>
          <w:b w:val="0"/>
          <w:bCs w:val="0"/>
          <w:sz w:val="36"/>
          <w:szCs w:val="36"/>
          <w:lang w:val="en-US" w:eastAsia="zh-CN"/>
        </w:rPr>
      </w:pPr>
      <w:r>
        <w:rPr>
          <w:rFonts w:hint="eastAsia" w:ascii="Times New Roman" w:hAnsi="Times New Roman" w:eastAsia="仿宋" w:cs="仿宋"/>
          <w:sz w:val="32"/>
          <w:szCs w:val="24"/>
        </w:rPr>
        <w:t>团体标准起草工作组</w:t>
      </w:r>
    </w:p>
    <w:p>
      <w:pPr>
        <w:keepNext w:val="0"/>
        <w:keepLines w:val="0"/>
        <w:pageBreakBefore w:val="0"/>
        <w:wordWrap/>
        <w:overflowPunct/>
        <w:topLinePunct w:val="0"/>
        <w:bidi w:val="0"/>
        <w:snapToGrid w:val="0"/>
        <w:spacing w:line="576" w:lineRule="exact"/>
        <w:rPr>
          <w:rFonts w:hint="eastAsia" w:ascii="微软雅黑" w:hAnsi="微软雅黑" w:eastAsia="微软雅黑" w:cs="微软雅黑"/>
          <w:b w:val="0"/>
          <w:bCs w:val="0"/>
          <w:sz w:val="36"/>
          <w:szCs w:val="36"/>
          <w:lang w:val="en-US" w:eastAsia="zh-CN"/>
        </w:rPr>
      </w:pPr>
    </w:p>
    <w:p>
      <w:pPr>
        <w:keepNext w:val="0"/>
        <w:keepLines w:val="0"/>
        <w:pageBreakBefore w:val="0"/>
        <w:widowControl/>
        <w:numPr>
          <w:numId w:val="0"/>
        </w:numPr>
        <w:kinsoku w:val="0"/>
        <w:wordWrap/>
        <w:overflowPunct/>
        <w:topLinePunct w:val="0"/>
        <w:autoSpaceDE w:val="0"/>
        <w:autoSpaceDN w:val="0"/>
        <w:bidi w:val="0"/>
        <w:adjustRightInd w:val="0"/>
        <w:snapToGrid w:val="0"/>
        <w:spacing w:line="576" w:lineRule="exact"/>
        <w:ind w:firstLine="643" w:firstLineChars="200"/>
        <w:textAlignment w:val="baseline"/>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lang w:val="en-US" w:eastAsia="zh-CN"/>
        </w:rPr>
        <w:t>一、项目来源</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仿宋" w:hAnsi="仿宋" w:eastAsia="仿宋" w:cs="仿宋"/>
          <w:sz w:val="32"/>
          <w:szCs w:val="32"/>
          <w:lang w:val="en-US" w:eastAsia="zh-CN"/>
        </w:rPr>
      </w:pPr>
      <w:r>
        <w:rPr>
          <w:rFonts w:hint="eastAsia" w:ascii="仿宋" w:hAnsi="仿宋" w:eastAsia="仿宋" w:cs="仿宋"/>
          <w:snapToGrid w:val="0"/>
          <w:color w:val="000000"/>
          <w:kern w:val="0"/>
          <w:sz w:val="32"/>
          <w:szCs w:val="32"/>
          <w:lang w:val="en-US" w:eastAsia="zh-CN" w:bidi="ar"/>
        </w:rPr>
        <w:t>为贯彻落实《中华人民共和国标准化法》、《团体标准管理规定》(国标委联〔2019〕1 号)精神，进一步加强广州市建筑业联合会技术标准体系建设，建立健全联合会标准化工作机制，完善与国家标准、行业标准等协调互补的广州建筑行业团体标准体系，</w:t>
      </w:r>
      <w:r>
        <w:rPr>
          <w:rFonts w:hint="eastAsia" w:ascii="仿宋" w:hAnsi="仿宋" w:eastAsia="仿宋" w:cs="仿宋"/>
          <w:snapToGrid w:val="0"/>
          <w:color w:val="000000"/>
          <w:sz w:val="32"/>
          <w:szCs w:val="32"/>
          <w:lang w:val="en-US" w:eastAsia="zh-CN" w:bidi="ar-SA"/>
        </w:rPr>
        <w:t>组建标准编制组成员，开展广州市团体标准《房屋市政工程高空作业平台安全管理技术标准》的各项筹划编制工作。</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eastAsia" w:ascii="仿宋" w:hAnsi="仿宋" w:eastAsia="仿宋" w:cs="仿宋"/>
          <w:b/>
          <w:bCs/>
          <w:sz w:val="32"/>
          <w:szCs w:val="32"/>
          <w:lang w:val="en-US" w:eastAsia="zh-CN"/>
        </w:rPr>
      </w:pPr>
      <w:r>
        <w:rPr>
          <w:rFonts w:hint="eastAsia" w:ascii="仿宋" w:hAnsi="仿宋" w:eastAsia="仿宋" w:cs="仿宋"/>
          <w:snapToGrid/>
          <w:kern w:val="2"/>
          <w:sz w:val="32"/>
          <w:szCs w:val="32"/>
          <w:lang w:val="en-US" w:eastAsia="zh-CN"/>
        </w:rPr>
        <w:t>高空作业平台在房屋市政领域已广泛使用，属于高空危险作业，在高空作业平台使用过程中有可能因人、物、环、管产生潜在的不安全因素，给作业人员的生命安全带来威胁，影响公共安全。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76" w:lineRule="exact"/>
        <w:ind w:firstLine="643" w:firstLineChars="200"/>
        <w:textAlignment w:val="baseline"/>
        <w:rPr>
          <w:rFonts w:hint="eastAsia" w:ascii="Times New Roman" w:hAnsi="Times New Roman" w:eastAsia="黑体" w:cs="Times New Roman"/>
          <w:b/>
          <w:bCs/>
          <w:sz w:val="32"/>
          <w:szCs w:val="32"/>
          <w:lang w:val="en-US" w:eastAsia="zh-CN"/>
        </w:rPr>
      </w:pPr>
      <w:r>
        <w:rPr>
          <w:rFonts w:hint="eastAsia" w:ascii="Times New Roman" w:hAnsi="Times New Roman" w:eastAsia="黑体" w:cs="Times New Roman"/>
          <w:b/>
          <w:bCs/>
          <w:sz w:val="32"/>
          <w:szCs w:val="32"/>
          <w:lang w:val="en-US" w:eastAsia="zh-CN"/>
        </w:rPr>
        <w:t>二、项目背景</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当前建筑行业无高空作业平台安全管理技术标准，总结协会在工程项目高空作业平台工作中实践经验，参考《高空作业车》（GB/T 9465）、《移动式升降工作平台设计、计算、安全要求和试验方法》（GB/T 25849）等相关标准，标准编制组经认真调查研究，结合广州市实际情况，并在广泛征求意见的基础上，制定本标准。</w:t>
      </w:r>
    </w:p>
    <w:p>
      <w:pPr>
        <w:keepNext w:val="0"/>
        <w:keepLines w:val="0"/>
        <w:pageBreakBefore w:val="0"/>
        <w:numPr>
          <w:numId w:val="0"/>
        </w:numPr>
        <w:wordWrap/>
        <w:overflowPunct/>
        <w:topLinePunct w:val="0"/>
        <w:bidi w:val="0"/>
        <w:snapToGrid w:val="0"/>
        <w:spacing w:line="576" w:lineRule="exact"/>
        <w:ind w:leftChars="202"/>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lang w:val="en-US" w:eastAsia="zh-CN"/>
        </w:rPr>
        <w:t>三、本标准拟解决的关键问题</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贯彻“安全第一、预防为主、综合治理”的方针，提高广州市在高空作业平台安全管理水平，降低我市建设工程高空作业平台中的安全事故的发生。</w:t>
      </w:r>
    </w:p>
    <w:p>
      <w:pPr>
        <w:keepNext w:val="0"/>
        <w:keepLines w:val="0"/>
        <w:pageBreakBefore w:val="0"/>
        <w:numPr>
          <w:numId w:val="0"/>
        </w:numPr>
        <w:wordWrap/>
        <w:overflowPunct/>
        <w:topLinePunct w:val="0"/>
        <w:bidi w:val="0"/>
        <w:snapToGrid w:val="0"/>
        <w:spacing w:line="576" w:lineRule="exact"/>
        <w:ind w:leftChars="202"/>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lang w:val="en-US" w:eastAsia="zh-CN"/>
        </w:rPr>
        <w:t>四、编制过程</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在《房屋市政工程高空作业平台安全管理技术标准》的编制过程中，共组织开展4次专家组听证会、12次内部成员研讨会、1次广泛征求意见、5次标准化的框架调整，研讨单位约500多家企业，企业类型涵盖央企、国有企业以及民营企业等多种类型的企业，研讨及征求意见人数达1000余人次，最终形成本标准的定稿。</w:t>
      </w:r>
    </w:p>
    <w:p>
      <w:pPr>
        <w:keepNext w:val="0"/>
        <w:keepLines w:val="0"/>
        <w:pageBreakBefore w:val="0"/>
        <w:numPr>
          <w:ilvl w:val="0"/>
          <w:numId w:val="1"/>
        </w:numPr>
        <w:wordWrap/>
        <w:overflowPunct/>
        <w:topLinePunct w:val="0"/>
        <w:bidi w:val="0"/>
        <w:snapToGrid w:val="0"/>
        <w:spacing w:line="576" w:lineRule="exact"/>
        <w:ind w:left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标准主要内容的说明</w:t>
      </w:r>
    </w:p>
    <w:p>
      <w:pPr>
        <w:keepNext w:val="0"/>
        <w:keepLines w:val="0"/>
        <w:pageBreakBefore w:val="0"/>
        <w:widowControl/>
        <w:numPr>
          <w:numId w:val="0"/>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（一）适用范围</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本标准规定了高空作业平台作业的基本要求、使用与维护、检查与验收及安全管理要求。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本标准适用于房屋市政工程施工现场整机生产的高空作业平台安全管理。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（二）主要技术内容</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1.范围</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明确本标准的制定目的、适用范围和要求等。</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2.规范性引用文件</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本标准引用的规范文件。</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3.术语和定义</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专业名词解释。</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4.基本要求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明确高空作业平台需要的资质要求、技术档案、工作平台等相关要求。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5.使用与维护</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明确高空作业平台的作业要求、作业现场安全、维护要求、维护准备工作等内容及相关要求。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6.检查与验收</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明确高空作业平台的设备进场验收、操作人员验收、使用前验收、作业环境检查等内容及相关要求。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7.其他管理要求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明确高空作业平台安全要求、职责、作业方案、禁止行为等内容及相关要求。</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 xml:space="preserve">附录A </w:t>
      </w:r>
      <w:r>
        <w:rPr>
          <w:rFonts w:hint="default" w:ascii="Times New Roman" w:hAnsi="Times New Roman" w:eastAsia="仿宋" w:cs="Times New Roman"/>
          <w:snapToGrid w:val="0"/>
          <w:color w:val="000000"/>
          <w:kern w:val="0"/>
          <w:sz w:val="32"/>
          <w:szCs w:val="32"/>
          <w:lang w:val="zh-CN" w:eastAsia="zh-CN" w:bidi="ar"/>
        </w:rPr>
        <w:t>高</w:t>
      </w:r>
      <w:r>
        <w:rPr>
          <w:rFonts w:hint="default" w:ascii="Times New Roman" w:hAnsi="Times New Roman" w:eastAsia="仿宋" w:cs="Times New Roman"/>
          <w:snapToGrid w:val="0"/>
          <w:color w:val="000000"/>
          <w:kern w:val="0"/>
          <w:sz w:val="32"/>
          <w:szCs w:val="32"/>
          <w:lang w:val="en-US" w:eastAsia="zh-CN" w:bidi="ar"/>
        </w:rPr>
        <w:t>空</w:t>
      </w:r>
      <w:r>
        <w:rPr>
          <w:rFonts w:hint="default" w:ascii="Times New Roman" w:hAnsi="Times New Roman" w:eastAsia="仿宋" w:cs="Times New Roman"/>
          <w:snapToGrid w:val="0"/>
          <w:color w:val="000000"/>
          <w:kern w:val="0"/>
          <w:sz w:val="32"/>
          <w:szCs w:val="32"/>
          <w:lang w:val="zh-CN" w:eastAsia="zh-CN" w:bidi="ar"/>
        </w:rPr>
        <w:t>作业</w:t>
      </w:r>
      <w:r>
        <w:rPr>
          <w:rFonts w:hint="default" w:ascii="Times New Roman" w:hAnsi="Times New Roman" w:eastAsia="仿宋" w:cs="Times New Roman"/>
          <w:snapToGrid w:val="0"/>
          <w:color w:val="000000"/>
          <w:kern w:val="0"/>
          <w:sz w:val="32"/>
          <w:szCs w:val="32"/>
          <w:lang w:val="en-US" w:eastAsia="zh-CN" w:bidi="ar"/>
        </w:rPr>
        <w:t>平台验收表</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附录B 高空作业平台检查表</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 xml:space="preserve">附录C </w:t>
      </w:r>
      <w:r>
        <w:rPr>
          <w:rFonts w:hint="default" w:ascii="Times New Roman" w:hAnsi="Times New Roman" w:eastAsia="仿宋" w:cs="Times New Roman"/>
          <w:snapToGrid w:val="0"/>
          <w:color w:val="000000"/>
          <w:kern w:val="0"/>
          <w:sz w:val="32"/>
          <w:szCs w:val="32"/>
          <w:lang w:val="zh-CN" w:eastAsia="zh-CN" w:bidi="ar"/>
        </w:rPr>
        <w:t>高</w:t>
      </w:r>
      <w:r>
        <w:rPr>
          <w:rFonts w:hint="default" w:ascii="Times New Roman" w:hAnsi="Times New Roman" w:eastAsia="仿宋" w:cs="Times New Roman"/>
          <w:snapToGrid w:val="0"/>
          <w:color w:val="000000"/>
          <w:kern w:val="0"/>
          <w:sz w:val="32"/>
          <w:szCs w:val="32"/>
          <w:lang w:val="en-US" w:eastAsia="zh-CN" w:bidi="ar"/>
        </w:rPr>
        <w:t>空</w:t>
      </w:r>
      <w:r>
        <w:rPr>
          <w:rFonts w:hint="default" w:ascii="Times New Roman" w:hAnsi="Times New Roman" w:eastAsia="仿宋" w:cs="Times New Roman"/>
          <w:snapToGrid w:val="0"/>
          <w:color w:val="000000"/>
          <w:kern w:val="0"/>
          <w:sz w:val="32"/>
          <w:szCs w:val="32"/>
          <w:lang w:val="zh-CN" w:eastAsia="zh-CN" w:bidi="ar"/>
        </w:rPr>
        <w:t>作业</w:t>
      </w:r>
      <w:r>
        <w:rPr>
          <w:rFonts w:hint="default" w:ascii="Times New Roman" w:hAnsi="Times New Roman" w:eastAsia="仿宋" w:cs="Times New Roman"/>
          <w:snapToGrid w:val="0"/>
          <w:color w:val="000000"/>
          <w:kern w:val="0"/>
          <w:sz w:val="32"/>
          <w:szCs w:val="32"/>
          <w:lang w:val="en-US" w:eastAsia="zh-CN" w:bidi="ar"/>
        </w:rPr>
        <w:t>平台维护保养表</w:t>
      </w:r>
    </w:p>
    <w:p>
      <w:pPr>
        <w:keepNext w:val="0"/>
        <w:keepLines w:val="0"/>
        <w:pageBreakBefore w:val="0"/>
        <w:numPr>
          <w:numId w:val="0"/>
        </w:numPr>
        <w:wordWrap/>
        <w:overflowPunct/>
        <w:topLinePunct w:val="0"/>
        <w:bidi w:val="0"/>
        <w:snapToGrid w:val="0"/>
        <w:spacing w:line="576" w:lineRule="exact"/>
        <w:ind w:left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六、标准参考的文献资料</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GB/T 3608 高处作业分级</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GB/T 9465 高空作业车</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GB/T 25849 移动式升降工作平台设计、计算、安全要求和试验方法</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 27695 汽车举升机安全规程</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 6095 坠落防护安全带</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GB 2811 头部防护安全帽</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JGJ 80 建筑施工高处作业安全技术规范</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JGJ/T 46 建筑与市政工程施工现场临时用电安全技术标准</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JGJ 59 建筑施工安全检查标准</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eastAsia" w:ascii="Times New Roman" w:hAnsi="Times New Roman" w:eastAsia="仿宋" w:cs="Times New Roman"/>
          <w:snapToGrid w:val="0"/>
          <w:color w:val="000000"/>
          <w:kern w:val="0"/>
          <w:sz w:val="32"/>
          <w:szCs w:val="32"/>
          <w:lang w:val="en-US" w:eastAsia="zh-CN" w:bidi="ar"/>
        </w:rPr>
      </w:pPr>
      <w:r>
        <w:rPr>
          <w:rFonts w:hint="eastAsia" w:ascii="Times New Roman" w:hAnsi="Times New Roman" w:eastAsia="仿宋" w:cs="Times New Roman"/>
          <w:snapToGrid w:val="0"/>
          <w:color w:val="000000"/>
          <w:kern w:val="0"/>
          <w:sz w:val="32"/>
          <w:szCs w:val="32"/>
          <w:lang w:val="en-US" w:eastAsia="zh-CN" w:bidi="ar"/>
        </w:rPr>
        <w:t>JGJ 160 施工现场机械设备检查技术规范</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七、贯彻标准的要求和措施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（一）贯彻标准的要求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napToGrid/>
          <w:kern w:val="2"/>
          <w:sz w:val="32"/>
          <w:szCs w:val="32"/>
          <w:lang w:val="en-US" w:eastAsia="zh-CN"/>
        </w:rPr>
      </w:pPr>
      <w:r>
        <w:rPr>
          <w:rFonts w:hint="default" w:ascii="Times New Roman" w:hAnsi="Times New Roman" w:eastAsia="仿宋" w:cs="Times New Roman"/>
          <w:snapToGrid/>
          <w:kern w:val="2"/>
          <w:sz w:val="32"/>
          <w:szCs w:val="32"/>
          <w:lang w:val="en-US" w:eastAsia="zh-CN"/>
        </w:rPr>
        <w:t>1.工程项目应遵守国家和省、市的安全生产方针、政策、法律法规以及强制性标准等要求。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napToGrid/>
          <w:kern w:val="2"/>
          <w:sz w:val="32"/>
          <w:szCs w:val="32"/>
          <w:lang w:val="en-US" w:eastAsia="zh-CN"/>
        </w:rPr>
      </w:pPr>
      <w:r>
        <w:rPr>
          <w:rFonts w:hint="default" w:ascii="Times New Roman" w:hAnsi="Times New Roman" w:eastAsia="仿宋" w:cs="Times New Roman"/>
          <w:snapToGrid/>
          <w:kern w:val="2"/>
          <w:sz w:val="32"/>
          <w:szCs w:val="32"/>
          <w:lang w:val="en-US" w:eastAsia="zh-CN"/>
        </w:rPr>
        <w:t>2.工程项目应依据本安全管理技术标准内容开展高空作业平台安全管理，建立防高空作业平台事故应急预案并有效运行。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（二）工作措施</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eastAsia" w:ascii="Times New Roman" w:hAnsi="Times New Roman" w:eastAsia="仿宋" w:cs="Times New Roman"/>
          <w:snapToGrid/>
          <w:kern w:val="2"/>
          <w:sz w:val="32"/>
          <w:szCs w:val="32"/>
          <w:lang w:val="en-US" w:eastAsia="zh-CN"/>
        </w:rPr>
      </w:pPr>
      <w:r>
        <w:rPr>
          <w:rFonts w:hint="eastAsia" w:ascii="Times New Roman" w:hAnsi="Times New Roman" w:eastAsia="仿宋" w:cs="Times New Roman"/>
          <w:snapToGrid/>
          <w:kern w:val="2"/>
          <w:sz w:val="32"/>
          <w:szCs w:val="32"/>
          <w:lang w:val="en-US" w:eastAsia="zh-CN"/>
        </w:rPr>
        <w:t>工程项目应依照《房屋市政工程高空作业平台安全管理技术标准》的要求对高空作业平台的资质要求、技术档案、工作平台、作业要求、作业现场安全、维护要求、维护准备工作、设备进场验收、操作人员验收、使用前验收、作业环境检查、其他安全要求、职责、作业方案、禁止行为等进行管理。</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八、标准性质的建议说明</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eastAsia" w:ascii="Times New Roman" w:hAnsi="Times New Roman" w:eastAsia="仿宋" w:cs="Times New Roman"/>
          <w:snapToGrid/>
          <w:kern w:val="2"/>
          <w:sz w:val="32"/>
          <w:szCs w:val="32"/>
          <w:lang w:val="en-US" w:eastAsia="zh-CN"/>
        </w:rPr>
      </w:pPr>
      <w:r>
        <w:rPr>
          <w:rFonts w:hint="eastAsia" w:ascii="Times New Roman" w:hAnsi="Times New Roman" w:eastAsia="仿宋" w:cs="Times New Roman"/>
          <w:snapToGrid/>
          <w:kern w:val="2"/>
          <w:sz w:val="32"/>
          <w:szCs w:val="32"/>
          <w:lang w:val="en-US" w:eastAsia="zh-CN"/>
        </w:rPr>
        <w:t>本标准为团体标准，供社会各界自愿使用。</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九、废止现行相关标准的建议</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eastAsia" w:ascii="Times New Roman" w:hAnsi="Times New Roman" w:eastAsia="仿宋" w:cs="Times New Roman"/>
          <w:snapToGrid/>
          <w:kern w:val="2"/>
          <w:sz w:val="32"/>
          <w:szCs w:val="32"/>
          <w:lang w:val="en-US" w:eastAsia="zh-CN"/>
        </w:rPr>
      </w:pPr>
      <w:r>
        <w:rPr>
          <w:rFonts w:hint="eastAsia" w:ascii="Times New Roman" w:hAnsi="Times New Roman" w:eastAsia="仿宋" w:cs="Times New Roman"/>
          <w:snapToGrid/>
          <w:kern w:val="2"/>
          <w:sz w:val="32"/>
          <w:szCs w:val="32"/>
          <w:lang w:val="en-US" w:eastAsia="zh-CN"/>
        </w:rPr>
        <w:t>本标准为首次发布。</w:t>
      </w:r>
    </w:p>
    <w:p>
      <w:pPr>
        <w:pStyle w:val="2"/>
        <w:bidi w:val="0"/>
        <w:outlineLvl w:val="0"/>
        <w:rPr>
          <w:rFonts w:hint="default" w:ascii="Times New Roman" w:hAnsi="Times New Roman" w:cs="Times New Roman"/>
          <w:sz w:val="32"/>
        </w:rPr>
      </w:pPr>
      <w:bookmarkStart w:id="0" w:name="_Toc4438"/>
      <w:r>
        <w:rPr>
          <w:rFonts w:hint="default" w:ascii="Times New Roman" w:hAnsi="Times New Roman" w:cs="Times New Roman"/>
          <w:sz w:val="32"/>
        </w:rPr>
        <w:t>十、其他应予说明的事项</w:t>
      </w:r>
      <w:bookmarkEnd w:id="0"/>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eastAsia" w:ascii="Times New Roman" w:hAnsi="Times New Roman" w:eastAsia="仿宋" w:cs="Times New Roman"/>
          <w:snapToGrid/>
          <w:kern w:val="2"/>
          <w:sz w:val="32"/>
          <w:szCs w:val="32"/>
          <w:lang w:val="en-US" w:eastAsia="zh-CN"/>
        </w:rPr>
      </w:pPr>
      <w:r>
        <w:rPr>
          <w:rFonts w:hint="eastAsia" w:ascii="Times New Roman" w:hAnsi="Times New Roman" w:eastAsia="仿宋" w:cs="Times New Roman"/>
          <w:snapToGrid/>
          <w:kern w:val="2"/>
          <w:sz w:val="32"/>
          <w:szCs w:val="32"/>
          <w:lang w:val="en-US" w:eastAsia="zh-CN"/>
        </w:rPr>
        <w:t>本标准在制定过程中，充分考虑了广州市</w:t>
      </w:r>
      <w:r>
        <w:rPr>
          <w:rFonts w:hint="eastAsia" w:ascii="Times New Roman" w:hAnsi="Times New Roman" w:eastAsia="仿宋" w:cs="Times New Roman"/>
          <w:snapToGrid w:val="0"/>
          <w:color w:val="000000"/>
          <w:kern w:val="0"/>
          <w:sz w:val="32"/>
          <w:szCs w:val="32"/>
          <w:lang w:val="en-US" w:eastAsia="zh-CN" w:bidi="ar"/>
        </w:rPr>
        <w:t>房屋市政工程高空作业平台</w:t>
      </w:r>
      <w:r>
        <w:rPr>
          <w:rFonts w:hint="eastAsia" w:ascii="Times New Roman" w:hAnsi="Times New Roman" w:eastAsia="仿宋" w:cs="Times New Roman"/>
          <w:snapToGrid/>
          <w:kern w:val="2"/>
          <w:sz w:val="32"/>
          <w:szCs w:val="32"/>
          <w:lang w:val="en-US" w:eastAsia="zh-CN"/>
        </w:rPr>
        <w:t>的特点和需求，确保标准具有安全性、实用性和可操作性。</w:t>
      </w:r>
    </w:p>
    <w:p>
      <w:pPr>
        <w:keepNext w:val="0"/>
        <w:keepLines w:val="0"/>
        <w:pageBreakBefore w:val="0"/>
        <w:wordWrap/>
        <w:overflowPunct/>
        <w:topLinePunct w:val="0"/>
        <w:bidi w:val="0"/>
        <w:snapToGrid w:val="0"/>
        <w:spacing w:line="576" w:lineRule="exact"/>
        <w:rPr>
          <w:rFonts w:hint="default" w:ascii="Times New Roman" w:hAnsi="Times New Roman" w:eastAsia="黑体" w:cs="Times New Roman"/>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40E9B52-FD01-4E00-A6C1-9848C4DECA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2" w:fontKey="{F7912594-50FA-4328-8656-B65005DF284D}"/>
  </w:font>
  <w:font w:name="仿宋_GB2312">
    <w:panose1 w:val="0201060903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embedRegular r:id="rId3" w:fontKey="{E9ADEE03-598E-4613-87C7-3C4CB7E523B1}"/>
  </w:font>
  <w:font w:name="方正公文小标宋">
    <w:altName w:val="方正公文小标宋"/>
    <w:panose1 w:val="02000500000000000000"/>
    <w:charset w:val="86"/>
    <w:family w:val="auto"/>
    <w:pitch w:val="default"/>
    <w:sig w:usb0="A00002BF" w:usb1="38CF7CFA" w:usb2="00000016" w:usb3="00000000" w:csb0="00040001" w:csb1="00000000"/>
    <w:embedRegular r:id="rId4" w:fontKey="{3738ECC0-03ED-4704-9082-6012764C6867}"/>
  </w:font>
  <w:font w:name="方正仿宋简体">
    <w:altName w:val="方正仿宋简体"/>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 w:name="Microsoft YaHei UI Light">
    <w:panose1 w:val="020B0502040204020203"/>
    <w:charset w:val="86"/>
    <w:family w:val="auto"/>
    <w:pitch w:val="default"/>
    <w:sig w:usb0="80000287" w:usb1="2ACF0010" w:usb2="00000016" w:usb3="00000000" w:csb0="0004001F" w:csb1="00000000"/>
  </w:font>
  <w:font w:name="Yu Gothic UI Semilight">
    <w:panose1 w:val="020B0400000000000000"/>
    <w:charset w:val="80"/>
    <w:family w:val="auto"/>
    <w:pitch w:val="default"/>
    <w:sig w:usb0="E00002FF" w:usb1="2AC7FDFF" w:usb2="00000016" w:usb3="00000000" w:csb0="2002009F" w:csb1="00000000"/>
  </w:font>
  <w:font w:name="Arial Narrow">
    <w:panose1 w:val="020B0606020202030204"/>
    <w:charset w:val="00"/>
    <w:family w:val="auto"/>
    <w:pitch w:val="default"/>
    <w:sig w:usb0="00000287" w:usb1="00000800" w:usb2="00000000" w:usb3="00000000" w:csb0="2000009F" w:csb1="DFD70000"/>
  </w:font>
  <w:font w:name="Bahnschrift Light Condensed">
    <w:panose1 w:val="020B0502040204020203"/>
    <w:charset w:val="00"/>
    <w:family w:val="auto"/>
    <w:pitch w:val="default"/>
    <w:sig w:usb0="A00002C7" w:usb1="00000002" w:usb2="00000000" w:usb3="00000000" w:csb0="2000019F" w:csb1="00000000"/>
  </w:font>
  <w:font w:name="Bahnschrift Light">
    <w:panose1 w:val="020B0502040204020203"/>
    <w:charset w:val="00"/>
    <w:family w:val="auto"/>
    <w:pitch w:val="default"/>
    <w:sig w:usb0="A00002C7" w:usb1="00000002" w:usb2="00000000" w:usb3="00000000" w:csb0="2000019F" w:csb1="00000000"/>
  </w:font>
  <w:font w:name="楷体">
    <w:panose1 w:val="02010609060101010101"/>
    <w:charset w:val="86"/>
    <w:family w:val="auto"/>
    <w:pitch w:val="default"/>
    <w:sig w:usb0="800002BF" w:usb1="38CF7CFA" w:usb2="00000016" w:usb3="00000000" w:csb0="00040001" w:csb1="00000000"/>
    <w:embedRegular r:id="rId5" w:fontKey="{284855CD-1E95-4B32-9D77-6B516A065F77}"/>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华文琥珀">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汉仪中黑 197">
    <w:panose1 w:val="00020600040101010101"/>
    <w:charset w:val="86"/>
    <w:family w:val="auto"/>
    <w:pitch w:val="default"/>
    <w:sig w:usb0="A00002BF" w:usb1="18EF7CFA" w:usb2="00000016" w:usb3="00000000" w:csb0="0004009F" w:csb1="00000000"/>
  </w:font>
  <w:font w:name="幼圆">
    <w:panose1 w:val="0201050906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7906B6"/>
    <w:multiLevelType w:val="singleLevel"/>
    <w:tmpl w:val="FA7906B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KSO_WPS_MARK_KEY" w:val="caaa7bc2-8bcf-4574-b04c-196a50797f7c"/>
  </w:docVars>
  <w:rsids>
    <w:rsidRoot w:val="00000000"/>
    <w:rsid w:val="039D1F42"/>
    <w:rsid w:val="05653478"/>
    <w:rsid w:val="065C2C70"/>
    <w:rsid w:val="0E00097A"/>
    <w:rsid w:val="128066BC"/>
    <w:rsid w:val="190B50EC"/>
    <w:rsid w:val="20126207"/>
    <w:rsid w:val="30956261"/>
    <w:rsid w:val="408A2001"/>
    <w:rsid w:val="4C3B7C20"/>
    <w:rsid w:val="54BE06F3"/>
    <w:rsid w:val="554962AB"/>
    <w:rsid w:val="66FA4FCB"/>
    <w:rsid w:val="67F65BEC"/>
    <w:rsid w:val="6D5B09CB"/>
    <w:rsid w:val="797F4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2"/>
    <w:basedOn w:val="1"/>
    <w:next w:val="1"/>
    <w:unhideWhenUsed/>
    <w:qFormat/>
    <w:uiPriority w:val="0"/>
    <w:pPr>
      <w:keepNext/>
      <w:keepLines/>
      <w:spacing w:beforeLines="0" w:beforeAutospacing="0" w:afterLines="0" w:afterAutospacing="0" w:line="240" w:lineRule="auto"/>
      <w:ind w:firstLine="880" w:firstLineChars="200"/>
      <w:outlineLvl w:val="1"/>
    </w:pPr>
    <w:rPr>
      <w:rFonts w:ascii="Arial" w:hAnsi="Arial" w:eastAsia="黑体"/>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1434</Words>
  <Characters>1512</Characters>
  <Lines>0</Lines>
  <Paragraphs>0</Paragraphs>
  <TotalTime>1</TotalTime>
  <ScaleCrop>false</ScaleCrop>
  <LinksUpToDate>false</LinksUpToDate>
  <CharactersWithSpaces>1554</CharactersWithSpaces>
  <Application>WPS Office_11.1.0.12375_F1E327BC-269C-435d-A152-05C5408002CA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2025-01-21T06:18:00Z</dcterms:created>
  <dc:creator>张耀平</dc:creator>
  <cp:lastModifiedBy>开心小妞</cp:lastModifiedBy>
  <dcterms:modified xsi:type="dcterms:W3CDTF">2025-01-25T15:24:56Z</dcterms:modified>
  <dc:subject>房屋市政工程高空作业平台安全管理技术标准编写内容</dc:subject>
  <dc:title>房屋市政工程高空作业平台安全管理技术标准编写内容</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2052-11.1.0.12375</vt:lpwstr>
  </property>
  <property fmtid="{D5CDD505-2E9C-101B-9397-08002B2CF9AE}" pid="3" name="KSOTemplateDocerSaveRecord">
    <vt:lpwstr>eyJoZGlkIjoiZjVhNTI2NGRlMzlmMzRkNTg0ZjNiYWJhM2FiNDFlY2MiLCJ1c2VySWQiOiIzNTM0NDgzMjkifQ==</vt:lpwstr>
  </property>
  <property fmtid="{D5CDD505-2E9C-101B-9397-08002B2CF9AE}" pid="4" name="ICV">
    <vt:lpwstr>74071A2D21A742908A7FF5F07E600CD1</vt:lpwstr>
  </property>
</Properties>
</file>