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val="0"/>
        <w:numPr>
          <w:ilvl w:val="0"/>
          <w:numId w:val="0"/>
        </w:numPr>
        <w:spacing w:line="560" w:lineRule="exact"/>
        <w:jc w:val="both"/>
        <w:textAlignment w:val="center"/>
        <w:rPr>
          <w:rFonts w:hint="eastAsia" w:ascii="黑体" w:hAnsi="黑体" w:eastAsia="黑体" w:cs="黑体"/>
          <w:sz w:val="32"/>
          <w:szCs w:val="32"/>
          <w:lang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1</w:t>
      </w:r>
    </w:p>
    <w:p>
      <w:pPr>
        <w:pStyle w:val="4"/>
        <w:widowControl w:val="0"/>
        <w:spacing w:line="560" w:lineRule="exact"/>
        <w:ind w:firstLine="880" w:firstLineChars="200"/>
        <w:jc w:val="center"/>
        <w:textAlignment w:val="center"/>
        <w:rPr>
          <w:rFonts w:hint="eastAsia" w:ascii="方正小标宋简体" w:hAnsi="方正小标宋简体" w:eastAsia="方正小标宋简体" w:cs="方正小标宋简体"/>
          <w:sz w:val="44"/>
          <w:szCs w:val="44"/>
          <w:lang w:val="en-US" w:eastAsia="zh-CN"/>
        </w:rPr>
      </w:pPr>
    </w:p>
    <w:p>
      <w:pPr>
        <w:pStyle w:val="4"/>
        <w:widowControl w:val="0"/>
        <w:spacing w:line="560" w:lineRule="exact"/>
        <w:ind w:firstLine="880" w:firstLineChars="200"/>
        <w:jc w:val="center"/>
        <w:textAlignment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羽毛球</w:t>
      </w:r>
      <w:r>
        <w:rPr>
          <w:rFonts w:hint="eastAsia" w:ascii="方正小标宋简体" w:hAnsi="方正小标宋简体" w:eastAsia="方正小标宋简体" w:cs="方正小标宋简体"/>
          <w:sz w:val="44"/>
          <w:szCs w:val="44"/>
        </w:rPr>
        <w:t>比赛相关要求</w:t>
      </w:r>
    </w:p>
    <w:p>
      <w:pPr>
        <w:pStyle w:val="4"/>
        <w:widowControl w:val="0"/>
        <w:spacing w:line="560" w:lineRule="exact"/>
        <w:ind w:firstLine="880" w:firstLineChars="200"/>
        <w:jc w:val="center"/>
        <w:textAlignment w:val="center"/>
        <w:rPr>
          <w:rFonts w:hint="eastAsia" w:ascii="方正小标宋_GBK" w:hAnsi="方正小标宋_GBK" w:eastAsia="方正小标宋_GBK" w:cs="方正小标宋_GBK"/>
          <w:sz w:val="44"/>
          <w:szCs w:val="44"/>
        </w:rPr>
      </w:pP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一</w:t>
      </w:r>
      <w:r>
        <w:rPr>
          <w:rFonts w:hint="eastAsia" w:ascii="黑体" w:hAnsi="黑体" w:eastAsia="黑体" w:cs="黑体"/>
          <w:sz w:val="32"/>
          <w:szCs w:val="32"/>
          <w:lang w:eastAsia="zh-CN"/>
        </w:rPr>
        <w:t>、</w:t>
      </w:r>
      <w:r>
        <w:rPr>
          <w:rFonts w:hint="eastAsia" w:ascii="黑体" w:hAnsi="黑体" w:eastAsia="黑体" w:cs="黑体"/>
          <w:sz w:val="32"/>
          <w:szCs w:val="32"/>
        </w:rPr>
        <w:t>参赛</w:t>
      </w:r>
      <w:r>
        <w:rPr>
          <w:rFonts w:hint="eastAsia" w:ascii="黑体" w:hAnsi="黑体" w:eastAsia="黑体" w:cs="黑体"/>
          <w:sz w:val="32"/>
          <w:szCs w:val="32"/>
          <w:lang w:val="en-US" w:eastAsia="zh-CN"/>
        </w:rPr>
        <w:t>对象</w:t>
      </w:r>
      <w:r>
        <w:rPr>
          <w:rFonts w:hint="eastAsia" w:ascii="黑体" w:hAnsi="黑体" w:eastAsia="黑体" w:cs="黑体"/>
          <w:sz w:val="32"/>
          <w:szCs w:val="32"/>
        </w:rPr>
        <w:t>及报名</w:t>
      </w:r>
      <w:r>
        <w:rPr>
          <w:rFonts w:hint="eastAsia" w:ascii="黑体" w:hAnsi="黑体" w:eastAsia="黑体" w:cs="黑体"/>
          <w:sz w:val="32"/>
          <w:szCs w:val="32"/>
          <w:lang w:val="en-US" w:eastAsia="zh-CN"/>
        </w:rPr>
        <w:t>方式</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val="en-US" w:eastAsia="zh-CN"/>
        </w:rPr>
        <w:t>广州市建筑业联合会会员单位</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（二）报名</w:t>
      </w:r>
      <w:r>
        <w:rPr>
          <w:rFonts w:hint="eastAsia" w:ascii="仿宋_GB2312" w:hAnsi="仿宋_GB2312" w:eastAsia="仿宋_GB2312" w:cs="仿宋_GB2312"/>
          <w:sz w:val="32"/>
          <w:szCs w:val="32"/>
          <w:lang w:val="en-US" w:eastAsia="zh-CN"/>
        </w:rPr>
        <w:t>方式</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共24支队伍，名额先到先得。</w:t>
      </w:r>
      <w:r>
        <w:rPr>
          <w:rFonts w:hint="eastAsia" w:ascii="仿宋_GB2312" w:hAnsi="仿宋_GB2312" w:eastAsia="仿宋_GB2312" w:cs="仿宋_GB2312"/>
          <w:sz w:val="32"/>
          <w:szCs w:val="32"/>
        </w:rPr>
        <w:t>每个参赛</w:t>
      </w:r>
      <w:r>
        <w:rPr>
          <w:rFonts w:hint="eastAsia" w:ascii="仿宋_GB2312" w:hAnsi="仿宋_GB2312" w:eastAsia="仿宋_GB2312" w:cs="仿宋_GB2312"/>
          <w:sz w:val="32"/>
          <w:szCs w:val="32"/>
          <w:lang w:val="en-US" w:eastAsia="zh-CN"/>
        </w:rPr>
        <w:t>队伍</w:t>
      </w:r>
      <w:r>
        <w:rPr>
          <w:rFonts w:hint="eastAsia" w:ascii="仿宋_GB2312" w:hAnsi="仿宋_GB2312" w:eastAsia="仿宋_GB2312" w:cs="仿宋_GB2312"/>
          <w:sz w:val="32"/>
          <w:szCs w:val="32"/>
        </w:rPr>
        <w:t>可报领队1名，教练1名，运动员</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名（领队、教练兼运动员的，必须在运动员名单中占用名额，运动员不能兼项）。</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（三）运动员资格：</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单位职工（含劳务派遣人员）和班组工人。参赛人员不得冒名顶替、弄虚作假，需向主办方提供相关证明（</w:t>
      </w:r>
      <w:r>
        <w:rPr>
          <w:rFonts w:hint="eastAsia" w:ascii="仿宋_GB2312" w:hAnsi="仿宋_GB2312" w:eastAsia="仿宋_GB2312" w:cs="仿宋_GB2312"/>
          <w:sz w:val="32"/>
          <w:szCs w:val="32"/>
          <w:lang w:val="en-US" w:eastAsia="zh-CN"/>
        </w:rPr>
        <w:t>3个月在单位购买</w:t>
      </w:r>
      <w:r>
        <w:rPr>
          <w:rFonts w:hint="eastAsia" w:ascii="仿宋_GB2312" w:hAnsi="仿宋_GB2312" w:eastAsia="仿宋_GB2312" w:cs="仿宋_GB2312"/>
          <w:sz w:val="32"/>
          <w:szCs w:val="32"/>
        </w:rPr>
        <w:t>社保证明），若发现违反规定的将取消参赛资格。违反运动员资格规定的，将取消该运动员（队）的参赛资格和比赛成绩，并通报批评。</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baseline"/>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（四）各单位必须为本队参赛职工购买比赛期间的意外保险。</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各单位自行组织运动员体检，确保参赛职工健康条件符合比赛要求。参赛者需注意比赛安全，主办方不承担比赛期间（含路途）任何意外事故的任何责任。</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报名满额后</w:t>
      </w:r>
      <w:r>
        <w:rPr>
          <w:rFonts w:hint="eastAsia" w:ascii="仿宋_GB2312" w:hAnsi="仿宋_GB2312" w:eastAsia="仿宋_GB2312" w:cs="仿宋_GB2312"/>
          <w:sz w:val="32"/>
          <w:szCs w:val="32"/>
        </w:rPr>
        <w:t>采用网上抽签</w:t>
      </w:r>
      <w:r>
        <w:rPr>
          <w:rFonts w:hint="eastAsia" w:ascii="仿宋_GB2312" w:hAnsi="仿宋_GB2312" w:eastAsia="仿宋_GB2312" w:cs="仿宋_GB2312"/>
          <w:sz w:val="32"/>
          <w:szCs w:val="32"/>
          <w:lang w:val="en-US" w:eastAsia="zh-CN"/>
        </w:rPr>
        <w:t>分配小组进行比赛</w:t>
      </w:r>
      <w:r>
        <w:rPr>
          <w:rFonts w:hint="eastAsia" w:ascii="仿宋_GB2312" w:hAnsi="仿宋_GB2312" w:eastAsia="仿宋_GB2312" w:cs="仿宋_GB2312"/>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baseline"/>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lang w:val="en-US" w:eastAsia="zh-CN"/>
        </w:rPr>
        <w:t>二</w:t>
      </w:r>
      <w:r>
        <w:rPr>
          <w:rFonts w:hint="eastAsia" w:ascii="黑体" w:hAnsi="黑体" w:eastAsia="黑体" w:cs="黑体"/>
          <w:b w:val="0"/>
          <w:bCs w:val="0"/>
          <w:color w:val="000000"/>
          <w:sz w:val="32"/>
          <w:szCs w:val="32"/>
          <w:lang w:eastAsia="zh-CN"/>
        </w:rPr>
        <w:t>、</w:t>
      </w:r>
      <w:r>
        <w:rPr>
          <w:rFonts w:hint="eastAsia" w:ascii="黑体" w:hAnsi="黑体" w:eastAsia="黑体" w:cs="黑体"/>
          <w:b w:val="0"/>
          <w:bCs w:val="0"/>
          <w:color w:val="000000"/>
          <w:sz w:val="32"/>
          <w:szCs w:val="32"/>
        </w:rPr>
        <w:t>竞赛办法</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）采用中国羽协审定的最新《羽毛球竞赛规则》。</w:t>
      </w:r>
      <w:r>
        <w:rPr>
          <w:rFonts w:hint="eastAsia" w:ascii="仿宋_GB2312" w:hAnsi="仿宋_GB2312" w:eastAsia="仿宋_GB2312" w:cs="仿宋_GB2312"/>
          <w:sz w:val="32"/>
          <w:szCs w:val="32"/>
          <w:lang w:eastAsia="zh-CN"/>
        </w:rPr>
        <w:t>计分法和发球替换规则</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）第一阶段比赛分组抽签说明：</w:t>
      </w:r>
    </w:p>
    <w:p>
      <w:pPr>
        <w:keepNext w:val="0"/>
        <w:keepLines w:val="0"/>
        <w:pageBreakBefore w:val="0"/>
        <w:widowControl w:val="0"/>
        <w:kinsoku/>
        <w:wordWrap/>
        <w:overflowPunct/>
        <w:topLinePunct w:val="0"/>
        <w:autoSpaceDE/>
        <w:autoSpaceDN/>
        <w:bidi w:val="0"/>
        <w:adjustRightInd/>
        <w:snapToGrid/>
        <w:spacing w:line="576" w:lineRule="exact"/>
        <w:jc w:val="left"/>
        <w:textAlignment w:val="baseline"/>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根据报名人数制定分赛区</w:t>
      </w:r>
      <w:r>
        <w:rPr>
          <w:rFonts w:hint="eastAsia" w:ascii="仿宋_GB2312" w:hAnsi="仿宋_GB2312" w:eastAsia="仿宋_GB2312" w:cs="仿宋_GB2312"/>
          <w:sz w:val="32"/>
          <w:szCs w:val="32"/>
        </w:rPr>
        <w:t>，进行小组循环赛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三支队伍为一小组，前二名出线，晋级第二阶段</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）第二阶段按固定进位：</w:t>
      </w:r>
      <w:r>
        <w:rPr>
          <w:rFonts w:hint="eastAsia" w:ascii="仿宋_GB2312" w:hAnsi="仿宋_GB2312" w:eastAsia="仿宋_GB2312" w:cs="仿宋_GB2312"/>
          <w:sz w:val="32"/>
          <w:szCs w:val="32"/>
          <w:lang w:eastAsia="zh-CN"/>
        </w:rPr>
        <w:t>小组</w:t>
      </w:r>
      <w:r>
        <w:rPr>
          <w:rFonts w:hint="eastAsia" w:ascii="仿宋_GB2312" w:hAnsi="仿宋_GB2312" w:eastAsia="仿宋_GB2312" w:cs="仿宋_GB2312"/>
          <w:sz w:val="32"/>
          <w:szCs w:val="32"/>
        </w:rPr>
        <w:t>交叉淘汰</w:t>
      </w:r>
      <w:r>
        <w:rPr>
          <w:rFonts w:hint="eastAsia" w:ascii="仿宋_GB2312" w:hAnsi="仿宋_GB2312" w:eastAsia="仿宋_GB2312" w:cs="仿宋_GB2312"/>
          <w:sz w:val="32"/>
          <w:szCs w:val="32"/>
          <w:lang w:val="en-US" w:eastAsia="zh-CN"/>
        </w:rPr>
        <w:t>赛</w:t>
      </w:r>
      <w:r>
        <w:rPr>
          <w:rFonts w:hint="eastAsia" w:ascii="仿宋_GB2312" w:hAnsi="仿宋_GB2312" w:eastAsia="仿宋_GB2312" w:cs="仿宋_GB2312"/>
          <w:sz w:val="32"/>
          <w:szCs w:val="32"/>
        </w:rPr>
        <w:t>，决出</w:t>
      </w:r>
      <w:r>
        <w:rPr>
          <w:rFonts w:hint="eastAsia" w:ascii="仿宋_GB2312" w:hAnsi="仿宋_GB2312" w:eastAsia="仿宋_GB2312" w:cs="仿宋_GB2312"/>
          <w:sz w:val="32"/>
          <w:szCs w:val="32"/>
          <w:lang w:eastAsia="zh-CN"/>
        </w:rPr>
        <w:t>奖励</w:t>
      </w:r>
      <w:r>
        <w:rPr>
          <w:rFonts w:hint="eastAsia" w:ascii="仿宋_GB2312" w:hAnsi="仿宋_GB2312" w:eastAsia="仿宋_GB2312" w:cs="仿宋_GB2312"/>
          <w:sz w:val="32"/>
          <w:szCs w:val="32"/>
        </w:rPr>
        <w:t>名次。</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baseline"/>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）第一阶段采用</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场</w:t>
      </w:r>
      <w:r>
        <w:rPr>
          <w:rFonts w:hint="eastAsia" w:ascii="仿宋_GB2312" w:hAnsi="仿宋_GB2312" w:eastAsia="仿宋_GB2312" w:cs="仿宋_GB2312"/>
          <w:sz w:val="32"/>
          <w:szCs w:val="32"/>
          <w:lang w:val="en-US" w:eastAsia="zh-CN"/>
        </w:rPr>
        <w:t>两</w:t>
      </w:r>
      <w:r>
        <w:rPr>
          <w:rFonts w:hint="eastAsia" w:ascii="仿宋_GB2312" w:hAnsi="仿宋_GB2312" w:eastAsia="仿宋_GB2312" w:cs="仿宋_GB2312"/>
          <w:sz w:val="32"/>
          <w:szCs w:val="32"/>
        </w:rPr>
        <w:t>胜制，</w:t>
      </w:r>
      <w:r>
        <w:rPr>
          <w:rFonts w:hint="eastAsia" w:ascii="仿宋_GB2312" w:hAnsi="仿宋_GB2312" w:eastAsia="仿宋_GB2312" w:cs="仿宋_GB2312"/>
          <w:sz w:val="32"/>
          <w:szCs w:val="32"/>
          <w:lang w:val="en-US" w:eastAsia="zh-CN"/>
        </w:rPr>
        <w:t>打满三场比赛</w:t>
      </w:r>
      <w:r>
        <w:rPr>
          <w:rFonts w:hint="eastAsia" w:ascii="仿宋_GB2312" w:hAnsi="仿宋_GB2312" w:eastAsia="仿宋_GB2312" w:cs="仿宋_GB2312"/>
          <w:sz w:val="32"/>
          <w:szCs w:val="32"/>
        </w:rPr>
        <w:t>，每场一局决胜负，每局21分、每球直接得分制。当一方先赢得</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分时，双方交换场区。当每局双方赛至20平后，则先赢得第21分的一方胜该局（场）</w:t>
      </w:r>
      <w:r>
        <w:rPr>
          <w:rFonts w:hint="eastAsia" w:ascii="仿宋_GB2312" w:hAnsi="仿宋_GB2312" w:eastAsia="仿宋_GB2312" w:cs="仿宋_GB2312"/>
          <w:sz w:val="32"/>
          <w:szCs w:val="32"/>
          <w:lang w:eastAsia="zh-CN"/>
        </w:rPr>
        <w:t>不加分。</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第二阶段</w:t>
      </w:r>
      <w:r>
        <w:rPr>
          <w:rFonts w:hint="eastAsia" w:ascii="仿宋_GB2312" w:hAnsi="仿宋_GB2312" w:eastAsia="仿宋_GB2312" w:cs="仿宋_GB2312"/>
          <w:sz w:val="32"/>
          <w:szCs w:val="32"/>
        </w:rPr>
        <w:t>采用</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场</w:t>
      </w:r>
      <w:r>
        <w:rPr>
          <w:rFonts w:hint="eastAsia" w:ascii="仿宋_GB2312" w:hAnsi="仿宋_GB2312" w:eastAsia="仿宋_GB2312" w:cs="仿宋_GB2312"/>
          <w:sz w:val="32"/>
          <w:szCs w:val="32"/>
          <w:lang w:val="en-US" w:eastAsia="zh-CN"/>
        </w:rPr>
        <w:t>两</w:t>
      </w:r>
      <w:r>
        <w:rPr>
          <w:rFonts w:hint="eastAsia" w:ascii="仿宋_GB2312" w:hAnsi="仿宋_GB2312" w:eastAsia="仿宋_GB2312" w:cs="仿宋_GB2312"/>
          <w:sz w:val="32"/>
          <w:szCs w:val="32"/>
        </w:rPr>
        <w:t>胜制</w:t>
      </w:r>
      <w:r>
        <w:rPr>
          <w:rFonts w:hint="eastAsia" w:ascii="仿宋_GB2312" w:hAnsi="仿宋_GB2312" w:eastAsia="仿宋_GB2312" w:cs="仿宋_GB2312"/>
          <w:b w:val="0"/>
          <w:bCs w:val="0"/>
          <w:sz w:val="32"/>
          <w:szCs w:val="32"/>
        </w:rPr>
        <w:t>（见</w:t>
      </w:r>
      <w:r>
        <w:rPr>
          <w:rFonts w:hint="eastAsia" w:ascii="仿宋_GB2312" w:hAnsi="仿宋_GB2312" w:eastAsia="仿宋_GB2312" w:cs="仿宋_GB2312"/>
          <w:b w:val="0"/>
          <w:bCs w:val="0"/>
          <w:sz w:val="32"/>
          <w:szCs w:val="32"/>
          <w:lang w:val="en-US" w:eastAsia="zh-CN"/>
        </w:rPr>
        <w:t>两</w:t>
      </w:r>
      <w:r>
        <w:rPr>
          <w:rFonts w:hint="eastAsia" w:ascii="仿宋_GB2312" w:hAnsi="仿宋_GB2312" w:eastAsia="仿宋_GB2312" w:cs="仿宋_GB2312"/>
          <w:b w:val="0"/>
          <w:bCs w:val="0"/>
          <w:sz w:val="32"/>
          <w:szCs w:val="32"/>
        </w:rPr>
        <w:t>收），每</w:t>
      </w:r>
      <w:r>
        <w:rPr>
          <w:rFonts w:hint="eastAsia" w:ascii="仿宋_GB2312" w:hAnsi="仿宋_GB2312" w:eastAsia="仿宋_GB2312" w:cs="仿宋_GB2312"/>
          <w:sz w:val="32"/>
          <w:szCs w:val="32"/>
        </w:rPr>
        <w:t>场</w:t>
      </w:r>
      <w:r>
        <w:rPr>
          <w:rFonts w:hint="eastAsia" w:ascii="仿宋_GB2312" w:hAnsi="仿宋_GB2312" w:eastAsia="仿宋_GB2312" w:cs="仿宋_GB2312"/>
          <w:sz w:val="32"/>
          <w:szCs w:val="32"/>
          <w:lang w:val="en-US" w:eastAsia="zh-CN"/>
        </w:rPr>
        <w:t>一局决胜负</w:t>
      </w:r>
      <w:r>
        <w:rPr>
          <w:rFonts w:hint="eastAsia" w:ascii="仿宋_GB2312" w:hAnsi="仿宋_GB2312" w:eastAsia="仿宋_GB2312" w:cs="仿宋_GB2312"/>
          <w:sz w:val="32"/>
          <w:szCs w:val="32"/>
        </w:rPr>
        <w:t>，每局</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分、每球直接得分制。当一方先赢得</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分时，双方交换场区。当每局双方赛至</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分平后，则先赢得第</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分的一方胜该局。</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）出场顺序：男双、</w:t>
      </w:r>
      <w:r>
        <w:rPr>
          <w:rFonts w:hint="eastAsia" w:ascii="仿宋_GB2312" w:hAnsi="仿宋_GB2312" w:eastAsia="仿宋_GB2312" w:cs="仿宋_GB2312"/>
          <w:sz w:val="32"/>
          <w:szCs w:val="32"/>
          <w:lang w:val="en-US" w:eastAsia="zh-CN"/>
        </w:rPr>
        <w:t>女双</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混双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运动员不能兼项）。</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rPr>
        <w:t>）运动员出场名单表交换规定：参加每节第一场比赛的团体必须在比赛开始时间前15分钟到指定比赛场地裁判组填交出场队员名单表，之后的比赛则在前一个团体赛第二场比赛开始前填交出场队员名单表到裁判组。超时未交视为弃权。名单一经交</w:t>
      </w:r>
      <w:r>
        <w:rPr>
          <w:rFonts w:hint="eastAsia" w:ascii="仿宋_GB2312" w:hAnsi="仿宋_GB2312" w:eastAsia="仿宋_GB2312" w:cs="仿宋_GB2312"/>
          <w:sz w:val="32"/>
          <w:szCs w:val="32"/>
          <w:lang w:eastAsia="zh-CN"/>
        </w:rPr>
        <w:t>换</w:t>
      </w:r>
      <w:r>
        <w:rPr>
          <w:rFonts w:hint="eastAsia" w:ascii="仿宋_GB2312" w:hAnsi="仿宋_GB2312" w:eastAsia="仿宋_GB2312" w:cs="仿宋_GB2312"/>
          <w:sz w:val="32"/>
          <w:szCs w:val="32"/>
        </w:rPr>
        <w:t>，不得更改，</w:t>
      </w:r>
      <w:r>
        <w:rPr>
          <w:rFonts w:hint="eastAsia" w:ascii="仿宋_GB2312" w:hAnsi="仿宋_GB2312" w:eastAsia="仿宋_GB2312" w:cs="仿宋_GB2312"/>
          <w:sz w:val="32"/>
          <w:szCs w:val="32"/>
          <w:lang w:eastAsia="zh-CN"/>
        </w:rPr>
        <w:t>运动员未按</w:t>
      </w:r>
      <w:r>
        <w:rPr>
          <w:rFonts w:hint="eastAsia" w:ascii="仿宋_GB2312" w:hAnsi="仿宋_GB2312" w:eastAsia="仿宋_GB2312" w:cs="仿宋_GB2312"/>
          <w:sz w:val="32"/>
          <w:szCs w:val="32"/>
        </w:rPr>
        <w:t>场次</w:t>
      </w:r>
      <w:r>
        <w:rPr>
          <w:rFonts w:hint="eastAsia" w:ascii="仿宋_GB2312" w:hAnsi="仿宋_GB2312" w:eastAsia="仿宋_GB2312" w:cs="仿宋_GB2312"/>
          <w:sz w:val="32"/>
          <w:szCs w:val="32"/>
          <w:lang w:eastAsia="zh-CN"/>
        </w:rPr>
        <w:t>时间报到</w:t>
      </w:r>
      <w:r>
        <w:rPr>
          <w:rFonts w:hint="eastAsia" w:ascii="仿宋_GB2312" w:hAnsi="仿宋_GB2312" w:eastAsia="仿宋_GB2312" w:cs="仿宋_GB2312"/>
          <w:sz w:val="32"/>
          <w:szCs w:val="32"/>
          <w:lang w:val="en-US" w:eastAsia="zh-CN"/>
        </w:rPr>
        <w:t>,超时5分钟当</w:t>
      </w:r>
      <w:r>
        <w:rPr>
          <w:rFonts w:hint="eastAsia" w:ascii="仿宋_GB2312" w:hAnsi="仿宋_GB2312" w:eastAsia="仿宋_GB2312" w:cs="仿宋_GB2312"/>
          <w:sz w:val="32"/>
          <w:szCs w:val="32"/>
        </w:rPr>
        <w:t>弃权处理。</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八</w:t>
      </w:r>
      <w:r>
        <w:rPr>
          <w:rFonts w:hint="eastAsia" w:ascii="仿宋_GB2312" w:hAnsi="仿宋_GB2312" w:eastAsia="仿宋_GB2312" w:cs="仿宋_GB2312"/>
          <w:sz w:val="32"/>
          <w:szCs w:val="32"/>
        </w:rPr>
        <w:t>）参赛运动员必须出示居民身份证（或工作证），经当席裁判员核对无误后，方能进行比赛。</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九</w:t>
      </w:r>
      <w:r>
        <w:rPr>
          <w:rFonts w:hint="eastAsia" w:ascii="仿宋_GB2312" w:hAnsi="仿宋_GB2312" w:eastAsia="仿宋_GB2312" w:cs="仿宋_GB2312"/>
          <w:sz w:val="32"/>
          <w:szCs w:val="32"/>
        </w:rPr>
        <w:t>）裁判长有权对场序进行调整。</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（十）</w:t>
      </w:r>
      <w:r>
        <w:rPr>
          <w:rFonts w:hint="eastAsia" w:ascii="仿宋_GB2312" w:hAnsi="仿宋_GB2312" w:eastAsia="仿宋_GB2312" w:cs="仿宋_GB2312"/>
          <w:sz w:val="32"/>
          <w:szCs w:val="32"/>
        </w:rPr>
        <w:t>比赛中,运动员</w:t>
      </w:r>
      <w:r>
        <w:rPr>
          <w:rFonts w:hint="eastAsia" w:ascii="仿宋_GB2312" w:hAnsi="仿宋_GB2312" w:eastAsia="仿宋_GB2312" w:cs="仿宋_GB2312"/>
          <w:sz w:val="32"/>
          <w:szCs w:val="32"/>
          <w:lang w:eastAsia="zh-CN"/>
        </w:rPr>
        <w:t>出现</w:t>
      </w:r>
      <w:r>
        <w:rPr>
          <w:rFonts w:hint="eastAsia" w:ascii="仿宋_GB2312" w:hAnsi="仿宋_GB2312" w:eastAsia="仿宋_GB2312" w:cs="仿宋_GB2312"/>
          <w:sz w:val="32"/>
          <w:szCs w:val="32"/>
        </w:rPr>
        <w:t>伤病</w:t>
      </w:r>
      <w:r>
        <w:rPr>
          <w:rFonts w:hint="eastAsia" w:ascii="仿宋_GB2312" w:hAnsi="仿宋_GB2312" w:eastAsia="仿宋_GB2312" w:cs="仿宋_GB2312"/>
          <w:sz w:val="32"/>
          <w:szCs w:val="32"/>
          <w:lang w:eastAsia="zh-CN"/>
        </w:rPr>
        <w:t>时有一次</w:t>
      </w:r>
      <w:r>
        <w:rPr>
          <w:rFonts w:hint="eastAsia" w:ascii="仿宋_GB2312" w:hAnsi="仿宋_GB2312" w:eastAsia="仿宋_GB2312" w:cs="仿宋_GB2312"/>
          <w:sz w:val="32"/>
          <w:szCs w:val="32"/>
        </w:rPr>
        <w:t>不超过</w:t>
      </w:r>
      <w:r>
        <w:rPr>
          <w:rFonts w:hint="eastAsia" w:ascii="仿宋_GB2312" w:hAnsi="仿宋_GB2312" w:eastAsia="仿宋_GB2312" w:cs="仿宋_GB2312"/>
          <w:sz w:val="32"/>
          <w:szCs w:val="32"/>
          <w:lang w:val="en-US" w:eastAsia="zh-CN"/>
        </w:rPr>
        <w:t>3分钟</w:t>
      </w:r>
      <w:r>
        <w:rPr>
          <w:rFonts w:hint="eastAsia" w:ascii="仿宋_GB2312" w:hAnsi="仿宋_GB2312" w:eastAsia="仿宋_GB2312" w:cs="仿宋_GB2312"/>
          <w:sz w:val="32"/>
          <w:szCs w:val="32"/>
        </w:rPr>
        <w:t>伤病处理时间</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凡因伤病或其它原因不能继续比赛者按本场比赛弃权处理；</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(十一)</w:t>
      </w:r>
      <w:r>
        <w:rPr>
          <w:rFonts w:hint="eastAsia" w:ascii="仿宋_GB2312" w:hAnsi="仿宋_GB2312" w:eastAsia="仿宋_GB2312" w:cs="仿宋_GB2312"/>
          <w:sz w:val="32"/>
          <w:szCs w:val="32"/>
        </w:rPr>
        <w:t>按照比赛规定的时间，迟到5分钟一方的运动员，按本场比赛弃权处理；</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baseline"/>
        <w:rPr>
          <w:rFonts w:hint="eastAsia" w:ascii="黑体" w:hAnsi="黑体" w:eastAsia="黑体" w:cs="黑体"/>
          <w:sz w:val="32"/>
          <w:szCs w:val="32"/>
        </w:rPr>
      </w:pPr>
      <w:r>
        <w:rPr>
          <w:rFonts w:hint="eastAsia" w:ascii="黑体" w:hAnsi="黑体" w:eastAsia="黑体" w:cs="黑体"/>
          <w:sz w:val="32"/>
          <w:szCs w:val="32"/>
          <w:lang w:val="en-US" w:eastAsia="zh-CN"/>
        </w:rPr>
        <w:t>三</w:t>
      </w:r>
      <w:r>
        <w:rPr>
          <w:rFonts w:hint="eastAsia" w:ascii="黑体" w:hAnsi="黑体" w:eastAsia="黑体" w:cs="黑体"/>
          <w:sz w:val="32"/>
          <w:szCs w:val="32"/>
          <w:lang w:eastAsia="zh-CN"/>
        </w:rPr>
        <w:t>、</w:t>
      </w:r>
      <w:r>
        <w:rPr>
          <w:rFonts w:hint="eastAsia" w:ascii="黑体" w:hAnsi="黑体" w:eastAsia="黑体" w:cs="黑体"/>
          <w:sz w:val="32"/>
          <w:szCs w:val="32"/>
        </w:rPr>
        <w:t>其他事项</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（一）各参赛队伍服装须整齐。</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（二）为增加</w:t>
      </w:r>
      <w:r>
        <w:rPr>
          <w:rFonts w:hint="eastAsia" w:ascii="仿宋_GB2312" w:hAnsi="仿宋_GB2312" w:eastAsia="仿宋_GB2312" w:cs="仿宋_GB2312"/>
          <w:sz w:val="32"/>
          <w:szCs w:val="32"/>
          <w:lang w:val="en-US" w:eastAsia="zh-CN"/>
        </w:rPr>
        <w:t>本次活动</w:t>
      </w:r>
      <w:r>
        <w:rPr>
          <w:rFonts w:hint="eastAsia" w:ascii="仿宋_GB2312" w:hAnsi="仿宋_GB2312" w:eastAsia="仿宋_GB2312" w:cs="仿宋_GB2312"/>
          <w:sz w:val="32"/>
          <w:szCs w:val="32"/>
        </w:rPr>
        <w:t>的凝聚力，确保赛场的秩序和气氛，各单位的领队、教练和参赛运动员在颁奖仪式结束后方可离场。</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（三）参赛队伍需提前30分钟到达场馆，做好报到及热身。</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（四）参赛运动员应注重体育道德，文明礼貌，服从裁判，尊重对手，保持参赛良好秩序，自觉维护企业形象。</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四</w:t>
      </w:r>
      <w:r>
        <w:rPr>
          <w:rFonts w:hint="eastAsia" w:ascii="黑体" w:hAnsi="黑体" w:eastAsia="黑体" w:cs="黑体"/>
          <w:sz w:val="32"/>
          <w:szCs w:val="32"/>
          <w:lang w:eastAsia="zh-CN"/>
        </w:rPr>
        <w:t>、</w:t>
      </w:r>
      <w:r>
        <w:rPr>
          <w:rFonts w:hint="eastAsia" w:ascii="黑体" w:hAnsi="黑体" w:eastAsia="黑体" w:cs="黑体"/>
          <w:sz w:val="32"/>
          <w:szCs w:val="32"/>
        </w:rPr>
        <w:t>奖励办法</w:t>
      </w:r>
      <w:r>
        <w:rPr>
          <w:rFonts w:hint="eastAsia" w:ascii="黑体" w:hAnsi="黑体" w:eastAsia="黑体" w:cs="黑体"/>
          <w:sz w:val="32"/>
          <w:szCs w:val="32"/>
          <w:lang w:val="en-US" w:eastAsia="zh-CN"/>
        </w:rPr>
        <w:t>及比赛用球</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奖励办法：</w:t>
      </w:r>
      <w:r>
        <w:rPr>
          <w:rFonts w:hint="eastAsia" w:ascii="仿宋_GB2312" w:hAnsi="仿宋_GB2312" w:eastAsia="仿宋_GB2312" w:cs="仿宋_GB2312"/>
          <w:sz w:val="32"/>
          <w:szCs w:val="32"/>
          <w:lang w:val="en-US" w:eastAsia="zh-CN"/>
        </w:rPr>
        <w:t>奖励前四名，第一名奖励3000元，第二名奖励2000元，第三名奖励1000元，第四名奖励500元。</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rPr>
          <w:rFonts w:hint="eastAsia" w:ascii="仿宋_GB2312" w:hAnsi="仿宋_GB2312" w:eastAsia="仿宋_GB2312" w:cs="仿宋_GB2312"/>
          <w:b/>
          <w:bCs/>
          <w:color w:val="000000"/>
          <w:sz w:val="32"/>
          <w:szCs w:val="32"/>
        </w:rPr>
      </w:pPr>
      <w:r>
        <w:rPr>
          <w:rFonts w:hint="eastAsia" w:ascii="仿宋_GB2312" w:hAnsi="仿宋_GB2312" w:eastAsia="仿宋_GB2312" w:cs="仿宋_GB2312"/>
          <w:sz w:val="32"/>
          <w:szCs w:val="32"/>
          <w:lang w:eastAsia="zh-CN"/>
        </w:rPr>
        <w:t>比赛用球</w:t>
      </w:r>
      <w:r>
        <w:rPr>
          <w:rFonts w:hint="eastAsia" w:ascii="仿宋_GB2312" w:hAnsi="仿宋_GB2312" w:eastAsia="仿宋_GB2312" w:cs="仿宋_GB2312"/>
          <w:sz w:val="32"/>
          <w:szCs w:val="32"/>
          <w:lang w:val="en-US" w:eastAsia="zh-CN"/>
        </w:rPr>
        <w:t>:尤尼克斯YY05羽毛球。</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baseline"/>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rPr>
        <w:t>五</w:t>
      </w:r>
      <w:r>
        <w:rPr>
          <w:rFonts w:hint="eastAsia" w:ascii="黑体" w:hAnsi="黑体" w:eastAsia="黑体" w:cs="黑体"/>
          <w:b w:val="0"/>
          <w:bCs w:val="0"/>
          <w:color w:val="000000"/>
          <w:sz w:val="32"/>
          <w:szCs w:val="32"/>
          <w:lang w:eastAsia="zh-CN"/>
        </w:rPr>
        <w:t>、</w:t>
      </w:r>
      <w:r>
        <w:rPr>
          <w:rFonts w:hint="eastAsia" w:ascii="黑体" w:hAnsi="黑体" w:eastAsia="黑体" w:cs="黑体"/>
          <w:b w:val="0"/>
          <w:bCs w:val="0"/>
          <w:color w:val="000000"/>
          <w:sz w:val="32"/>
          <w:szCs w:val="32"/>
        </w:rPr>
        <w:t>技术官员</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裁判员、工作人员由主办单位聘请。</w:t>
      </w:r>
    </w:p>
    <w:p>
      <w:pPr>
        <w:keepNext w:val="0"/>
        <w:keepLines w:val="0"/>
        <w:pageBreakBefore w:val="0"/>
        <w:widowControl w:val="0"/>
        <w:kinsoku/>
        <w:wordWrap/>
        <w:overflowPunct/>
        <w:topLinePunct w:val="0"/>
        <w:autoSpaceDE/>
        <w:autoSpaceDN/>
        <w:bidi w:val="0"/>
        <w:adjustRightInd/>
        <w:snapToGrid/>
        <w:spacing w:line="360" w:lineRule="auto"/>
        <w:ind w:left="640"/>
        <w:textAlignment w:val="baseline"/>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rPr>
        <w:t>六</w:t>
      </w:r>
      <w:r>
        <w:rPr>
          <w:rFonts w:hint="eastAsia" w:ascii="黑体" w:hAnsi="黑体" w:eastAsia="黑体" w:cs="黑体"/>
          <w:b w:val="0"/>
          <w:bCs w:val="0"/>
          <w:color w:val="000000"/>
          <w:sz w:val="32"/>
          <w:szCs w:val="32"/>
          <w:lang w:eastAsia="zh-CN"/>
        </w:rPr>
        <w:t>、</w:t>
      </w:r>
      <w:r>
        <w:rPr>
          <w:rFonts w:hint="eastAsia" w:ascii="黑体" w:hAnsi="黑体" w:eastAsia="黑体" w:cs="黑体"/>
          <w:b w:val="0"/>
          <w:bCs w:val="0"/>
          <w:color w:val="000000"/>
          <w:sz w:val="32"/>
          <w:szCs w:val="32"/>
        </w:rPr>
        <w:t>仲裁委员会</w:t>
      </w:r>
    </w:p>
    <w:p>
      <w:pPr>
        <w:keepNext w:val="0"/>
        <w:keepLines w:val="0"/>
        <w:pageBreakBefore w:val="0"/>
        <w:widowControl w:val="0"/>
        <w:kinsoku/>
        <w:wordWrap/>
        <w:overflowPunct/>
        <w:topLinePunct w:val="0"/>
        <w:autoSpaceDE/>
        <w:autoSpaceDN/>
        <w:bidi w:val="0"/>
        <w:adjustRightInd/>
        <w:snapToGrid/>
        <w:spacing w:line="360" w:lineRule="auto"/>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按国家体育总局《仲裁委员会条例》规定执行。</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baseline"/>
        <w:rPr>
          <w:rFonts w:hint="eastAsia" w:ascii="仿宋_GB2312" w:hAnsi="仿宋_GB2312" w:eastAsia="仿宋_GB2312" w:cs="仿宋_GB2312"/>
          <w:sz w:val="32"/>
          <w:szCs w:val="32"/>
        </w:rPr>
      </w:pPr>
      <w:r>
        <w:rPr>
          <w:rFonts w:hint="eastAsia" w:ascii="黑体" w:hAnsi="黑体" w:eastAsia="黑体" w:cs="黑体"/>
          <w:b w:val="0"/>
          <w:bCs w:val="0"/>
          <w:color w:val="000000"/>
          <w:sz w:val="32"/>
          <w:szCs w:val="32"/>
        </w:rPr>
        <w:t>七</w:t>
      </w:r>
      <w:r>
        <w:rPr>
          <w:rFonts w:hint="eastAsia" w:ascii="黑体" w:hAnsi="黑体" w:eastAsia="黑体" w:cs="黑体"/>
          <w:b w:val="0"/>
          <w:bCs w:val="0"/>
          <w:color w:val="000000"/>
          <w:sz w:val="32"/>
          <w:szCs w:val="32"/>
          <w:lang w:eastAsia="zh-CN"/>
        </w:rPr>
        <w:t>、</w:t>
      </w:r>
      <w:r>
        <w:rPr>
          <w:rFonts w:hint="eastAsia" w:ascii="黑体" w:hAnsi="黑体" w:eastAsia="黑体" w:cs="黑体"/>
          <w:b w:val="0"/>
          <w:bCs w:val="0"/>
          <w:color w:val="000000"/>
          <w:sz w:val="32"/>
          <w:szCs w:val="32"/>
        </w:rPr>
        <w:t>本规程的解释权属</w:t>
      </w:r>
      <w:r>
        <w:rPr>
          <w:rFonts w:hint="eastAsia" w:ascii="黑体" w:hAnsi="黑体" w:eastAsia="黑体" w:cs="黑体"/>
          <w:b w:val="0"/>
          <w:bCs w:val="0"/>
          <w:color w:val="000000"/>
          <w:sz w:val="32"/>
          <w:szCs w:val="32"/>
          <w:lang w:val="en-US" w:eastAsia="zh-CN"/>
        </w:rPr>
        <w:t>主办</w:t>
      </w:r>
      <w:r>
        <w:rPr>
          <w:rFonts w:hint="eastAsia" w:ascii="黑体" w:hAnsi="黑体" w:eastAsia="黑体" w:cs="黑体"/>
          <w:b w:val="0"/>
          <w:bCs w:val="0"/>
          <w:color w:val="000000"/>
          <w:sz w:val="32"/>
          <w:szCs w:val="32"/>
        </w:rPr>
        <w:t>单位，未尽事宜，另行通知。</w:t>
      </w: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8AAA9C5"/>
    <w:multiLevelType w:val="singleLevel"/>
    <w:tmpl w:val="68AAA9C5"/>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EyODc1NmM0MDdiNDVlMzlkNjE3NmQ3Y2VkNmQzYTIifQ=="/>
  </w:docVars>
  <w:rsids>
    <w:rsidRoot w:val="2D0F1948"/>
    <w:rsid w:val="2D0F19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Normal_0"/>
    <w:qFormat/>
    <w:uiPriority w:val="0"/>
    <w:rPr>
      <w:rFonts w:ascii="Times New Roman" w:hAnsi="Times New Roman" w:eastAsia="宋体" w:cs="Times New Roman"/>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2023-10-27T07:34:00Z</dcterms:created>
  <dc:creator>Y。</dc:creator>
  <cp:lastModifiedBy>Y。</cp:lastModifiedBy>
  <dcterms:modified xsi:type="dcterms:W3CDTF">2023-10-27T07:34:48Z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8AFA712ADF5C4DCBBB0C5E65E765BDA7_11</vt:lpwstr>
  </property>
</Properties>
</file>