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411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广州市建筑业“链长制”工作示范企业（工程总承包）遴选指标</w:t>
      </w:r>
    </w:p>
    <w:p>
      <w:pPr>
        <w:spacing w:before="5" w:line="200" w:lineRule="exact"/>
        <w:jc w:val="left"/>
        <w:rPr>
          <w:rFonts w:ascii="宋体" w:hAnsi="宋体" w:cs="宋体"/>
          <w:sz w:val="24"/>
          <w:szCs w:val="24"/>
        </w:rPr>
      </w:pPr>
    </w:p>
    <w:p>
      <w:pPr>
        <w:spacing w:before="5" w:line="200" w:lineRule="exact"/>
        <w:jc w:val="left"/>
        <w:rPr>
          <w:rFonts w:ascii="宋体" w:hAnsi="宋体" w:cs="宋体"/>
          <w:sz w:val="24"/>
          <w:szCs w:val="24"/>
        </w:rPr>
      </w:pPr>
    </w:p>
    <w:tbl>
      <w:tblPr>
        <w:tblStyle w:val="4"/>
        <w:tblW w:w="145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1394"/>
        <w:gridCol w:w="2287"/>
        <w:gridCol w:w="3685"/>
        <w:gridCol w:w="1134"/>
        <w:gridCol w:w="5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exact"/>
          <w:tblHeader/>
          <w:jc w:val="center"/>
        </w:trPr>
        <w:tc>
          <w:tcPr>
            <w:tcW w:w="823" w:type="dxa"/>
          </w:tcPr>
          <w:p>
            <w:pPr>
              <w:spacing w:before="240" w:line="720" w:lineRule="auto"/>
              <w:ind w:right="-20"/>
              <w:jc w:val="center"/>
              <w:rPr>
                <w:rFonts w:ascii="宋体" w:hAnsi="宋体" w:cs="宋体"/>
                <w:b/>
                <w:bCs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序号</w:t>
            </w:r>
          </w:p>
        </w:tc>
        <w:tc>
          <w:tcPr>
            <w:tcW w:w="1394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一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级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指标</w:t>
            </w: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二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级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指标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指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标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单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位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、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公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式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或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指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标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解释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分值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position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2" w:hRule="exact"/>
          <w:jc w:val="center"/>
        </w:trPr>
        <w:tc>
          <w:tcPr>
            <w:tcW w:w="823" w:type="dxa"/>
            <w:vMerge w:val="restart"/>
          </w:tcPr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1</w:t>
            </w:r>
          </w:p>
        </w:tc>
        <w:tc>
          <w:tcPr>
            <w:tcW w:w="1394" w:type="dxa"/>
            <w:vMerge w:val="restart"/>
            <w:vAlign w:val="center"/>
          </w:tcPr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综合效益</w:t>
            </w:r>
          </w:p>
          <w:p>
            <w:pPr>
              <w:spacing w:line="360" w:lineRule="auto"/>
              <w:ind w:left="215"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（16分）</w:t>
            </w: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营业收入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营业收入=主营业务收入+其他业务收入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right="44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平均营业收入100亿元以上得5分，80-100亿元得3分，50-80亿元得1分，最高得5分。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62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利润总额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利润总额=营业利润+营业外收入-营业外支出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平均利润总额3亿及以上得5分，2-3（不含）亿得3分，1-2（不含）亿得1分，最高得5分。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54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利润总额增长率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利润总额增长率=（年利润增长额/上年利润总额）×100%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平均利润总额增长率大于15%得3分，10-15%得2分，5-10%得1分。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总资产增长率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总资产增长率=（本年总资产增长额/年初资产总额）×100%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平均总资产增长率大于15%得3分，10-15%得2分，5-10%得1分。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01" w:hRule="atLeast"/>
          <w:jc w:val="center"/>
        </w:trPr>
        <w:tc>
          <w:tcPr>
            <w:tcW w:w="823" w:type="dxa"/>
            <w:vMerge w:val="restart"/>
          </w:tcPr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2</w:t>
            </w:r>
          </w:p>
        </w:tc>
        <w:tc>
          <w:tcPr>
            <w:tcW w:w="1394" w:type="dxa"/>
            <w:vMerge w:val="restart"/>
            <w:vAlign w:val="center"/>
          </w:tcPr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产业联动</w:t>
            </w:r>
          </w:p>
          <w:p>
            <w:pPr>
              <w:spacing w:before="8"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（17分）</w:t>
            </w: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资质覆盖面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企业资质情况、级别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具备特级资质得5分，具备3项及以上施工总承包一级资质得3分，具备1-2项施工总承包一级资质得1分，最高得5分。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在建施工项目合同额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在建项目合同额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5亿元以上项目，每项得1分，最高得5分。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产业价值链的</w:t>
            </w:r>
          </w:p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完备程度</w:t>
            </w:r>
          </w:p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纵向产业链（上中下游供需链）以及横向产业链（产业配套协作链）是否完备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right="42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4分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企业根据公司的经营范围，简单描述自身的产业链情况，并提供相关证明资料。优得4分，良得2分，中得1分，差得0分。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1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对行业的示范引领</w:t>
            </w:r>
          </w:p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作用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积极发挥企业的示范作用，带动行业的转型升级、推进产业链高质量发展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right="429"/>
              <w:jc w:val="righ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right="6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企业根据公司的经营范围，简单描述本单位在行业的引领作用，并提供相关证明资料。优得3分，良得2分，中得1分，差得0分。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6" w:hRule="exact"/>
          <w:jc w:val="center"/>
        </w:trPr>
        <w:tc>
          <w:tcPr>
            <w:tcW w:w="823" w:type="dxa"/>
            <w:vMerge w:val="restart"/>
          </w:tcPr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Cs/>
                <w:spacing w:val="-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pacing w:val="-1"/>
                <w:sz w:val="24"/>
                <w:szCs w:val="24"/>
              </w:rPr>
              <w:t>3</w:t>
            </w:r>
          </w:p>
        </w:tc>
        <w:tc>
          <w:tcPr>
            <w:tcW w:w="1394" w:type="dxa"/>
            <w:vMerge w:val="restart"/>
            <w:vAlign w:val="center"/>
          </w:tcPr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right="42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创新水平</w:t>
            </w: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（15 分）</w:t>
            </w: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right="4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创新水平</w:t>
            </w: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（15 分）</w:t>
            </w:r>
          </w:p>
        </w:tc>
        <w:tc>
          <w:tcPr>
            <w:tcW w:w="228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技术中心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拥有研发中心、技术中心、产业基地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1.拥有国家级研发中心、技术中心、产业基地的得3分；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2.拥有省级研发中心、技术中心、产业基地1个得2分，省级2个及以上的，得3分；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高新技术企业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 w:right="47" w:firstLine="2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指在《国家重点支持的高新技术领域》内，持续进行研究开发与技术成果转化，形成企业核心自主知识产权，并以此为基础开展经营活动，在中国境内（不包括港、澳、台地区）注册一年以上的居民企业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right="27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 w:right="47" w:firstLine="2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指在《国家重点支持的高新技术领域》内，持续进行研究开发与技术成果转化，形成企业核心自主知识产权，并以此为基础开展经营活动在中国境内（不包括港、澳、台地区）注册一年以上的居民企业。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exact"/>
          <w:jc w:val="center"/>
        </w:trPr>
        <w:tc>
          <w:tcPr>
            <w:tcW w:w="823" w:type="dxa"/>
            <w:vMerge w:val="restart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知识产权授权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数量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1.国家级发明专利、实用新型专利、工法和软件著作权，5项为 1 分，上限 3 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2.省级发明专利、实用新型专利、工法和软件著作权，10项为 1 分，上限 3 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right="19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高层次人才</w:t>
            </w:r>
          </w:p>
          <w:p>
            <w:pPr>
              <w:spacing w:line="360" w:lineRule="auto"/>
              <w:ind w:right="19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数量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引入的行业领军人物、高层次人才（符合广州市评定条件）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left="310" w:right="28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企业拥有行业领军人物、高层次人才（含享受国务院津贴专家），每1名得1.5分，最高得3分。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14" w:hRule="atLeast"/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智能建造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过程 BIM 技术应用、智能生产、建筑机器人、智慧工地、建筑产业互联网等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left="310" w:right="28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 w:right="39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全过程BIM技术应用、智能生产、建筑机器人、智慧工地、建筑产业互联网等，每项得1.5分，最高得3分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exact"/>
          <w:jc w:val="center"/>
        </w:trPr>
        <w:tc>
          <w:tcPr>
            <w:tcW w:w="823" w:type="dxa"/>
            <w:vMerge w:val="restart"/>
          </w:tcPr>
          <w:p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4</w:t>
            </w:r>
          </w:p>
        </w:tc>
        <w:tc>
          <w:tcPr>
            <w:tcW w:w="1394" w:type="dxa"/>
            <w:vMerge w:val="restart"/>
            <w:vAlign w:val="center"/>
          </w:tcPr>
          <w:p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市场竞争</w:t>
            </w:r>
          </w:p>
          <w:p>
            <w:pPr>
              <w:spacing w:line="360" w:lineRule="auto"/>
              <w:ind w:left="215"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 xml:space="preserve"> 分）</w:t>
            </w: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上市企业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上市情况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在上交、深交、北交、三板以上板块上市的得5分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500 强企业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世界 、国内 500 强情况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10分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世界 500 强 10 分；国内 500 强 3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签订合同额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近三年签订合同额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5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平均签订合同额100亿元及以上得5分，80-100（不含）亿元得3分，50-80（不含）亿元得1分。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exact"/>
          <w:jc w:val="center"/>
        </w:trPr>
        <w:tc>
          <w:tcPr>
            <w:tcW w:w="823" w:type="dxa"/>
          </w:tcPr>
          <w:p>
            <w:pPr>
              <w:spacing w:line="360" w:lineRule="auto"/>
              <w:ind w:left="60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</w:t>
            </w:r>
          </w:p>
        </w:tc>
        <w:tc>
          <w:tcPr>
            <w:tcW w:w="1394" w:type="dxa"/>
            <w:vMerge w:val="restart"/>
            <w:vAlign w:val="center"/>
          </w:tcPr>
          <w:p>
            <w:pPr>
              <w:spacing w:line="360" w:lineRule="auto"/>
              <w:ind w:left="60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产业聚集</w:t>
            </w:r>
          </w:p>
          <w:p>
            <w:pPr>
              <w:spacing w:line="360" w:lineRule="auto"/>
              <w:ind w:left="216" w:right="20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（9分）</w:t>
            </w:r>
          </w:p>
          <w:p>
            <w:pPr>
              <w:spacing w:line="360" w:lineRule="auto"/>
              <w:ind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产业聚集</w:t>
            </w:r>
          </w:p>
          <w:p>
            <w:pPr>
              <w:spacing w:line="360" w:lineRule="auto"/>
              <w:ind w:left="216" w:right="20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（9分）</w:t>
            </w:r>
          </w:p>
        </w:tc>
        <w:tc>
          <w:tcPr>
            <w:tcW w:w="2287" w:type="dxa"/>
          </w:tcPr>
          <w:p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建设（运营）产业园区</w:t>
            </w:r>
          </w:p>
        </w:tc>
        <w:tc>
          <w:tcPr>
            <w:tcW w:w="3685" w:type="dxa"/>
          </w:tcPr>
          <w:p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建设或运营产业园项目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建设或运营总投资10亿元及以上产业园项目，每项得5分，上限5分。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4" w:hRule="exact"/>
          <w:jc w:val="center"/>
        </w:trPr>
        <w:tc>
          <w:tcPr>
            <w:tcW w:w="8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left="68" w:right="4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产业园区定位、特色、规模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企业自主描述</w:t>
            </w:r>
          </w:p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4分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优得4分，良得2分，中得1分，差得0分。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exact"/>
          <w:jc w:val="center"/>
        </w:trPr>
        <w:tc>
          <w:tcPr>
            <w:tcW w:w="823" w:type="dxa"/>
            <w:vMerge w:val="restart"/>
          </w:tcPr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Cs/>
                <w:spacing w:val="-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pacing w:val="-1"/>
                <w:sz w:val="24"/>
                <w:szCs w:val="24"/>
              </w:rPr>
              <w:t>6</w:t>
            </w:r>
          </w:p>
        </w:tc>
        <w:tc>
          <w:tcPr>
            <w:tcW w:w="1394" w:type="dxa"/>
            <w:vMerge w:val="restart"/>
            <w:vAlign w:val="center"/>
          </w:tcPr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right="241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分）</w:t>
            </w: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分）</w:t>
            </w: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right="128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分）</w:t>
            </w: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“守合同重信用”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left="103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left="104"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104"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</w:tcPr>
          <w:p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按市场监督管理局、工商行政管理局公示证书年数，单位：年。</w:t>
            </w:r>
          </w:p>
          <w:p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连续25年以上得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分，连续20-25 年得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分，连续10-20年得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分，最高得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pStyle w:val="7"/>
              <w:spacing w:before="69" w:line="360" w:lineRule="exact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科技类、技术类奖项</w:t>
            </w:r>
          </w:p>
        </w:tc>
        <w:tc>
          <w:tcPr>
            <w:tcW w:w="3685" w:type="dxa"/>
            <w:vAlign w:val="center"/>
          </w:tcPr>
          <w:p>
            <w:pPr>
              <w:pStyle w:val="7"/>
              <w:spacing w:line="360" w:lineRule="exact"/>
              <w:ind w:left="102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获得科学技术类奖项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1.获得国家行政主管部门科技奖、技术类奖项每1项2分。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2.获得国家级行业协会、省级行政主管部门的科技类、技术类奖项每1项1分；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3.获得广东省广州市行业协会的科技类、技术类奖项每2项1分；</w:t>
            </w:r>
          </w:p>
          <w:p>
            <w:pPr>
              <w:spacing w:line="360" w:lineRule="exact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6" w:hRule="exact"/>
          <w:jc w:val="center"/>
        </w:trPr>
        <w:tc>
          <w:tcPr>
            <w:tcW w:w="823" w:type="dxa"/>
            <w:vMerge w:val="restart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pStyle w:val="7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质量类奖项</w:t>
            </w:r>
          </w:p>
          <w:p>
            <w:pPr>
              <w:pStyle w:val="7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pStyle w:val="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206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1.获得政府质量奖国家级得2分，省级得1.5分，市级1分；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2.获得鲁班奖、国家优质工程奖、中国土木工程詹天佑、大禹、电力优质工程等国家级奖项每1项1分；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3.获得广东省优质工程奖每4项1分；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4.获得广州市优质工程奖每8项1分；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5.同一项目获多个奖项的，按最高级别统计。上限5分。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0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pStyle w:val="7"/>
              <w:spacing w:before="71" w:line="360" w:lineRule="exact"/>
              <w:ind w:right="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安全文明、绿色施工类奖项</w:t>
            </w:r>
          </w:p>
        </w:tc>
        <w:tc>
          <w:tcPr>
            <w:tcW w:w="3685" w:type="dxa"/>
            <w:vAlign w:val="center"/>
          </w:tcPr>
          <w:p>
            <w:pPr>
              <w:pStyle w:val="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206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获得国家级安全文明、绿色施工类奖每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项得1分；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获得广东省安全文明、绿色施工类奖每6项得1分；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3.获得广州市安全文明、绿色施工类奖每10项得1分；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2" w:hRule="atLeast"/>
          <w:jc w:val="center"/>
        </w:trPr>
        <w:tc>
          <w:tcPr>
            <w:tcW w:w="823" w:type="dxa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39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>
            <w:pPr>
              <w:spacing w:line="360" w:lineRule="auto"/>
              <w:ind w:right="15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社会责任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auto"/>
              <w:ind w:right="-2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ind w:left="104" w:right="-2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4分</w:t>
            </w:r>
          </w:p>
        </w:tc>
        <w:tc>
          <w:tcPr>
            <w:tcW w:w="5206" w:type="dxa"/>
            <w:vAlign w:val="center"/>
          </w:tcPr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参与国家、省、市重点（民生）项目建设得1分；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拥有组建政府相关部门认可的市级以上三防机动抢险队每支得1分；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参加上述行动并被相关部门表彰，每项得0.5分；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分。</w:t>
            </w:r>
          </w:p>
        </w:tc>
      </w:tr>
    </w:tbl>
    <w:p>
      <w:pPr>
        <w:spacing w:line="200" w:lineRule="exact"/>
        <w:jc w:val="left"/>
        <w:rPr>
          <w:rFonts w:ascii="宋体" w:hAnsi="宋体" w:cs="宋体"/>
          <w:position w:val="-2"/>
          <w:sz w:val="24"/>
          <w:szCs w:val="24"/>
        </w:rPr>
      </w:pPr>
    </w:p>
    <w:p>
      <w:pPr>
        <w:spacing w:line="240" w:lineRule="exact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position w:val="-2"/>
          <w:sz w:val="24"/>
          <w:szCs w:val="24"/>
        </w:rPr>
        <w:t>注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：</w:t>
      </w:r>
      <w:r>
        <w:rPr>
          <w:rFonts w:hint="eastAsia" w:ascii="宋体" w:hAnsi="宋体" w:cs="宋体"/>
          <w:position w:val="-2"/>
          <w:sz w:val="24"/>
          <w:szCs w:val="24"/>
        </w:rPr>
        <w:t>指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标</w:t>
      </w:r>
      <w:r>
        <w:rPr>
          <w:rFonts w:hint="eastAsia" w:ascii="宋体" w:hAnsi="宋体" w:cs="宋体"/>
          <w:position w:val="-2"/>
          <w:sz w:val="24"/>
          <w:szCs w:val="24"/>
        </w:rPr>
        <w:t>考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核</w:t>
      </w:r>
      <w:r>
        <w:rPr>
          <w:rFonts w:hint="eastAsia" w:ascii="宋体" w:hAnsi="宋体" w:cs="宋体"/>
          <w:position w:val="-2"/>
          <w:sz w:val="24"/>
          <w:szCs w:val="24"/>
        </w:rPr>
        <w:t>近</w:t>
      </w:r>
      <w:r>
        <w:rPr>
          <w:rFonts w:hint="eastAsia" w:ascii="宋体" w:hAnsi="宋体" w:cs="宋体"/>
          <w:b/>
          <w:bCs/>
          <w:position w:val="-2"/>
          <w:sz w:val="24"/>
          <w:szCs w:val="24"/>
        </w:rPr>
        <w:t>3</w:t>
      </w:r>
      <w:r>
        <w:rPr>
          <w:rFonts w:hint="eastAsia" w:ascii="宋体" w:hAnsi="宋体" w:cs="宋体"/>
          <w:position w:val="-2"/>
          <w:sz w:val="24"/>
          <w:szCs w:val="24"/>
        </w:rPr>
        <w:t>年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的</w:t>
      </w:r>
      <w:r>
        <w:rPr>
          <w:rFonts w:hint="eastAsia" w:ascii="宋体" w:hAnsi="宋体" w:cs="宋体"/>
          <w:position w:val="-2"/>
          <w:sz w:val="24"/>
          <w:szCs w:val="24"/>
        </w:rPr>
        <w:t>数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据</w:t>
      </w:r>
      <w:r>
        <w:rPr>
          <w:rFonts w:hint="eastAsia" w:ascii="宋体" w:hAnsi="宋体" w:cs="宋体"/>
          <w:position w:val="-2"/>
          <w:sz w:val="24"/>
          <w:szCs w:val="24"/>
        </w:rPr>
        <w:t>和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信</w:t>
      </w:r>
      <w:r>
        <w:rPr>
          <w:rFonts w:hint="eastAsia" w:ascii="宋体" w:hAnsi="宋体" w:cs="宋体"/>
          <w:position w:val="-2"/>
          <w:sz w:val="24"/>
          <w:szCs w:val="24"/>
        </w:rPr>
        <w:t>息。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7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490C27"/>
    <w:multiLevelType w:val="singleLevel"/>
    <w:tmpl w:val="ED490C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9F903E7"/>
    <w:multiLevelType w:val="singleLevel"/>
    <w:tmpl w:val="39F903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6A1571B"/>
    <w:rsid w:val="000343E6"/>
    <w:rsid w:val="00050754"/>
    <w:rsid w:val="000E3FEB"/>
    <w:rsid w:val="0017037C"/>
    <w:rsid w:val="002111D1"/>
    <w:rsid w:val="002566ED"/>
    <w:rsid w:val="002A59A6"/>
    <w:rsid w:val="0033237D"/>
    <w:rsid w:val="00364439"/>
    <w:rsid w:val="003C716A"/>
    <w:rsid w:val="0046090F"/>
    <w:rsid w:val="00475E7E"/>
    <w:rsid w:val="00531BF9"/>
    <w:rsid w:val="005B08B7"/>
    <w:rsid w:val="005F7C35"/>
    <w:rsid w:val="006127FA"/>
    <w:rsid w:val="006147E9"/>
    <w:rsid w:val="00631BC5"/>
    <w:rsid w:val="00644D62"/>
    <w:rsid w:val="00695DF3"/>
    <w:rsid w:val="006B523D"/>
    <w:rsid w:val="006E6A51"/>
    <w:rsid w:val="00833342"/>
    <w:rsid w:val="008F3C0F"/>
    <w:rsid w:val="00930024"/>
    <w:rsid w:val="00956EBC"/>
    <w:rsid w:val="009B61AF"/>
    <w:rsid w:val="00AE4925"/>
    <w:rsid w:val="00B137D8"/>
    <w:rsid w:val="00B37D85"/>
    <w:rsid w:val="00B9586E"/>
    <w:rsid w:val="00C943A8"/>
    <w:rsid w:val="00CC2B02"/>
    <w:rsid w:val="00CD4F43"/>
    <w:rsid w:val="00D90841"/>
    <w:rsid w:val="00DC633C"/>
    <w:rsid w:val="00E371FE"/>
    <w:rsid w:val="00E86766"/>
    <w:rsid w:val="00EA0748"/>
    <w:rsid w:val="00EE55FB"/>
    <w:rsid w:val="00FB7590"/>
    <w:rsid w:val="00FE65EA"/>
    <w:rsid w:val="01E4052A"/>
    <w:rsid w:val="025B4B72"/>
    <w:rsid w:val="02AD34F4"/>
    <w:rsid w:val="02DB65A7"/>
    <w:rsid w:val="03277E6C"/>
    <w:rsid w:val="047343F5"/>
    <w:rsid w:val="054A4470"/>
    <w:rsid w:val="067D77AC"/>
    <w:rsid w:val="06A1571B"/>
    <w:rsid w:val="06F107AD"/>
    <w:rsid w:val="07D16002"/>
    <w:rsid w:val="096351F6"/>
    <w:rsid w:val="0B3E74B3"/>
    <w:rsid w:val="0B7F2855"/>
    <w:rsid w:val="0BD624E2"/>
    <w:rsid w:val="0C724591"/>
    <w:rsid w:val="0E5352AC"/>
    <w:rsid w:val="0FC66A6D"/>
    <w:rsid w:val="10856943"/>
    <w:rsid w:val="10BE3029"/>
    <w:rsid w:val="11011608"/>
    <w:rsid w:val="112D27A2"/>
    <w:rsid w:val="123A0C48"/>
    <w:rsid w:val="126E58D4"/>
    <w:rsid w:val="12E5288F"/>
    <w:rsid w:val="14CC02CE"/>
    <w:rsid w:val="15347CE9"/>
    <w:rsid w:val="15496191"/>
    <w:rsid w:val="15B9135E"/>
    <w:rsid w:val="15C164C0"/>
    <w:rsid w:val="1627503F"/>
    <w:rsid w:val="169D727C"/>
    <w:rsid w:val="16A94EF4"/>
    <w:rsid w:val="16EF58AD"/>
    <w:rsid w:val="182B5A60"/>
    <w:rsid w:val="183D31BF"/>
    <w:rsid w:val="19CC3F9A"/>
    <w:rsid w:val="19D53A99"/>
    <w:rsid w:val="1B195AED"/>
    <w:rsid w:val="1B223E2E"/>
    <w:rsid w:val="1B3501FE"/>
    <w:rsid w:val="1DA6457A"/>
    <w:rsid w:val="1DB34347"/>
    <w:rsid w:val="1ED168E7"/>
    <w:rsid w:val="1FA11DB4"/>
    <w:rsid w:val="2075662B"/>
    <w:rsid w:val="211A20DA"/>
    <w:rsid w:val="213B4E27"/>
    <w:rsid w:val="2182189F"/>
    <w:rsid w:val="21CB1EFE"/>
    <w:rsid w:val="21D7362A"/>
    <w:rsid w:val="22507B57"/>
    <w:rsid w:val="24A9572A"/>
    <w:rsid w:val="260A23B5"/>
    <w:rsid w:val="27BC6441"/>
    <w:rsid w:val="289E0FB2"/>
    <w:rsid w:val="28F34F96"/>
    <w:rsid w:val="2A6677EC"/>
    <w:rsid w:val="2DAB6857"/>
    <w:rsid w:val="2EF57DD0"/>
    <w:rsid w:val="2F1B2212"/>
    <w:rsid w:val="2FE002E1"/>
    <w:rsid w:val="30083A5D"/>
    <w:rsid w:val="300E0548"/>
    <w:rsid w:val="301E705B"/>
    <w:rsid w:val="31FF61E9"/>
    <w:rsid w:val="32686CD9"/>
    <w:rsid w:val="329E48A2"/>
    <w:rsid w:val="34D8334B"/>
    <w:rsid w:val="35871F43"/>
    <w:rsid w:val="35C20106"/>
    <w:rsid w:val="35D466DB"/>
    <w:rsid w:val="3630291D"/>
    <w:rsid w:val="36574760"/>
    <w:rsid w:val="36BA1E1E"/>
    <w:rsid w:val="36D54F68"/>
    <w:rsid w:val="373C5FC4"/>
    <w:rsid w:val="37667C65"/>
    <w:rsid w:val="3809330B"/>
    <w:rsid w:val="38C70968"/>
    <w:rsid w:val="398D5409"/>
    <w:rsid w:val="399161E1"/>
    <w:rsid w:val="3B7A6022"/>
    <w:rsid w:val="3CBE0C38"/>
    <w:rsid w:val="3F954ABE"/>
    <w:rsid w:val="3FE22B87"/>
    <w:rsid w:val="405C6B25"/>
    <w:rsid w:val="40977C03"/>
    <w:rsid w:val="40E7716B"/>
    <w:rsid w:val="41203279"/>
    <w:rsid w:val="418E271A"/>
    <w:rsid w:val="41C225B8"/>
    <w:rsid w:val="42B04272"/>
    <w:rsid w:val="43656A9D"/>
    <w:rsid w:val="45192426"/>
    <w:rsid w:val="47C72111"/>
    <w:rsid w:val="47E14B18"/>
    <w:rsid w:val="488176C2"/>
    <w:rsid w:val="492C439A"/>
    <w:rsid w:val="4A23362D"/>
    <w:rsid w:val="4AD06B77"/>
    <w:rsid w:val="4FA254D0"/>
    <w:rsid w:val="51A76C82"/>
    <w:rsid w:val="524B7790"/>
    <w:rsid w:val="53126132"/>
    <w:rsid w:val="53155F5F"/>
    <w:rsid w:val="53794425"/>
    <w:rsid w:val="55EB09B2"/>
    <w:rsid w:val="58691B2F"/>
    <w:rsid w:val="58E05B9D"/>
    <w:rsid w:val="5ADD1E8F"/>
    <w:rsid w:val="5B22711E"/>
    <w:rsid w:val="5B486DCE"/>
    <w:rsid w:val="5B720771"/>
    <w:rsid w:val="5EA13429"/>
    <w:rsid w:val="5FD4083B"/>
    <w:rsid w:val="60C6278F"/>
    <w:rsid w:val="61DB52FC"/>
    <w:rsid w:val="61F55C43"/>
    <w:rsid w:val="626D4608"/>
    <w:rsid w:val="6303236A"/>
    <w:rsid w:val="63D35447"/>
    <w:rsid w:val="64A33CFB"/>
    <w:rsid w:val="64DC6B8C"/>
    <w:rsid w:val="655621F8"/>
    <w:rsid w:val="669B59E7"/>
    <w:rsid w:val="670F0820"/>
    <w:rsid w:val="67E07CA1"/>
    <w:rsid w:val="68AE658D"/>
    <w:rsid w:val="68CB7E7A"/>
    <w:rsid w:val="68EC252C"/>
    <w:rsid w:val="6A3E2960"/>
    <w:rsid w:val="6AE11FF1"/>
    <w:rsid w:val="6AFF027F"/>
    <w:rsid w:val="6BF879A1"/>
    <w:rsid w:val="6CDF6B88"/>
    <w:rsid w:val="6DE92022"/>
    <w:rsid w:val="6E5A5127"/>
    <w:rsid w:val="6F134DCC"/>
    <w:rsid w:val="71663288"/>
    <w:rsid w:val="71CA611F"/>
    <w:rsid w:val="727B05E0"/>
    <w:rsid w:val="72A365F1"/>
    <w:rsid w:val="737B753A"/>
    <w:rsid w:val="739D73C8"/>
    <w:rsid w:val="753A7804"/>
    <w:rsid w:val="760E7FBB"/>
    <w:rsid w:val="769E7DAB"/>
    <w:rsid w:val="7978561E"/>
    <w:rsid w:val="79F42021"/>
    <w:rsid w:val="7A5B5E5E"/>
    <w:rsid w:val="7C8C0083"/>
    <w:rsid w:val="7D7F0374"/>
    <w:rsid w:val="7EA034CE"/>
    <w:rsid w:val="7F1315E5"/>
    <w:rsid w:val="7F275910"/>
    <w:rsid w:val="7FFA7B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Table Paragraph"/>
    <w:basedOn w:val="1"/>
    <w:qFormat/>
    <w:uiPriority w:val="1"/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D05311-EAF1-46C9-BB6A-7C339EE1C2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广东水电二局股份有限公司</Company>
  <Pages>9</Pages>
  <Words>2123</Words>
  <Characters>2238</Characters>
  <Lines>18</Lines>
  <Paragraphs>5</Paragraphs>
  <TotalTime>1</TotalTime>
  <ScaleCrop>false</ScaleCrop>
  <LinksUpToDate>false</LinksUpToDate>
  <CharactersWithSpaces>2264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2022-05-24T03:23:00Z</dcterms:created>
  <dc:creator>123</dc:creator>
  <cp:lastModifiedBy>Y。</cp:lastModifiedBy>
  <dcterms:modified xsi:type="dcterms:W3CDTF">2022-09-02T07:15:38Z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1598625D455845A3B5A6CAF887878E6B</vt:lpwstr>
  </property>
</Properties>
</file>